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220980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1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229870</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2" w:lineRule="exact"/>
        <w:rPr>
          <w:sz w:val="24"/>
          <w:szCs w:val="24"/>
          <w:color w:val="auto"/>
        </w:rPr>
      </w:pPr>
    </w:p>
    <w:p>
      <w:pPr>
        <w:ind w:left="660" w:right="380" w:hanging="328"/>
        <w:spacing w:after="0" w:line="256" w:lineRule="auto"/>
        <w:tabs>
          <w:tab w:leader="none" w:pos="552"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17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September 30, 2015</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216" w:lineRule="exact"/>
        <w:rPr>
          <w:sz w:val="24"/>
          <w:szCs w:val="24"/>
          <w:color w:val="auto"/>
        </w:rPr>
      </w:pPr>
    </w:p>
    <w:p>
      <w:pPr>
        <w:ind w:left="660" w:right="360" w:hanging="328"/>
        <w:spacing w:after="0" w:line="256" w:lineRule="auto"/>
        <w:tabs>
          <w:tab w:leader="none" w:pos="552"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189230</wp:posOffset>
            </wp:positionV>
            <wp:extent cx="18268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39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1-16725</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(Commission file number)</w:t>
      </w:r>
    </w:p>
    <w:p>
      <w:pPr>
        <w:spacing w:after="0" w:line="184"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PRINCIPAL FINANCIAL GROUP, INC.</w:t>
      </w:r>
    </w:p>
    <w:p>
      <w:pPr>
        <w:spacing w:after="0" w:line="4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p>
      <w:pPr>
        <w:ind w:left="2440"/>
        <w:spacing w:after="0"/>
        <w:tabs>
          <w:tab w:leader="none" w:pos="8160" w:val="left"/>
        </w:tabs>
        <w:rPr>
          <w:sz w:val="20"/>
          <w:szCs w:val="20"/>
          <w:color w:val="auto"/>
        </w:rPr>
      </w:pPr>
      <w:r>
        <w:rPr>
          <w:rFonts w:ascii="Arial" w:cs="Arial" w:eastAsia="Arial" w:hAnsi="Arial"/>
          <w:sz w:val="18"/>
          <w:szCs w:val="18"/>
          <w:b w:val="1"/>
          <w:bCs w:val="1"/>
          <w:color w:val="auto"/>
        </w:rPr>
        <w:t>Delaware</w:t>
      </w:r>
      <w:r>
        <w:rPr>
          <w:sz w:val="20"/>
          <w:szCs w:val="20"/>
          <w:color w:val="auto"/>
        </w:rPr>
        <w:tab/>
      </w:r>
      <w:r>
        <w:rPr>
          <w:rFonts w:ascii="Arial" w:cs="Arial" w:eastAsia="Arial" w:hAnsi="Arial"/>
          <w:sz w:val="18"/>
          <w:szCs w:val="18"/>
          <w:b w:val="1"/>
          <w:bCs w:val="1"/>
          <w:color w:val="auto"/>
        </w:rPr>
        <w:t>42-1520346</w:t>
      </w:r>
    </w:p>
    <w:p>
      <w:pPr>
        <w:spacing w:after="0" w:line="27" w:lineRule="exact"/>
        <w:rPr>
          <w:sz w:val="24"/>
          <w:szCs w:val="24"/>
          <w:color w:val="auto"/>
        </w:rPr>
      </w:pPr>
    </w:p>
    <w:p>
      <w:pPr>
        <w:ind w:left="660"/>
        <w:spacing w:after="0"/>
        <w:tabs>
          <w:tab w:leader="none" w:pos="7140" w:val="left"/>
        </w:tabs>
        <w:rPr>
          <w:sz w:val="20"/>
          <w:szCs w:val="20"/>
          <w:color w:val="auto"/>
        </w:rPr>
      </w:pPr>
      <w:r>
        <w:rPr>
          <w:rFonts w:ascii="Arial" w:cs="Arial" w:eastAsia="Arial" w:hAnsi="Arial"/>
          <w:sz w:val="18"/>
          <w:szCs w:val="18"/>
          <w:color w:val="auto"/>
        </w:rPr>
        <w:t>(State or other jurisdiction of incorporation or organization)</w:t>
      </w:r>
      <w:r>
        <w:rPr>
          <w:sz w:val="20"/>
          <w:szCs w:val="20"/>
          <w:color w:val="auto"/>
        </w:rPr>
        <w:tab/>
      </w:r>
      <w:r>
        <w:rPr>
          <w:rFonts w:ascii="Arial" w:cs="Arial" w:eastAsia="Arial" w:hAnsi="Arial"/>
          <w:sz w:val="16"/>
          <w:szCs w:val="16"/>
          <w:color w:val="auto"/>
        </w:rPr>
        <w:t>(I.R.S. Employer Identification Number)</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(Address of principal executive offices)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211455</wp:posOffset>
            </wp:positionV>
            <wp:extent cx="18268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right="420"/>
        <w:spacing w:after="0" w:line="264"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181" w:lineRule="exact"/>
        <w:rPr>
          <w:sz w:val="24"/>
          <w:szCs w:val="24"/>
          <w:color w:val="auto"/>
        </w:rPr>
      </w:pPr>
    </w:p>
    <w:p>
      <w:pPr>
        <w:jc w:val="both"/>
        <w:spacing w:after="0" w:line="264" w:lineRule="auto"/>
        <w:rPr>
          <w:sz w:val="20"/>
          <w:szCs w:val="20"/>
          <w:color w:val="auto"/>
        </w:rPr>
      </w:pPr>
      <w:r>
        <w:rPr>
          <w:rFonts w:ascii="Arial" w:cs="Arial" w:eastAsia="Arial" w:hAnsi="Arial"/>
          <w:sz w:val="18"/>
          <w:szCs w:val="18"/>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x No o</w:t>
      </w:r>
    </w:p>
    <w:p>
      <w:pPr>
        <w:spacing w:after="0" w:line="181" w:lineRule="exact"/>
        <w:rPr>
          <w:sz w:val="24"/>
          <w:szCs w:val="24"/>
          <w:color w:val="auto"/>
        </w:rPr>
      </w:pPr>
    </w:p>
    <w:p>
      <w:pPr>
        <w:ind w:right="440"/>
        <w:spacing w:after="0" w:line="34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definitions of “large accelerated filer,” “accelerated filer” and “smaller reporting company” in Rule 12b-2 of the Exchange Act. (Check one):</w:t>
      </w:r>
    </w:p>
    <w:p>
      <w:pPr>
        <w:spacing w:after="0" w:line="124" w:lineRule="exact"/>
        <w:rPr>
          <w:sz w:val="24"/>
          <w:szCs w:val="24"/>
          <w:color w:val="auto"/>
        </w:rPr>
      </w:pPr>
    </w:p>
    <w:p>
      <w:pPr>
        <w:ind w:left="460"/>
        <w:spacing w:after="0"/>
        <w:tabs>
          <w:tab w:leader="none" w:pos="3400" w:val="left"/>
          <w:tab w:leader="none" w:pos="6000" w:val="left"/>
          <w:tab w:leader="none" w:pos="8860" w:val="left"/>
        </w:tabs>
        <w:rPr>
          <w:sz w:val="20"/>
          <w:szCs w:val="20"/>
          <w:color w:val="auto"/>
        </w:rPr>
      </w:pPr>
      <w:r>
        <w:rPr>
          <w:rFonts w:ascii="Arial" w:cs="Arial" w:eastAsia="Arial" w:hAnsi="Arial"/>
          <w:sz w:val="18"/>
          <w:szCs w:val="18"/>
          <w:color w:val="auto"/>
        </w:rPr>
        <w:t>Large accelerated filer x</w:t>
      </w:r>
      <w:r>
        <w:rPr>
          <w:sz w:val="20"/>
          <w:szCs w:val="20"/>
          <w:color w:val="auto"/>
        </w:rPr>
        <w:tab/>
      </w:r>
      <w:r>
        <w:rPr>
          <w:rFonts w:ascii="Arial" w:cs="Arial" w:eastAsia="Arial" w:hAnsi="Arial"/>
          <w:sz w:val="18"/>
          <w:szCs w:val="18"/>
          <w:color w:val="auto"/>
        </w:rPr>
        <w:t>Accelerated filer o</w:t>
      </w:r>
      <w:r>
        <w:rPr>
          <w:sz w:val="20"/>
          <w:szCs w:val="20"/>
          <w:color w:val="auto"/>
        </w:rPr>
        <w:tab/>
      </w:r>
      <w:r>
        <w:rPr>
          <w:rFonts w:ascii="Arial" w:cs="Arial" w:eastAsia="Arial" w:hAnsi="Arial"/>
          <w:sz w:val="18"/>
          <w:szCs w:val="18"/>
          <w:color w:val="auto"/>
        </w:rPr>
        <w:t>Non-accelerated filer o</w:t>
      </w:r>
      <w:r>
        <w:rPr>
          <w:sz w:val="20"/>
          <w:szCs w:val="20"/>
          <w:color w:val="auto"/>
        </w:rPr>
        <w:tab/>
      </w:r>
      <w:r>
        <w:rPr>
          <w:rFonts w:ascii="Arial" w:cs="Arial" w:eastAsia="Arial" w:hAnsi="Arial"/>
          <w:sz w:val="16"/>
          <w:szCs w:val="16"/>
          <w:color w:val="auto"/>
        </w:rPr>
        <w:t>Smaller reporting company o</w:t>
      </w:r>
    </w:p>
    <w:p>
      <w:pPr>
        <w:spacing w:after="0" w:line="23" w:lineRule="exact"/>
        <w:rPr>
          <w:sz w:val="24"/>
          <w:szCs w:val="24"/>
          <w:color w:val="auto"/>
        </w:rPr>
      </w:pPr>
    </w:p>
    <w:p>
      <w:pPr>
        <w:jc w:val="center"/>
        <w:ind w:left="2300"/>
        <w:spacing w:after="0"/>
        <w:rPr>
          <w:sz w:val="20"/>
          <w:szCs w:val="20"/>
          <w:color w:val="auto"/>
        </w:rPr>
      </w:pPr>
      <w:r>
        <w:rPr>
          <w:rFonts w:ascii="Arial" w:cs="Arial" w:eastAsia="Arial" w:hAnsi="Arial"/>
          <w:sz w:val="18"/>
          <w:szCs w:val="18"/>
          <w:color w:val="auto"/>
        </w:rPr>
        <w:t>(Do not check if a smaller</w:t>
      </w:r>
    </w:p>
    <w:p>
      <w:pPr>
        <w:spacing w:after="0" w:line="9" w:lineRule="exact"/>
        <w:rPr>
          <w:sz w:val="24"/>
          <w:szCs w:val="24"/>
          <w:color w:val="auto"/>
        </w:rPr>
      </w:pPr>
    </w:p>
    <w:p>
      <w:pPr>
        <w:jc w:val="center"/>
        <w:ind w:left="2300"/>
        <w:spacing w:after="0"/>
        <w:rPr>
          <w:sz w:val="20"/>
          <w:szCs w:val="20"/>
          <w:color w:val="auto"/>
        </w:rPr>
      </w:pPr>
      <w:r>
        <w:rPr>
          <w:rFonts w:ascii="Arial" w:cs="Arial" w:eastAsia="Arial" w:hAnsi="Arial"/>
          <w:sz w:val="18"/>
          <w:szCs w:val="18"/>
          <w:color w:val="auto"/>
        </w:rPr>
        <w:t>reporting company)</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a shell company (as defined in Rule 12b-2 of the Exchange Act). Yes o No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The total number of shares of the registrant’s Common Stock, $0.01 par value, outstanding as of October 21, 2015, was 292,751,140.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TABLE OF CONTENTS</w:t>
      </w:r>
    </w:p>
    <w:p>
      <w:pPr>
        <w:sectPr>
          <w:pgSz w:w="11900" w:h="16838" w:orient="portrait"/>
          <w:cols w:equalWidth="0" w:num="1">
            <w:col w:w="11420"/>
          </w:cols>
          <w:pgMar w:left="240" w:top="233" w:right="239" w:bottom="0" w:gutter="0" w:footer="0" w:header="0"/>
        </w:sectPr>
      </w:pPr>
    </w:p>
    <w:p>
      <w:pPr>
        <w:spacing w:after="0" w:line="221" w:lineRule="exact"/>
        <w:rPr>
          <w:sz w:val="24"/>
          <w:szCs w:val="24"/>
          <w:color w:val="auto"/>
        </w:rPr>
      </w:pPr>
    </w:p>
    <w:p>
      <w:pPr>
        <w:ind w:left="10700"/>
        <w:spacing w:after="0"/>
        <w:rPr>
          <w:sz w:val="20"/>
          <w:szCs w:val="20"/>
          <w:color w:val="auto"/>
        </w:rPr>
      </w:pPr>
      <w:r>
        <w:rPr>
          <w:rFonts w:ascii="Arial" w:cs="Arial" w:eastAsia="Arial" w:hAnsi="Arial"/>
          <w:sz w:val="12"/>
          <w:szCs w:val="12"/>
          <w:b w:val="1"/>
          <w:bCs w:val="1"/>
          <w:color w:val="auto"/>
        </w:rPr>
        <w:t>Page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6531610</wp:posOffset>
            </wp:positionH>
            <wp:positionV relativeFrom="paragraph">
              <wp:posOffset>20955</wp:posOffset>
            </wp:positionV>
            <wp:extent cx="7200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sectPr>
          <w:pgSz w:w="11900" w:h="16838" w:orient="portrait"/>
          <w:cols w:equalWidth="0" w:num="1">
            <w:col w:w="11420"/>
          </w:cols>
          <w:pgMar w:left="240" w:top="233" w:right="239" w:bottom="0" w:gutter="0" w:footer="0" w:header="0"/>
          <w:type w:val="continuous"/>
        </w:sectPr>
      </w:pPr>
    </w:p>
    <w:bookmarkStart w:id="1" w:name="page2"/>
    <w:bookmarkEnd w:id="1"/>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780" w:type="dxa"/>
            <w:vAlign w:val="bottom"/>
            <w:gridSpan w:val="18"/>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Part I - FINANCIAL INFORMATION</w:t>
              </w:r>
            </w:hyperlink>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200" w:type="dxa"/>
            <w:vAlign w:val="bottom"/>
            <w:tcBorders>
              <w:top w:val="single" w:sz="8" w:color="0000EE"/>
            </w:tcBorders>
          </w:tcPr>
          <w:p>
            <w:pPr>
              <w:spacing w:after="0"/>
              <w:rPr>
                <w:sz w:val="24"/>
                <w:szCs w:val="24"/>
                <w:color w:val="auto"/>
              </w:rPr>
            </w:pPr>
          </w:p>
        </w:tc>
        <w:tc>
          <w:tcPr>
            <w:tcW w:w="520" w:type="dxa"/>
            <w:vAlign w:val="bottom"/>
            <w:tcBorders>
              <w:top w:val="single" w:sz="8" w:color="0000EE"/>
            </w:tcBorders>
          </w:tcPr>
          <w:p>
            <w:pPr>
              <w:spacing w:after="0"/>
              <w:rPr>
                <w:rFonts w:ascii="Arial" w:cs="Arial" w:eastAsia="Arial" w:hAnsi="Arial"/>
                <w:sz w:val="18"/>
                <w:szCs w:val="18"/>
                <w:color w:val="0000EE"/>
                <w:w w:val="87"/>
              </w:rPr>
            </w:pPr>
            <w:hyperlink w:anchor="page2">
              <w:r>
                <w:rPr>
                  <w:rFonts w:ascii="Arial" w:cs="Arial" w:eastAsia="Arial" w:hAnsi="Arial"/>
                  <w:sz w:val="18"/>
                  <w:szCs w:val="18"/>
                  <w:color w:val="0000EE"/>
                  <w:w w:val="87"/>
                </w:rPr>
                <w:t>Item 1.</w:t>
              </w:r>
            </w:hyperlink>
          </w:p>
        </w:tc>
        <w:tc>
          <w:tcPr>
            <w:tcW w:w="380" w:type="dxa"/>
            <w:vAlign w:val="bottom"/>
            <w:tcBorders>
              <w:top w:val="single" w:sz="8" w:color="0000EE"/>
            </w:tcBorders>
            <w:gridSpan w:val="2"/>
          </w:tcPr>
          <w:p>
            <w:pPr>
              <w:spacing w:after="0"/>
              <w:rPr>
                <w:sz w:val="24"/>
                <w:szCs w:val="24"/>
                <w:color w:val="auto"/>
              </w:rPr>
            </w:pPr>
          </w:p>
        </w:tc>
        <w:tc>
          <w:tcPr>
            <w:tcW w:w="1700" w:type="dxa"/>
            <w:vAlign w:val="bottom"/>
            <w:tcBorders>
              <w:top w:val="single" w:sz="8" w:color="0000EE"/>
            </w:tcBorders>
            <w:gridSpan w:val="8"/>
          </w:tcPr>
          <w:p>
            <w:pPr>
              <w:spacing w:after="0"/>
              <w:rPr>
                <w:rFonts w:ascii="Arial" w:cs="Arial" w:eastAsia="Arial" w:hAnsi="Arial"/>
                <w:sz w:val="18"/>
                <w:szCs w:val="18"/>
                <w:color w:val="0000EE"/>
                <w:w w:val="99"/>
              </w:rPr>
            </w:pPr>
            <w:hyperlink w:anchor="page2">
              <w:r>
                <w:rPr>
                  <w:rFonts w:ascii="Arial" w:cs="Arial" w:eastAsia="Arial" w:hAnsi="Arial"/>
                  <w:sz w:val="18"/>
                  <w:szCs w:val="18"/>
                  <w:color w:val="0000EE"/>
                  <w:w w:val="99"/>
                </w:rPr>
                <w:t>Financial Statements</w:t>
              </w:r>
            </w:hyperlink>
          </w:p>
        </w:tc>
        <w:tc>
          <w:tcPr>
            <w:tcW w:w="5980" w:type="dxa"/>
            <w:vAlign w:val="bottom"/>
            <w:gridSpan w:val="6"/>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200" w:type="dxa"/>
            <w:vAlign w:val="bottom"/>
          </w:tcPr>
          <w:p>
            <w:pPr>
              <w:spacing w:after="0" w:line="20" w:lineRule="exact"/>
              <w:rPr>
                <w:sz w:val="1"/>
                <w:szCs w:val="1"/>
                <w:color w:val="auto"/>
              </w:rPr>
            </w:pPr>
          </w:p>
        </w:tc>
        <w:tc>
          <w:tcPr>
            <w:tcW w:w="52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tcBorders>
              <w:left w:val="single" w:sz="8" w:color="0000EE"/>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80" w:type="dxa"/>
            <w:vAlign w:val="bottom"/>
            <w:tcBorders>
              <w:bottom w:val="single" w:sz="8" w:color="0000EE"/>
            </w:tcBorders>
            <w:gridSpan w:val="14"/>
          </w:tcPr>
          <w:p>
            <w:pPr>
              <w:spacing w:after="0"/>
              <w:rPr>
                <w:rFonts w:ascii="Arial" w:cs="Arial" w:eastAsia="Arial" w:hAnsi="Arial"/>
                <w:sz w:val="18"/>
                <w:szCs w:val="18"/>
                <w:color w:val="0000EE"/>
                <w:w w:val="89"/>
              </w:rPr>
            </w:pPr>
            <w:hyperlink w:anchor="page2">
              <w:r>
                <w:rPr>
                  <w:rFonts w:ascii="Arial" w:cs="Arial" w:eastAsia="Arial" w:hAnsi="Arial"/>
                  <w:sz w:val="18"/>
                  <w:szCs w:val="18"/>
                  <w:color w:val="0000EE"/>
                  <w:w w:val="89"/>
                </w:rPr>
                <w:t>Consolidated Statements of Financial Position at September 30, 2015 (Unaudited) and December 31, 2014</w:t>
              </w:r>
            </w:hyperlink>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100" w:type="dxa"/>
            <w:vAlign w:val="bottom"/>
            <w:gridSpan w:val="22"/>
          </w:tcPr>
          <w:p>
            <w:pPr>
              <w:spacing w:after="0"/>
              <w:rPr>
                <w:rFonts w:ascii="Arial" w:cs="Arial" w:eastAsia="Arial" w:hAnsi="Arial"/>
                <w:sz w:val="18"/>
                <w:szCs w:val="18"/>
                <w:color w:val="0000EE"/>
                <w:w w:val="96"/>
              </w:rPr>
            </w:pPr>
            <w:hyperlink w:anchor="page3">
              <w:r>
                <w:rPr>
                  <w:rFonts w:ascii="Arial" w:cs="Arial" w:eastAsia="Arial" w:hAnsi="Arial"/>
                  <w:sz w:val="18"/>
                  <w:szCs w:val="18"/>
                  <w:color w:val="0000EE"/>
                  <w:w w:val="96"/>
                </w:rPr>
                <w:t>Unaudited Consolidated Statements of Operations for the three and nine months ended September 30, 2015 and 2014</w:t>
              </w:r>
            </w:hyperlink>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25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30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1340" w:type="dxa"/>
            <w:vAlign w:val="bottom"/>
            <w:gridSpan w:val="3"/>
            <w:shd w:val="clear" w:color="auto" w:fill="0000EE"/>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100" w:type="dxa"/>
            <w:vAlign w:val="bottom"/>
            <w:gridSpan w:val="22"/>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Unaudited Consolidated Statements of Comprehensive Income for the three and nine months ended September 30, 2015 and</w:t>
              </w:r>
            </w:hyperlink>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6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4"/>
              </w:rPr>
            </w:pPr>
            <w:hyperlink w:anchor="page4">
              <w:r>
                <w:rPr>
                  <w:rFonts w:ascii="Arial" w:cs="Arial" w:eastAsia="Arial" w:hAnsi="Arial"/>
                  <w:sz w:val="18"/>
                  <w:szCs w:val="18"/>
                  <w:color w:val="0000EE"/>
                  <w:w w:val="84"/>
                </w:rPr>
                <w:t>2014</w:t>
              </w:r>
            </w:hyperlink>
          </w:p>
        </w:tc>
        <w:tc>
          <w:tcPr>
            <w:tcW w:w="240" w:type="dxa"/>
            <w:vAlign w:val="bottom"/>
            <w:tcBorders>
              <w:top w:val="single" w:sz="8" w:color="0000EE"/>
            </w:tcBorders>
          </w:tcPr>
          <w:p>
            <w:pPr>
              <w:spacing w:after="0"/>
              <w:rPr>
                <w:sz w:val="17"/>
                <w:szCs w:val="17"/>
                <w:color w:val="auto"/>
              </w:rPr>
            </w:pPr>
          </w:p>
        </w:tc>
        <w:tc>
          <w:tcPr>
            <w:tcW w:w="300" w:type="dxa"/>
            <w:vAlign w:val="bottom"/>
            <w:tcBorders>
              <w:top w:val="single" w:sz="8" w:color="0000EE"/>
            </w:tcBorders>
          </w:tcPr>
          <w:p>
            <w:pPr>
              <w:spacing w:after="0"/>
              <w:rPr>
                <w:sz w:val="17"/>
                <w:szCs w:val="17"/>
                <w:color w:val="auto"/>
              </w:rPr>
            </w:pPr>
          </w:p>
        </w:tc>
        <w:tc>
          <w:tcPr>
            <w:tcW w:w="44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25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300" w:type="dxa"/>
            <w:vAlign w:val="bottom"/>
            <w:tcBorders>
              <w:top w:val="single" w:sz="8" w:color="0000EE"/>
            </w:tcBorders>
          </w:tcPr>
          <w:p>
            <w:pPr>
              <w:spacing w:after="0"/>
              <w:rPr>
                <w:sz w:val="17"/>
                <w:szCs w:val="17"/>
                <w:color w:val="auto"/>
              </w:rPr>
            </w:pPr>
          </w:p>
        </w:tc>
        <w:tc>
          <w:tcPr>
            <w:tcW w:w="800" w:type="dxa"/>
            <w:vAlign w:val="bottom"/>
            <w:tcBorders>
              <w:top w:val="single" w:sz="8" w:color="0000EE"/>
            </w:tcBorders>
          </w:tcPr>
          <w:p>
            <w:pPr>
              <w:spacing w:after="0"/>
              <w:rPr>
                <w:sz w:val="17"/>
                <w:szCs w:val="17"/>
                <w:color w:val="auto"/>
              </w:rPr>
            </w:pPr>
          </w:p>
        </w:tc>
        <w:tc>
          <w:tcPr>
            <w:tcW w:w="122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60" w:type="dxa"/>
            <w:vAlign w:val="bottom"/>
            <w:gridSpan w:val="3"/>
          </w:tcPr>
          <w:p>
            <w:pPr>
              <w:jc w:val="right"/>
              <w:ind w:right="4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100" w:type="dxa"/>
            <w:vAlign w:val="bottom"/>
            <w:gridSpan w:val="22"/>
          </w:tcPr>
          <w:p>
            <w:pPr>
              <w:spacing w:after="0"/>
              <w:rPr>
                <w:rFonts w:ascii="Arial" w:cs="Arial" w:eastAsia="Arial" w:hAnsi="Arial"/>
                <w:sz w:val="18"/>
                <w:szCs w:val="18"/>
                <w:color w:val="0000EE"/>
                <w:w w:val="96"/>
              </w:rPr>
            </w:pPr>
            <w:hyperlink w:anchor="page4">
              <w:r>
                <w:rPr>
                  <w:rFonts w:ascii="Arial" w:cs="Arial" w:eastAsia="Arial" w:hAnsi="Arial"/>
                  <w:sz w:val="18"/>
                  <w:szCs w:val="18"/>
                  <w:color w:val="0000EE"/>
                  <w:w w:val="96"/>
                </w:rPr>
                <w:t>Unaudited Consolidated Statements of Stockholders’ Equity for the nine months ended September 30, 2015 and 2014</w:t>
              </w:r>
            </w:hyperlink>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40" w:type="dxa"/>
            <w:vAlign w:val="bottom"/>
            <w:tcBorders>
              <w:top w:val="single" w:sz="8" w:color="0000EE"/>
            </w:tcBorders>
            <w:gridSpan w:val="17"/>
          </w:tcPr>
          <w:p>
            <w:pPr>
              <w:spacing w:after="0"/>
              <w:rPr>
                <w:rFonts w:ascii="Arial" w:cs="Arial" w:eastAsia="Arial" w:hAnsi="Arial"/>
                <w:sz w:val="18"/>
                <w:szCs w:val="18"/>
                <w:color w:val="0000EE"/>
                <w:w w:val="89"/>
              </w:rPr>
            </w:pPr>
            <w:hyperlink w:anchor="page5">
              <w:r>
                <w:rPr>
                  <w:rFonts w:ascii="Arial" w:cs="Arial" w:eastAsia="Arial" w:hAnsi="Arial"/>
                  <w:sz w:val="18"/>
                  <w:szCs w:val="18"/>
                  <w:color w:val="0000EE"/>
                  <w:w w:val="89"/>
                </w:rPr>
                <w:t>Unaudited Consolidated Statements of Cash Flows for the nine months ended September 30, 2015 and 2014</w:t>
              </w:r>
            </w:hyperlink>
          </w:p>
        </w:tc>
        <w:tc>
          <w:tcPr>
            <w:tcW w:w="60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80" w:type="dxa"/>
            <w:vAlign w:val="bottom"/>
            <w:tcBorders>
              <w:top w:val="single" w:sz="8" w:color="0000EE"/>
            </w:tcBorders>
            <w:gridSpan w:val="14"/>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Notes to Unaudited Consolidated Financial Statements — September 30, 2015</w:t>
              </w:r>
            </w:hyperlink>
          </w:p>
        </w:tc>
        <w:tc>
          <w:tcPr>
            <w:tcW w:w="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25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300" w:type="dxa"/>
            <w:vAlign w:val="bottom"/>
            <w:shd w:val="clear" w:color="auto" w:fill="0000EE"/>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Pr>
          <w:p>
            <w:pPr>
              <w:spacing w:after="0"/>
              <w:rPr>
                <w:rFonts w:ascii="Arial" w:cs="Arial" w:eastAsia="Arial" w:hAnsi="Arial"/>
                <w:sz w:val="18"/>
                <w:szCs w:val="18"/>
                <w:color w:val="0000EE"/>
                <w:w w:val="87"/>
              </w:rPr>
            </w:pPr>
            <w:hyperlink w:anchor="page64">
              <w:r>
                <w:rPr>
                  <w:rFonts w:ascii="Arial" w:cs="Arial" w:eastAsia="Arial" w:hAnsi="Arial"/>
                  <w:sz w:val="18"/>
                  <w:szCs w:val="18"/>
                  <w:color w:val="0000EE"/>
                  <w:w w:val="87"/>
                </w:rPr>
                <w:t>Item 2.</w:t>
              </w:r>
            </w:hyperlink>
          </w:p>
        </w:tc>
        <w:tc>
          <w:tcPr>
            <w:tcW w:w="380" w:type="dxa"/>
            <w:vAlign w:val="bottom"/>
            <w:gridSpan w:val="2"/>
          </w:tcPr>
          <w:p>
            <w:pPr>
              <w:spacing w:after="0"/>
              <w:rPr>
                <w:sz w:val="24"/>
                <w:szCs w:val="24"/>
                <w:color w:val="auto"/>
              </w:rPr>
            </w:pPr>
          </w:p>
        </w:tc>
        <w:tc>
          <w:tcPr>
            <w:tcW w:w="7680" w:type="dxa"/>
            <w:vAlign w:val="bottom"/>
            <w:gridSpan w:val="14"/>
          </w:tcPr>
          <w:p>
            <w:pPr>
              <w:spacing w:after="0"/>
              <w:rPr>
                <w:rFonts w:ascii="Arial" w:cs="Arial" w:eastAsia="Arial" w:hAnsi="Arial"/>
                <w:sz w:val="18"/>
                <w:szCs w:val="18"/>
                <w:color w:val="0000EE"/>
              </w:rPr>
            </w:pPr>
            <w:hyperlink w:anchor="page64">
              <w:r>
                <w:rPr>
                  <w:rFonts w:ascii="Arial" w:cs="Arial" w:eastAsia="Arial" w:hAnsi="Arial"/>
                  <w:sz w:val="18"/>
                  <w:szCs w:val="18"/>
                  <w:color w:val="0000EE"/>
                </w:rPr>
                <w:t>Management’s Discussion and Analysis of Financial Condition and Results of Operations</w:t>
              </w:r>
            </w:hyperlink>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Borders>
              <w:top w:val="single" w:sz="8" w:color="0000EE"/>
              <w:bottom w:val="single" w:sz="8" w:color="0000EE"/>
            </w:tcBorders>
          </w:tcPr>
          <w:p>
            <w:pPr>
              <w:spacing w:after="0"/>
              <w:rPr>
                <w:rFonts w:ascii="Arial" w:cs="Arial" w:eastAsia="Arial" w:hAnsi="Arial"/>
                <w:sz w:val="18"/>
                <w:szCs w:val="18"/>
                <w:color w:val="0000EE"/>
                <w:w w:val="87"/>
              </w:rPr>
            </w:pPr>
            <w:hyperlink w:anchor="page91">
              <w:r>
                <w:rPr>
                  <w:rFonts w:ascii="Arial" w:cs="Arial" w:eastAsia="Arial" w:hAnsi="Arial"/>
                  <w:sz w:val="18"/>
                  <w:szCs w:val="18"/>
                  <w:color w:val="0000EE"/>
                  <w:w w:val="87"/>
                </w:rPr>
                <w:t>Item 3.</w:t>
              </w:r>
            </w:hyperlink>
          </w:p>
        </w:tc>
        <w:tc>
          <w:tcPr>
            <w:tcW w:w="380" w:type="dxa"/>
            <w:vAlign w:val="bottom"/>
            <w:gridSpan w:val="2"/>
          </w:tcPr>
          <w:p>
            <w:pPr>
              <w:spacing w:after="0"/>
              <w:rPr>
                <w:sz w:val="24"/>
                <w:szCs w:val="24"/>
                <w:color w:val="auto"/>
              </w:rPr>
            </w:pPr>
          </w:p>
        </w:tc>
        <w:tc>
          <w:tcPr>
            <w:tcW w:w="4320" w:type="dxa"/>
            <w:vAlign w:val="bottom"/>
            <w:tcBorders>
              <w:top w:val="single" w:sz="8" w:color="0000EE"/>
              <w:bottom w:val="single" w:sz="8" w:color="0000EE"/>
            </w:tcBorders>
            <w:gridSpan w:val="10"/>
          </w:tcPr>
          <w:p>
            <w:pPr>
              <w:spacing w:after="0"/>
              <w:rPr>
                <w:rFonts w:ascii="Arial" w:cs="Arial" w:eastAsia="Arial" w:hAnsi="Arial"/>
                <w:sz w:val="18"/>
                <w:szCs w:val="18"/>
                <w:color w:val="0000EE"/>
                <w:w w:val="91"/>
              </w:rPr>
            </w:pPr>
            <w:hyperlink w:anchor="page91">
              <w:r>
                <w:rPr>
                  <w:rFonts w:ascii="Arial" w:cs="Arial" w:eastAsia="Arial" w:hAnsi="Arial"/>
                  <w:sz w:val="18"/>
                  <w:szCs w:val="18"/>
                  <w:color w:val="0000EE"/>
                  <w:w w:val="91"/>
                </w:rPr>
                <w:t>Quantitative and Qualitative Disclosures about Market Risk</w:t>
              </w:r>
            </w:hyperlink>
          </w:p>
        </w:tc>
        <w:tc>
          <w:tcPr>
            <w:tcW w:w="2140" w:type="dxa"/>
            <w:vAlign w:val="bottom"/>
            <w:tcBorders>
              <w:top w:val="single" w:sz="8" w:color="0000EE"/>
            </w:tcBorders>
            <w:gridSpan w:val="3"/>
          </w:tcPr>
          <w:p>
            <w:pPr>
              <w:spacing w:after="0"/>
              <w:rPr>
                <w:sz w:val="24"/>
                <w:szCs w:val="24"/>
                <w:color w:val="auto"/>
              </w:rPr>
            </w:pPr>
          </w:p>
        </w:tc>
        <w:tc>
          <w:tcPr>
            <w:tcW w:w="1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Borders>
              <w:bottom w:val="single" w:sz="8" w:color="0000EE"/>
            </w:tcBorders>
          </w:tcPr>
          <w:p>
            <w:pPr>
              <w:spacing w:after="0"/>
              <w:rPr>
                <w:rFonts w:ascii="Arial" w:cs="Arial" w:eastAsia="Arial" w:hAnsi="Arial"/>
                <w:sz w:val="18"/>
                <w:szCs w:val="18"/>
                <w:color w:val="0000EE"/>
                <w:w w:val="87"/>
              </w:rPr>
            </w:pPr>
            <w:hyperlink w:anchor="page95">
              <w:r>
                <w:rPr>
                  <w:rFonts w:ascii="Arial" w:cs="Arial" w:eastAsia="Arial" w:hAnsi="Arial"/>
                  <w:sz w:val="18"/>
                  <w:szCs w:val="18"/>
                  <w:color w:val="0000EE"/>
                  <w:w w:val="87"/>
                </w:rPr>
                <w:t>Item 4.</w:t>
              </w:r>
            </w:hyperlink>
          </w:p>
        </w:tc>
        <w:tc>
          <w:tcPr>
            <w:tcW w:w="380" w:type="dxa"/>
            <w:vAlign w:val="bottom"/>
            <w:gridSpan w:val="2"/>
          </w:tcPr>
          <w:p>
            <w:pPr>
              <w:spacing w:after="0"/>
              <w:rPr>
                <w:sz w:val="24"/>
                <w:szCs w:val="24"/>
                <w:color w:val="auto"/>
              </w:rPr>
            </w:pPr>
          </w:p>
        </w:tc>
        <w:tc>
          <w:tcPr>
            <w:tcW w:w="1780" w:type="dxa"/>
            <w:vAlign w:val="bottom"/>
            <w:tcBorders>
              <w:bottom w:val="single" w:sz="8" w:color="0000EE"/>
            </w:tcBorders>
            <w:gridSpan w:val="9"/>
          </w:tcPr>
          <w:p>
            <w:pPr>
              <w:spacing w:after="0"/>
              <w:rPr>
                <w:rFonts w:ascii="Arial" w:cs="Arial" w:eastAsia="Arial" w:hAnsi="Arial"/>
                <w:sz w:val="18"/>
                <w:szCs w:val="18"/>
                <w:color w:val="0000EE"/>
                <w:w w:val="88"/>
              </w:rPr>
            </w:pPr>
            <w:hyperlink w:anchor="page95">
              <w:r>
                <w:rPr>
                  <w:rFonts w:ascii="Arial" w:cs="Arial" w:eastAsia="Arial" w:hAnsi="Arial"/>
                  <w:sz w:val="18"/>
                  <w:szCs w:val="18"/>
                  <w:color w:val="0000EE"/>
                  <w:w w:val="88"/>
                </w:rPr>
                <w:t>Controls and Procedures</w:t>
              </w:r>
            </w:hyperlink>
          </w:p>
        </w:tc>
        <w:tc>
          <w:tcPr>
            <w:tcW w:w="5900" w:type="dxa"/>
            <w:vAlign w:val="bottom"/>
            <w:gridSpan w:val="5"/>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412"/>
        </w:trPr>
        <w:tc>
          <w:tcPr>
            <w:tcW w:w="2620" w:type="dxa"/>
            <w:vAlign w:val="bottom"/>
            <w:tcBorders>
              <w:bottom w:val="single" w:sz="8" w:color="0000EE"/>
            </w:tcBorders>
            <w:gridSpan w:val="11"/>
          </w:tcPr>
          <w:p>
            <w:pPr>
              <w:spacing w:after="0"/>
              <w:rPr>
                <w:rFonts w:ascii="Arial" w:cs="Arial" w:eastAsia="Arial" w:hAnsi="Arial"/>
                <w:sz w:val="18"/>
                <w:szCs w:val="18"/>
                <w:color w:val="0000EE"/>
                <w:w w:val="96"/>
              </w:rPr>
            </w:pPr>
            <w:hyperlink w:anchor="page95">
              <w:r>
                <w:rPr>
                  <w:rFonts w:ascii="Arial" w:cs="Arial" w:eastAsia="Arial" w:hAnsi="Arial"/>
                  <w:sz w:val="18"/>
                  <w:szCs w:val="18"/>
                  <w:color w:val="0000EE"/>
                  <w:w w:val="96"/>
                </w:rPr>
                <w:t>Part II — OTHER INFORMATION</w:t>
              </w:r>
            </w:hyperlink>
          </w:p>
        </w:tc>
        <w:tc>
          <w:tcPr>
            <w:tcW w:w="6160" w:type="dxa"/>
            <w:vAlign w:val="bottom"/>
            <w:gridSpan w:val="7"/>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Borders>
              <w:bottom w:val="single" w:sz="8" w:color="0000EE"/>
            </w:tcBorders>
          </w:tcPr>
          <w:p>
            <w:pPr>
              <w:spacing w:after="0"/>
              <w:rPr>
                <w:rFonts w:ascii="Arial" w:cs="Arial" w:eastAsia="Arial" w:hAnsi="Arial"/>
                <w:sz w:val="18"/>
                <w:szCs w:val="18"/>
                <w:color w:val="0000EE"/>
                <w:w w:val="87"/>
              </w:rPr>
            </w:pPr>
            <w:hyperlink w:anchor="page95">
              <w:r>
                <w:rPr>
                  <w:rFonts w:ascii="Arial" w:cs="Arial" w:eastAsia="Arial" w:hAnsi="Arial"/>
                  <w:sz w:val="18"/>
                  <w:szCs w:val="18"/>
                  <w:color w:val="0000EE"/>
                  <w:w w:val="87"/>
                </w:rPr>
                <w:t>Item 1.</w:t>
              </w:r>
            </w:hyperlink>
          </w:p>
        </w:tc>
        <w:tc>
          <w:tcPr>
            <w:tcW w:w="380" w:type="dxa"/>
            <w:vAlign w:val="bottom"/>
            <w:gridSpan w:val="2"/>
          </w:tcPr>
          <w:p>
            <w:pPr>
              <w:spacing w:after="0"/>
              <w:rPr>
                <w:sz w:val="24"/>
                <w:szCs w:val="24"/>
                <w:color w:val="auto"/>
              </w:rPr>
            </w:pPr>
          </w:p>
        </w:tc>
        <w:tc>
          <w:tcPr>
            <w:tcW w:w="1340" w:type="dxa"/>
            <w:vAlign w:val="bottom"/>
            <w:tcBorders>
              <w:bottom w:val="single" w:sz="8" w:color="0000EE"/>
            </w:tcBorders>
            <w:gridSpan w:val="5"/>
          </w:tcPr>
          <w:p>
            <w:pPr>
              <w:spacing w:after="0"/>
              <w:rPr>
                <w:rFonts w:ascii="Arial" w:cs="Arial" w:eastAsia="Arial" w:hAnsi="Arial"/>
                <w:sz w:val="18"/>
                <w:szCs w:val="18"/>
                <w:color w:val="0000EE"/>
                <w:w w:val="88"/>
              </w:rPr>
            </w:pPr>
            <w:hyperlink w:anchor="page95">
              <w:r>
                <w:rPr>
                  <w:rFonts w:ascii="Arial" w:cs="Arial" w:eastAsia="Arial" w:hAnsi="Arial"/>
                  <w:sz w:val="18"/>
                  <w:szCs w:val="18"/>
                  <w:color w:val="0000EE"/>
                  <w:w w:val="88"/>
                </w:rPr>
                <w:t>Legal Proceedings</w:t>
              </w:r>
            </w:hyperlink>
          </w:p>
        </w:tc>
        <w:tc>
          <w:tcPr>
            <w:tcW w:w="6340" w:type="dxa"/>
            <w:vAlign w:val="bottom"/>
            <w:gridSpan w:val="9"/>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412"/>
        </w:trPr>
        <w:tc>
          <w:tcPr>
            <w:tcW w:w="200" w:type="dxa"/>
            <w:vAlign w:val="bottom"/>
          </w:tcPr>
          <w:p>
            <w:pPr>
              <w:spacing w:after="0"/>
              <w:rPr>
                <w:sz w:val="24"/>
                <w:szCs w:val="24"/>
                <w:color w:val="auto"/>
              </w:rPr>
            </w:pPr>
          </w:p>
        </w:tc>
        <w:tc>
          <w:tcPr>
            <w:tcW w:w="900" w:type="dxa"/>
            <w:vAlign w:val="bottom"/>
            <w:gridSpan w:val="3"/>
          </w:tcPr>
          <w:p>
            <w:pPr>
              <w:spacing w:after="0"/>
              <w:rPr>
                <w:rFonts w:ascii="Arial" w:cs="Arial" w:eastAsia="Arial" w:hAnsi="Arial"/>
                <w:sz w:val="18"/>
                <w:szCs w:val="18"/>
                <w:color w:val="0000EE"/>
              </w:rPr>
            </w:pPr>
            <w:hyperlink w:anchor="page95">
              <w:r>
                <w:rPr>
                  <w:rFonts w:ascii="Arial" w:cs="Arial" w:eastAsia="Arial" w:hAnsi="Arial"/>
                  <w:sz w:val="18"/>
                  <w:szCs w:val="18"/>
                  <w:color w:val="0000EE"/>
                </w:rPr>
                <w:t>Item 1A.</w:t>
              </w:r>
            </w:hyperlink>
          </w:p>
        </w:tc>
        <w:tc>
          <w:tcPr>
            <w:tcW w:w="7680" w:type="dxa"/>
            <w:vAlign w:val="bottom"/>
            <w:gridSpan w:val="14"/>
          </w:tcPr>
          <w:p>
            <w:pPr>
              <w:spacing w:after="0"/>
              <w:rPr>
                <w:rFonts w:ascii="Arial" w:cs="Arial" w:eastAsia="Arial" w:hAnsi="Arial"/>
                <w:sz w:val="18"/>
                <w:szCs w:val="18"/>
                <w:color w:val="0000EE"/>
              </w:rPr>
            </w:pPr>
            <w:hyperlink w:anchor="page95">
              <w:r>
                <w:rPr>
                  <w:rFonts w:ascii="Arial" w:cs="Arial" w:eastAsia="Arial" w:hAnsi="Arial"/>
                  <w:sz w:val="18"/>
                  <w:szCs w:val="18"/>
                  <w:color w:val="0000EE"/>
                </w:rPr>
                <w:t>Risk Factors</w:t>
              </w:r>
            </w:hyperlink>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0"/>
        </w:trPr>
        <w:tc>
          <w:tcPr>
            <w:tcW w:w="200" w:type="dxa"/>
            <w:vAlign w:val="bottom"/>
          </w:tcPr>
          <w:p>
            <w:pPr>
              <w:spacing w:after="0" w:line="20" w:lineRule="exact"/>
              <w:rPr>
                <w:sz w:val="1"/>
                <w:szCs w:val="1"/>
                <w:color w:val="auto"/>
              </w:rPr>
            </w:pPr>
          </w:p>
        </w:tc>
        <w:tc>
          <w:tcPr>
            <w:tcW w:w="52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460" w:type="dxa"/>
            <w:vAlign w:val="bottom"/>
            <w:gridSpan w:val="7"/>
          </w:tcPr>
          <w:p>
            <w:pPr>
              <w:spacing w:after="0" w:line="20" w:lineRule="exact"/>
              <w:rPr>
                <w:sz w:val="1"/>
                <w:szCs w:val="1"/>
                <w:color w:val="auto"/>
              </w:rPr>
            </w:pPr>
          </w:p>
        </w:tc>
        <w:tc>
          <w:tcPr>
            <w:tcW w:w="33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200" w:type="dxa"/>
            <w:vAlign w:val="bottom"/>
          </w:tcPr>
          <w:p>
            <w:pPr>
              <w:spacing w:after="0"/>
              <w:rPr>
                <w:sz w:val="24"/>
                <w:szCs w:val="24"/>
                <w:color w:val="auto"/>
              </w:rPr>
            </w:pPr>
          </w:p>
        </w:tc>
        <w:tc>
          <w:tcPr>
            <w:tcW w:w="640" w:type="dxa"/>
            <w:vAlign w:val="bottom"/>
            <w:tcBorders>
              <w:bottom w:val="single" w:sz="8" w:color="0000EE"/>
            </w:tcBorders>
            <w:gridSpan w:val="2"/>
          </w:tcPr>
          <w:p>
            <w:pPr>
              <w:spacing w:after="0"/>
              <w:rPr>
                <w:rFonts w:ascii="Arial" w:cs="Arial" w:eastAsia="Arial" w:hAnsi="Arial"/>
                <w:sz w:val="18"/>
                <w:szCs w:val="18"/>
                <w:color w:val="0000EE"/>
              </w:rPr>
            </w:pPr>
            <w:hyperlink w:anchor="page96">
              <w:r>
                <w:rPr>
                  <w:rFonts w:ascii="Arial" w:cs="Arial" w:eastAsia="Arial" w:hAnsi="Arial"/>
                  <w:sz w:val="18"/>
                  <w:szCs w:val="18"/>
                  <w:color w:val="0000EE"/>
                </w:rPr>
                <w:t>Item 2.</w:t>
              </w:r>
            </w:hyperlink>
          </w:p>
        </w:tc>
        <w:tc>
          <w:tcPr>
            <w:tcW w:w="260" w:type="dxa"/>
            <w:vAlign w:val="bottom"/>
            <w:tcBorders>
              <w:bottom w:val="single" w:sz="8" w:color="0000EE"/>
            </w:tcBorders>
          </w:tcPr>
          <w:p>
            <w:pPr>
              <w:spacing w:after="0"/>
              <w:rPr>
                <w:sz w:val="24"/>
                <w:szCs w:val="24"/>
                <w:color w:val="auto"/>
              </w:rPr>
            </w:pPr>
          </w:p>
        </w:tc>
        <w:tc>
          <w:tcPr>
            <w:tcW w:w="4360" w:type="dxa"/>
            <w:vAlign w:val="bottom"/>
            <w:tcBorders>
              <w:bottom w:val="single" w:sz="8" w:color="0000EE"/>
            </w:tcBorders>
            <w:gridSpan w:val="11"/>
          </w:tcPr>
          <w:p>
            <w:pPr>
              <w:spacing w:after="0"/>
              <w:rPr>
                <w:rFonts w:ascii="Arial" w:cs="Arial" w:eastAsia="Arial" w:hAnsi="Arial"/>
                <w:sz w:val="18"/>
                <w:szCs w:val="18"/>
                <w:color w:val="0000EE"/>
                <w:w w:val="89"/>
              </w:rPr>
            </w:pPr>
            <w:hyperlink w:anchor="page96">
              <w:r>
                <w:rPr>
                  <w:rFonts w:ascii="Arial" w:cs="Arial" w:eastAsia="Arial" w:hAnsi="Arial"/>
                  <w:sz w:val="18"/>
                  <w:szCs w:val="18"/>
                  <w:color w:val="0000EE"/>
                  <w:w w:val="89"/>
                </w:rPr>
                <w:t>Unregistered Sales of Equity Securities and Use of Proceeds</w:t>
              </w:r>
            </w:hyperlink>
          </w:p>
        </w:tc>
        <w:tc>
          <w:tcPr>
            <w:tcW w:w="3320" w:type="dxa"/>
            <w:vAlign w:val="bottom"/>
            <w:gridSpan w:val="3"/>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134</w:t>
            </w:r>
          </w:p>
        </w:tc>
        <w:tc>
          <w:tcPr>
            <w:tcW w:w="0" w:type="dxa"/>
            <w:vAlign w:val="bottom"/>
          </w:tcPr>
          <w:p>
            <w:pPr>
              <w:spacing w:after="0"/>
              <w:rPr>
                <w:sz w:val="1"/>
                <w:szCs w:val="1"/>
                <w:color w:val="auto"/>
              </w:rPr>
            </w:pPr>
          </w:p>
        </w:tc>
      </w:tr>
      <w:tr>
        <w:trPr>
          <w:trHeight w:val="412"/>
        </w:trPr>
        <w:tc>
          <w:tcPr>
            <w:tcW w:w="200" w:type="dxa"/>
            <w:vAlign w:val="bottom"/>
          </w:tcPr>
          <w:p>
            <w:pPr>
              <w:spacing w:after="0"/>
              <w:rPr>
                <w:sz w:val="24"/>
                <w:szCs w:val="24"/>
                <w:color w:val="auto"/>
              </w:rPr>
            </w:pPr>
          </w:p>
        </w:tc>
        <w:tc>
          <w:tcPr>
            <w:tcW w:w="520" w:type="dxa"/>
            <w:vAlign w:val="bottom"/>
          </w:tcPr>
          <w:p>
            <w:pPr>
              <w:spacing w:after="0"/>
              <w:rPr>
                <w:rFonts w:ascii="Arial" w:cs="Arial" w:eastAsia="Arial" w:hAnsi="Arial"/>
                <w:sz w:val="18"/>
                <w:szCs w:val="18"/>
                <w:color w:val="0000EE"/>
                <w:w w:val="87"/>
              </w:rPr>
            </w:pPr>
            <w:hyperlink w:anchor="page96">
              <w:r>
                <w:rPr>
                  <w:rFonts w:ascii="Arial" w:cs="Arial" w:eastAsia="Arial" w:hAnsi="Arial"/>
                  <w:sz w:val="18"/>
                  <w:szCs w:val="18"/>
                  <w:color w:val="0000EE"/>
                  <w:w w:val="87"/>
                </w:rPr>
                <w:t>Item 6.</w:t>
              </w:r>
            </w:hyperlink>
          </w:p>
        </w:tc>
        <w:tc>
          <w:tcPr>
            <w:tcW w:w="380" w:type="dxa"/>
            <w:vAlign w:val="bottom"/>
            <w:gridSpan w:val="2"/>
          </w:tcPr>
          <w:p>
            <w:pPr>
              <w:spacing w:after="0"/>
              <w:rPr>
                <w:sz w:val="24"/>
                <w:szCs w:val="24"/>
                <w:color w:val="auto"/>
              </w:rPr>
            </w:pPr>
          </w:p>
        </w:tc>
        <w:tc>
          <w:tcPr>
            <w:tcW w:w="7680" w:type="dxa"/>
            <w:vAlign w:val="bottom"/>
            <w:gridSpan w:val="14"/>
          </w:tcPr>
          <w:p>
            <w:pPr>
              <w:spacing w:after="0"/>
              <w:rPr>
                <w:rFonts w:ascii="Arial" w:cs="Arial" w:eastAsia="Arial" w:hAnsi="Arial"/>
                <w:sz w:val="18"/>
                <w:szCs w:val="18"/>
                <w:color w:val="0000EE"/>
              </w:rPr>
            </w:pPr>
            <w:hyperlink w:anchor="page96">
              <w:r>
                <w:rPr>
                  <w:rFonts w:ascii="Arial" w:cs="Arial" w:eastAsia="Arial" w:hAnsi="Arial"/>
                  <w:sz w:val="18"/>
                  <w:szCs w:val="18"/>
                  <w:color w:val="0000EE"/>
                </w:rPr>
                <w:t>Exhibits</w:t>
              </w:r>
            </w:hyperlink>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135</w:t>
            </w:r>
          </w:p>
        </w:tc>
        <w:tc>
          <w:tcPr>
            <w:tcW w:w="0" w:type="dxa"/>
            <w:vAlign w:val="bottom"/>
          </w:tcPr>
          <w:p>
            <w:pPr>
              <w:spacing w:after="0"/>
              <w:rPr>
                <w:sz w:val="1"/>
                <w:szCs w:val="1"/>
                <w:color w:val="auto"/>
              </w:rPr>
            </w:pPr>
          </w:p>
        </w:tc>
      </w:tr>
      <w:tr>
        <w:trPr>
          <w:trHeight w:val="20"/>
        </w:trPr>
        <w:tc>
          <w:tcPr>
            <w:tcW w:w="200" w:type="dxa"/>
            <w:vAlign w:val="bottom"/>
          </w:tcPr>
          <w:p>
            <w:pPr>
              <w:spacing w:after="0" w:line="20" w:lineRule="exact"/>
              <w:rPr>
                <w:sz w:val="1"/>
                <w:szCs w:val="1"/>
                <w:color w:val="auto"/>
              </w:rPr>
            </w:pPr>
          </w:p>
        </w:tc>
        <w:tc>
          <w:tcPr>
            <w:tcW w:w="52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00" w:type="dxa"/>
            <w:vAlign w:val="bottom"/>
            <w:gridSpan w:val="4"/>
          </w:tcPr>
          <w:p>
            <w:pPr>
              <w:spacing w:after="0"/>
              <w:rPr>
                <w:rFonts w:ascii="Arial" w:cs="Arial" w:eastAsia="Arial" w:hAnsi="Arial"/>
                <w:sz w:val="18"/>
                <w:szCs w:val="18"/>
                <w:color w:val="0000EE"/>
              </w:rPr>
            </w:pPr>
            <w:hyperlink w:anchor="page96">
              <w:r>
                <w:rPr>
                  <w:rFonts w:ascii="Arial" w:cs="Arial" w:eastAsia="Arial" w:hAnsi="Arial"/>
                  <w:sz w:val="18"/>
                  <w:szCs w:val="18"/>
                  <w:color w:val="0000EE"/>
                </w:rPr>
                <w:t>Signature</w:t>
              </w:r>
            </w:hyperlink>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gridSpan w:val="3"/>
          </w:tcPr>
          <w:p>
            <w:pPr>
              <w:jc w:val="right"/>
              <w:ind w:right="40"/>
              <w:spacing w:after="0"/>
              <w:rPr>
                <w:sz w:val="20"/>
                <w:szCs w:val="20"/>
                <w:color w:val="auto"/>
              </w:rPr>
            </w:pPr>
            <w:r>
              <w:rPr>
                <w:rFonts w:ascii="Arial" w:cs="Arial" w:eastAsia="Arial" w:hAnsi="Arial"/>
                <w:sz w:val="18"/>
                <w:szCs w:val="18"/>
                <w:color w:val="auto"/>
              </w:rPr>
              <w:t>136</w:t>
            </w:r>
          </w:p>
        </w:tc>
        <w:tc>
          <w:tcPr>
            <w:tcW w:w="0" w:type="dxa"/>
            <w:vAlign w:val="bottom"/>
          </w:tcPr>
          <w:p>
            <w:pPr>
              <w:spacing w:after="0"/>
              <w:rPr>
                <w:sz w:val="1"/>
                <w:szCs w:val="1"/>
                <w:color w:val="auto"/>
              </w:rPr>
            </w:pPr>
          </w:p>
        </w:tc>
      </w:tr>
      <w:tr>
        <w:trPr>
          <w:trHeight w:val="453"/>
        </w:trPr>
        <w:tc>
          <w:tcPr>
            <w:tcW w:w="200" w:type="dxa"/>
            <w:vAlign w:val="bottom"/>
            <w:tcBorders>
              <w:top w:val="single" w:sz="8" w:color="0000EE"/>
            </w:tcBorders>
          </w:tcPr>
          <w:p>
            <w:pPr>
              <w:spacing w:after="0"/>
              <w:rPr>
                <w:sz w:val="24"/>
                <w:szCs w:val="24"/>
                <w:color w:val="auto"/>
              </w:rPr>
            </w:pPr>
          </w:p>
        </w:tc>
        <w:tc>
          <w:tcPr>
            <w:tcW w:w="520" w:type="dxa"/>
            <w:vAlign w:val="bottom"/>
            <w:tcBorders>
              <w:top w:val="single" w:sz="8" w:color="0000EE"/>
            </w:tcBorders>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660" w:type="dxa"/>
            <w:vAlign w:val="bottom"/>
            <w:gridSpan w:val="12"/>
          </w:tcPr>
          <w:p>
            <w:pPr>
              <w:jc w:val="center"/>
              <w:ind w:left="3470"/>
              <w:spacing w:after="0"/>
              <w:rPr>
                <w:sz w:val="20"/>
                <w:szCs w:val="20"/>
                <w:color w:val="auto"/>
              </w:rPr>
            </w:pPr>
            <w:r>
              <w:rPr>
                <w:rFonts w:ascii="Arial" w:cs="Arial" w:eastAsia="Arial" w:hAnsi="Arial"/>
                <w:sz w:val="18"/>
                <w:szCs w:val="18"/>
                <w:color w:val="auto"/>
                <w:w w:val="99"/>
              </w:rPr>
              <w:t>2</w:t>
            </w:r>
          </w:p>
        </w:tc>
        <w:tc>
          <w:tcPr>
            <w:tcW w:w="8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440" w:type="dxa"/>
            <w:vAlign w:val="bottom"/>
            <w:tcBorders>
              <w:bottom w:val="single" w:sz="8" w:color="808080"/>
            </w:tcBorders>
            <w:gridSpan w:val="2"/>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4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5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30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2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6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8780" w:type="dxa"/>
            <w:vAlign w:val="bottom"/>
            <w:gridSpan w:val="18"/>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280" w:type="dxa"/>
            <w:vAlign w:val="bottom"/>
            <w:gridSpan w:val="5"/>
            <w:shd w:val="clear" w:color="auto" w:fill="0000EE"/>
          </w:tcPr>
          <w:p>
            <w:pPr>
              <w:spacing w:after="0" w:line="20" w:lineRule="exact"/>
              <w:rPr>
                <w:sz w:val="1"/>
                <w:szCs w:val="1"/>
                <w:color w:val="auto"/>
              </w:rPr>
            </w:pPr>
          </w:p>
        </w:tc>
        <w:tc>
          <w:tcPr>
            <w:tcW w:w="7500" w:type="dxa"/>
            <w:vAlign w:val="bottom"/>
            <w:gridSpan w:val="1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8780" w:type="dxa"/>
            <w:vAlign w:val="bottom"/>
            <w:gridSpan w:val="18"/>
          </w:tcPr>
          <w:p>
            <w:pPr>
              <w:spacing w:after="0"/>
              <w:rPr>
                <w:sz w:val="20"/>
                <w:szCs w:val="20"/>
                <w:color w:val="auto"/>
              </w:rPr>
            </w:pPr>
            <w:r>
              <w:rPr>
                <w:rFonts w:ascii="Arial" w:cs="Arial" w:eastAsia="Arial" w:hAnsi="Arial"/>
                <w:sz w:val="18"/>
                <w:szCs w:val="18"/>
                <w:b w:val="1"/>
                <w:bCs w:val="1"/>
                <w:color w:val="auto"/>
              </w:rPr>
              <w:t>PART I — FINANCIAL INFORMATION</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780" w:type="dxa"/>
            <w:vAlign w:val="bottom"/>
            <w:gridSpan w:val="18"/>
          </w:tcPr>
          <w:p>
            <w:pPr>
              <w:spacing w:after="0"/>
              <w:rPr>
                <w:sz w:val="20"/>
                <w:szCs w:val="20"/>
                <w:color w:val="auto"/>
              </w:rPr>
            </w:pPr>
            <w:r>
              <w:rPr>
                <w:rFonts w:ascii="Arial" w:cs="Arial" w:eastAsia="Arial" w:hAnsi="Arial"/>
                <w:sz w:val="18"/>
                <w:szCs w:val="18"/>
                <w:b w:val="1"/>
                <w:bCs w:val="1"/>
                <w:color w:val="auto"/>
              </w:rPr>
              <w:t>Item 1. Financial Statements</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900" w:type="dxa"/>
            <w:vAlign w:val="bottom"/>
            <w:gridSpan w:val="5"/>
          </w:tcPr>
          <w:p>
            <w:pPr>
              <w:jc w:val="center"/>
              <w:ind w:right="240"/>
              <w:spacing w:after="0"/>
              <w:rPr>
                <w:sz w:val="20"/>
                <w:szCs w:val="20"/>
                <w:color w:val="auto"/>
              </w:rPr>
            </w:pPr>
            <w:r>
              <w:rPr>
                <w:rFonts w:ascii="Arial" w:cs="Arial" w:eastAsia="Arial" w:hAnsi="Arial"/>
                <w:sz w:val="18"/>
                <w:szCs w:val="18"/>
                <w:b w:val="1"/>
                <w:bCs w:val="1"/>
                <w:color w:val="auto"/>
                <w:w w:val="93"/>
              </w:rPr>
              <w:t>Principal Financial Group, Inc.</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900" w:type="dxa"/>
            <w:vAlign w:val="bottom"/>
            <w:gridSpan w:val="5"/>
          </w:tcPr>
          <w:p>
            <w:pPr>
              <w:jc w:val="center"/>
              <w:ind w:right="240"/>
              <w:spacing w:after="0"/>
              <w:rPr>
                <w:sz w:val="20"/>
                <w:szCs w:val="20"/>
                <w:color w:val="auto"/>
              </w:rPr>
            </w:pPr>
            <w:r>
              <w:rPr>
                <w:rFonts w:ascii="Arial" w:cs="Arial" w:eastAsia="Arial" w:hAnsi="Arial"/>
                <w:sz w:val="18"/>
                <w:szCs w:val="18"/>
                <w:b w:val="1"/>
                <w:bCs w:val="1"/>
                <w:color w:val="auto"/>
                <w:w w:val="89"/>
              </w:rPr>
              <w:t>Consolidated Statements of Financial Position</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24"/>
                <w:szCs w:val="24"/>
                <w:color w:val="auto"/>
              </w:rPr>
            </w:pPr>
          </w:p>
        </w:tc>
        <w:tc>
          <w:tcPr>
            <w:tcW w:w="116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2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left="233"/>
              <w:spacing w:after="0"/>
              <w:rPr>
                <w:sz w:val="20"/>
                <w:szCs w:val="20"/>
                <w:color w:val="auto"/>
              </w:rPr>
            </w:pPr>
            <w:r>
              <w:rPr>
                <w:rFonts w:ascii="Arial" w:cs="Arial" w:eastAsia="Arial" w:hAnsi="Arial"/>
                <w:sz w:val="14"/>
                <w:szCs w:val="14"/>
                <w:b w:val="1"/>
                <w:bCs w:val="1"/>
                <w:color w:val="auto"/>
                <w:w w:val="89"/>
              </w:rPr>
              <w:t>2015</w:t>
            </w:r>
          </w:p>
        </w:tc>
        <w:tc>
          <w:tcPr>
            <w:tcW w:w="4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0" w:type="dxa"/>
            <w:vAlign w:val="bottom"/>
            <w:gridSpan w:val="3"/>
          </w:tcPr>
          <w:p>
            <w:pPr>
              <w:jc w:val="center"/>
              <w:ind w:right="28"/>
              <w:spacing w:after="0" w:line="119" w:lineRule="exact"/>
              <w:rPr>
                <w:sz w:val="20"/>
                <w:szCs w:val="20"/>
                <w:color w:val="auto"/>
              </w:rPr>
            </w:pPr>
            <w:r>
              <w:rPr>
                <w:rFonts w:ascii="Arial" w:cs="Arial" w:eastAsia="Arial" w:hAnsi="Arial"/>
                <w:sz w:val="13"/>
                <w:szCs w:val="13"/>
                <w:b w:val="1"/>
                <w:bCs w:val="1"/>
                <w:color w:val="auto"/>
              </w:rPr>
              <w:t>(Unaudited)</w:t>
            </w: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880" w:type="dxa"/>
            <w:vAlign w:val="bottom"/>
            <w:gridSpan w:val="7"/>
          </w:tcPr>
          <w:p>
            <w:pPr>
              <w:jc w:val="right"/>
              <w:ind w:right="1020"/>
              <w:spacing w:after="0"/>
              <w:rPr>
                <w:sz w:val="20"/>
                <w:szCs w:val="20"/>
                <w:color w:val="auto"/>
              </w:rPr>
            </w:pPr>
            <w:r>
              <w:rPr>
                <w:rFonts w:ascii="Arial" w:cs="Arial" w:eastAsia="Arial" w:hAnsi="Arial"/>
                <w:sz w:val="14"/>
                <w:szCs w:val="14"/>
                <w:b w:val="1"/>
                <w:bCs w:val="1"/>
                <w:color w:val="auto"/>
              </w:rPr>
              <w:t>(in millions)</w:t>
            </w:r>
          </w:p>
        </w:tc>
        <w:tc>
          <w:tcPr>
            <w:tcW w:w="0" w:type="dxa"/>
            <w:vAlign w:val="bottom"/>
          </w:tcPr>
          <w:p>
            <w:pPr>
              <w:spacing w:after="0"/>
              <w:rPr>
                <w:sz w:val="1"/>
                <w:szCs w:val="1"/>
                <w:color w:val="auto"/>
              </w:rPr>
            </w:pPr>
          </w:p>
        </w:tc>
      </w:tr>
      <w:tr>
        <w:trPr>
          <w:trHeight w:val="216"/>
        </w:trPr>
        <w:tc>
          <w:tcPr>
            <w:tcW w:w="110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780" w:type="dxa"/>
            <w:vAlign w:val="bottom"/>
            <w:gridSpan w:val="18"/>
          </w:tcPr>
          <w:p>
            <w:pPr>
              <w:spacing w:after="0" w:line="201" w:lineRule="exact"/>
              <w:rPr>
                <w:sz w:val="20"/>
                <w:szCs w:val="20"/>
                <w:color w:val="auto"/>
              </w:rPr>
            </w:pPr>
            <w:r>
              <w:rPr>
                <w:rFonts w:ascii="Arial" w:cs="Arial" w:eastAsia="Arial" w:hAnsi="Arial"/>
                <w:sz w:val="18"/>
                <w:szCs w:val="18"/>
                <w:color w:val="auto"/>
                <w:w w:val="95"/>
              </w:rPr>
              <w:t>Fixed maturities, available-for-sale (2015 and 2014 include $261.1 million and $278.2 million related to consolidated</w:t>
            </w:r>
          </w:p>
        </w:tc>
        <w:tc>
          <w:tcPr>
            <w:tcW w:w="160" w:type="dxa"/>
            <w:vAlign w:val="bottom"/>
            <w:gridSpan w:val="3"/>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4"/>
            <w:vMerge w:val="restart"/>
          </w:tcPr>
          <w:p>
            <w:pPr>
              <w:jc w:val="right"/>
              <w:ind w:right="120"/>
              <w:spacing w:after="0"/>
              <w:rPr>
                <w:sz w:val="20"/>
                <w:szCs w:val="20"/>
                <w:color w:val="auto"/>
              </w:rPr>
            </w:pPr>
            <w:r>
              <w:rPr>
                <w:rFonts w:ascii="Arial" w:cs="Arial" w:eastAsia="Arial" w:hAnsi="Arial"/>
                <w:sz w:val="18"/>
                <w:szCs w:val="18"/>
                <w:b w:val="1"/>
                <w:bCs w:val="1"/>
                <w:color w:val="auto"/>
              </w:rPr>
              <w:t>49,780.6</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780" w:type="dxa"/>
            <w:vAlign w:val="bottom"/>
            <w:gridSpan w:val="18"/>
          </w:tcPr>
          <w:p>
            <w:pPr>
              <w:ind w:left="180"/>
              <w:spacing w:after="0"/>
              <w:rPr>
                <w:sz w:val="20"/>
                <w:szCs w:val="20"/>
                <w:color w:val="auto"/>
              </w:rPr>
            </w:pPr>
            <w:r>
              <w:rPr>
                <w:rFonts w:ascii="Arial" w:cs="Arial" w:eastAsia="Arial" w:hAnsi="Arial"/>
                <w:sz w:val="18"/>
                <w:szCs w:val="18"/>
                <w:color w:val="auto"/>
              </w:rPr>
              <w:t>variable interest entities)</w:t>
            </w:r>
          </w:p>
        </w:tc>
        <w:tc>
          <w:tcPr>
            <w:tcW w:w="160" w:type="dxa"/>
            <w:vAlign w:val="bottom"/>
            <w:gridSpan w:val="3"/>
            <w:vMerge w:val="continue"/>
          </w:tcPr>
          <w:p>
            <w:pPr>
              <w:spacing w:after="0"/>
              <w:rPr>
                <w:sz w:val="20"/>
                <w:szCs w:val="20"/>
                <w:color w:val="auto"/>
              </w:rPr>
            </w:pPr>
          </w:p>
        </w:tc>
        <w:tc>
          <w:tcPr>
            <w:tcW w:w="1120" w:type="dxa"/>
            <w:vAlign w:val="bottom"/>
            <w:gridSpan w:val="4"/>
            <w:vMerge w:val="continue"/>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49,670.8</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780" w:type="dxa"/>
            <w:vAlign w:val="bottom"/>
            <w:gridSpan w:val="18"/>
            <w:shd w:val="clear" w:color="auto" w:fill="CCEEFF"/>
          </w:tcPr>
          <w:p>
            <w:pPr>
              <w:spacing w:after="0"/>
              <w:rPr>
                <w:sz w:val="20"/>
                <w:szCs w:val="20"/>
                <w:color w:val="auto"/>
              </w:rPr>
            </w:pPr>
            <w:r>
              <w:rPr>
                <w:rFonts w:ascii="Arial" w:cs="Arial" w:eastAsia="Arial" w:hAnsi="Arial"/>
                <w:sz w:val="18"/>
                <w:szCs w:val="18"/>
                <w:color w:val="auto"/>
                <w:w w:val="94"/>
              </w:rPr>
              <w:t>Fixed maturities, trading (2015 and 2014 both include $100.4 million related to consolidated variable interest entities)</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710.2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gridSpan w:val="18"/>
          </w:tcPr>
          <w:p>
            <w:pPr>
              <w:spacing w:after="0"/>
              <w:rPr>
                <w:sz w:val="20"/>
                <w:szCs w:val="20"/>
                <w:color w:val="auto"/>
              </w:rPr>
            </w:pPr>
            <w:r>
              <w:rPr>
                <w:rFonts w:ascii="Arial" w:cs="Arial" w:eastAsia="Arial" w:hAnsi="Arial"/>
                <w:sz w:val="18"/>
                <w:szCs w:val="18"/>
                <w:color w:val="auto"/>
                <w:w w:val="97"/>
              </w:rPr>
              <w:t>Equity securities, available-for-sale (2015 includes $315.8 million related to consolidated variable interest entities)</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gridSpan w:val="4"/>
          </w:tcPr>
          <w:p>
            <w:pPr>
              <w:jc w:val="right"/>
              <w:ind w:right="120"/>
              <w:spacing w:after="0"/>
              <w:rPr>
                <w:sz w:val="20"/>
                <w:szCs w:val="20"/>
                <w:color w:val="auto"/>
              </w:rPr>
            </w:pPr>
            <w:r>
              <w:rPr>
                <w:rFonts w:ascii="Arial" w:cs="Arial" w:eastAsia="Arial" w:hAnsi="Arial"/>
                <w:sz w:val="18"/>
                <w:szCs w:val="18"/>
                <w:b w:val="1"/>
                <w:bCs w:val="1"/>
                <w:color w:val="auto"/>
              </w:rPr>
              <w:t>465.3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123.0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780" w:type="dxa"/>
            <w:vAlign w:val="bottom"/>
            <w:gridSpan w:val="18"/>
            <w:shd w:val="clear" w:color="auto" w:fill="CCEEFF"/>
          </w:tcPr>
          <w:p>
            <w:pPr>
              <w:spacing w:after="0" w:line="201" w:lineRule="exact"/>
              <w:rPr>
                <w:sz w:val="20"/>
                <w:szCs w:val="20"/>
                <w:color w:val="auto"/>
              </w:rPr>
            </w:pPr>
            <w:r>
              <w:rPr>
                <w:rFonts w:ascii="Arial" w:cs="Arial" w:eastAsia="Arial" w:hAnsi="Arial"/>
                <w:sz w:val="18"/>
                <w:szCs w:val="18"/>
                <w:color w:val="auto"/>
                <w:w w:val="96"/>
              </w:rPr>
              <w:t>Equity securities, trading (2015 and 2014 include $321.2 million and $345.3 million related to consolidated variable</w:t>
            </w: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120" w:type="dxa"/>
            <w:vAlign w:val="bottom"/>
            <w:gridSpan w:val="4"/>
            <w:vMerge w:val="restart"/>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869.1</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780" w:type="dxa"/>
            <w:vAlign w:val="bottom"/>
            <w:gridSpan w:val="18"/>
            <w:shd w:val="clear" w:color="auto" w:fill="CCEEFF"/>
          </w:tcPr>
          <w:p>
            <w:pPr>
              <w:ind w:left="180"/>
              <w:spacing w:after="0"/>
              <w:rPr>
                <w:sz w:val="20"/>
                <w:szCs w:val="20"/>
                <w:color w:val="auto"/>
              </w:rPr>
            </w:pPr>
            <w:r>
              <w:rPr>
                <w:rFonts w:ascii="Arial" w:cs="Arial" w:eastAsia="Arial" w:hAnsi="Arial"/>
                <w:sz w:val="18"/>
                <w:szCs w:val="18"/>
                <w:color w:val="auto"/>
              </w:rPr>
              <w:t>interest entities)</w:t>
            </w:r>
          </w:p>
        </w:tc>
        <w:tc>
          <w:tcPr>
            <w:tcW w:w="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120" w:type="dxa"/>
            <w:vAlign w:val="bottom"/>
            <w:gridSpan w:val="4"/>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840.2</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780" w:type="dxa"/>
            <w:vAlign w:val="bottom"/>
            <w:gridSpan w:val="18"/>
          </w:tcPr>
          <w:p>
            <w:pPr>
              <w:spacing w:after="0"/>
              <w:rPr>
                <w:sz w:val="20"/>
                <w:szCs w:val="20"/>
                <w:color w:val="auto"/>
              </w:rPr>
            </w:pPr>
            <w:r>
              <w:rPr>
                <w:rFonts w:ascii="Arial" w:cs="Arial" w:eastAsia="Arial" w:hAnsi="Arial"/>
                <w:sz w:val="18"/>
                <w:szCs w:val="18"/>
                <w:color w:val="auto"/>
              </w:rPr>
              <w:t>Mortgage loans</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gridSpan w:val="4"/>
          </w:tcPr>
          <w:p>
            <w:pPr>
              <w:jc w:val="right"/>
              <w:ind w:right="120"/>
              <w:spacing w:after="0"/>
              <w:rPr>
                <w:sz w:val="20"/>
                <w:szCs w:val="20"/>
                <w:color w:val="auto"/>
              </w:rPr>
            </w:pPr>
            <w:r>
              <w:rPr>
                <w:rFonts w:ascii="Arial" w:cs="Arial" w:eastAsia="Arial" w:hAnsi="Arial"/>
                <w:sz w:val="18"/>
                <w:szCs w:val="18"/>
                <w:b w:val="1"/>
                <w:bCs w:val="1"/>
                <w:color w:val="auto"/>
              </w:rPr>
              <w:t>12,232.1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11,811.6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gridSpan w:val="18"/>
            <w:shd w:val="clear" w:color="auto" w:fill="CCEEFF"/>
          </w:tcPr>
          <w:p>
            <w:pPr>
              <w:spacing w:after="0"/>
              <w:rPr>
                <w:sz w:val="20"/>
                <w:szCs w:val="20"/>
                <w:color w:val="auto"/>
              </w:rPr>
            </w:pPr>
            <w:r>
              <w:rPr>
                <w:rFonts w:ascii="Arial" w:cs="Arial" w:eastAsia="Arial" w:hAnsi="Arial"/>
                <w:sz w:val="18"/>
                <w:szCs w:val="18"/>
                <w:color w:val="auto"/>
                <w:w w:val="93"/>
              </w:rPr>
              <w:t>Real estate (2015 and 2014 include $298.9 million and $284.9 million related to consolidated variable interest entities)</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1,415.0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gridSpan w:val="4"/>
          </w:tcPr>
          <w:p>
            <w:pPr>
              <w:spacing w:after="0"/>
              <w:rPr>
                <w:sz w:val="20"/>
                <w:szCs w:val="20"/>
                <w:color w:val="auto"/>
              </w:rPr>
            </w:pPr>
            <w:r>
              <w:rPr>
                <w:rFonts w:ascii="Arial" w:cs="Arial" w:eastAsia="Arial" w:hAnsi="Arial"/>
                <w:sz w:val="18"/>
                <w:szCs w:val="18"/>
                <w:color w:val="auto"/>
              </w:rPr>
              <w:t>Policy loans</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gridSpan w:val="4"/>
          </w:tcPr>
          <w:p>
            <w:pPr>
              <w:jc w:val="right"/>
              <w:ind w:right="120"/>
              <w:spacing w:after="0"/>
              <w:rPr>
                <w:sz w:val="20"/>
                <w:szCs w:val="20"/>
                <w:color w:val="auto"/>
              </w:rPr>
            </w:pPr>
            <w:r>
              <w:rPr>
                <w:rFonts w:ascii="Arial" w:cs="Arial" w:eastAsia="Arial" w:hAnsi="Arial"/>
                <w:sz w:val="18"/>
                <w:szCs w:val="18"/>
                <w:b w:val="1"/>
                <w:bCs w:val="1"/>
                <w:color w:val="auto"/>
              </w:rPr>
              <w:t>822.8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829.2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780" w:type="dxa"/>
            <w:vAlign w:val="bottom"/>
            <w:gridSpan w:val="18"/>
            <w:shd w:val="clear" w:color="auto" w:fill="CCEEFF"/>
          </w:tcPr>
          <w:p>
            <w:pPr>
              <w:spacing w:after="0" w:line="201" w:lineRule="exact"/>
              <w:rPr>
                <w:sz w:val="20"/>
                <w:szCs w:val="20"/>
                <w:color w:val="auto"/>
              </w:rPr>
            </w:pPr>
            <w:r>
              <w:rPr>
                <w:rFonts w:ascii="Arial" w:cs="Arial" w:eastAsia="Arial" w:hAnsi="Arial"/>
                <w:sz w:val="18"/>
                <w:szCs w:val="18"/>
                <w:color w:val="auto"/>
                <w:w w:val="96"/>
              </w:rPr>
              <w:t>Other investments (2015 and 2014 include $36.8 million and $40.6 million related to consolidated variable interest</w:t>
            </w: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120" w:type="dxa"/>
            <w:vAlign w:val="bottom"/>
            <w:gridSpan w:val="4"/>
            <w:vMerge w:val="restart"/>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3,270.4</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780" w:type="dxa"/>
            <w:vAlign w:val="bottom"/>
            <w:gridSpan w:val="18"/>
            <w:shd w:val="clear" w:color="auto" w:fill="CCEEFF"/>
          </w:tcPr>
          <w:p>
            <w:pPr>
              <w:ind w:left="180"/>
              <w:spacing w:after="0"/>
              <w:rPr>
                <w:sz w:val="20"/>
                <w:szCs w:val="20"/>
                <w:color w:val="auto"/>
              </w:rPr>
            </w:pPr>
            <w:r>
              <w:rPr>
                <w:rFonts w:ascii="Arial" w:cs="Arial" w:eastAsia="Arial" w:hAnsi="Arial"/>
                <w:sz w:val="18"/>
                <w:szCs w:val="18"/>
                <w:color w:val="auto"/>
              </w:rPr>
              <w:t>entities and $56.6 million and $127.2 million measured at fair value under the fair value option)</w:t>
            </w:r>
          </w:p>
        </w:tc>
        <w:tc>
          <w:tcPr>
            <w:tcW w:w="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120" w:type="dxa"/>
            <w:vAlign w:val="bottom"/>
            <w:gridSpan w:val="4"/>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3,209.8</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8780" w:type="dxa"/>
            <w:vAlign w:val="bottom"/>
            <w:gridSpan w:val="18"/>
          </w:tcPr>
          <w:p>
            <w:pPr>
              <w:ind w:left="200"/>
              <w:spacing w:after="0"/>
              <w:rPr>
                <w:sz w:val="20"/>
                <w:szCs w:val="20"/>
                <w:color w:val="auto"/>
              </w:rPr>
            </w:pPr>
            <w:r>
              <w:rPr>
                <w:rFonts w:ascii="Arial" w:cs="Arial" w:eastAsia="Arial" w:hAnsi="Arial"/>
                <w:sz w:val="18"/>
                <w:szCs w:val="18"/>
                <w:color w:val="auto"/>
              </w:rPr>
              <w:t>Total investments</w:t>
            </w:r>
          </w:p>
        </w:tc>
        <w:tc>
          <w:tcPr>
            <w:tcW w:w="60" w:type="dxa"/>
            <w:vAlign w:val="bottom"/>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69,565.5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68,433.8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gridSpan w:val="18"/>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2,514.2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1,863.9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gridSpan w:val="18"/>
          </w:tcPr>
          <w:p>
            <w:pPr>
              <w:spacing w:after="0"/>
              <w:rPr>
                <w:sz w:val="20"/>
                <w:szCs w:val="20"/>
                <w:color w:val="auto"/>
              </w:rPr>
            </w:pPr>
            <w:r>
              <w:rPr>
                <w:rFonts w:ascii="Arial" w:cs="Arial" w:eastAsia="Arial" w:hAnsi="Arial"/>
                <w:sz w:val="18"/>
                <w:szCs w:val="18"/>
                <w:color w:val="auto"/>
              </w:rPr>
              <w:t>Accrued investment income</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gridSpan w:val="4"/>
          </w:tcPr>
          <w:p>
            <w:pPr>
              <w:jc w:val="right"/>
              <w:ind w:right="120"/>
              <w:spacing w:after="0"/>
              <w:rPr>
                <w:sz w:val="20"/>
                <w:szCs w:val="20"/>
                <w:color w:val="auto"/>
              </w:rPr>
            </w:pPr>
            <w:r>
              <w:rPr>
                <w:rFonts w:ascii="Arial" w:cs="Arial" w:eastAsia="Arial" w:hAnsi="Arial"/>
                <w:sz w:val="18"/>
                <w:szCs w:val="18"/>
                <w:b w:val="1"/>
                <w:bCs w:val="1"/>
                <w:color w:val="auto"/>
              </w:rPr>
              <w:t>566.8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505.9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gridSpan w:val="18"/>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1,401.6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gridSpan w:val="18"/>
          </w:tcPr>
          <w:p>
            <w:pPr>
              <w:spacing w:after="0"/>
              <w:rPr>
                <w:sz w:val="20"/>
                <w:szCs w:val="20"/>
                <w:color w:val="auto"/>
              </w:rPr>
            </w:pPr>
            <w:r>
              <w:rPr>
                <w:rFonts w:ascii="Arial" w:cs="Arial" w:eastAsia="Arial" w:hAnsi="Arial"/>
                <w:sz w:val="18"/>
                <w:szCs w:val="18"/>
                <w:color w:val="auto"/>
              </w:rPr>
              <w:t>Deferred acquisition costs</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gridSpan w:val="4"/>
          </w:tcPr>
          <w:p>
            <w:pPr>
              <w:jc w:val="right"/>
              <w:ind w:right="120"/>
              <w:spacing w:after="0"/>
              <w:rPr>
                <w:sz w:val="20"/>
                <w:szCs w:val="20"/>
                <w:color w:val="auto"/>
              </w:rPr>
            </w:pPr>
            <w:r>
              <w:rPr>
                <w:rFonts w:ascii="Arial" w:cs="Arial" w:eastAsia="Arial" w:hAnsi="Arial"/>
                <w:sz w:val="18"/>
                <w:szCs w:val="18"/>
                <w:b w:val="1"/>
                <w:bCs w:val="1"/>
                <w:color w:val="auto"/>
              </w:rPr>
              <w:t>3,145.0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2,993.0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gridSpan w:val="18"/>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611.6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gridSpan w:val="4"/>
          </w:tcPr>
          <w:p>
            <w:pPr>
              <w:spacing w:after="0"/>
              <w:rPr>
                <w:sz w:val="20"/>
                <w:szCs w:val="20"/>
                <w:color w:val="auto"/>
              </w:rPr>
            </w:pPr>
            <w:r>
              <w:rPr>
                <w:rFonts w:ascii="Arial" w:cs="Arial" w:eastAsia="Arial" w:hAnsi="Arial"/>
                <w:sz w:val="18"/>
                <w:szCs w:val="18"/>
                <w:color w:val="auto"/>
              </w:rPr>
              <w:t>Goodwill</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gridSpan w:val="4"/>
          </w:tcPr>
          <w:p>
            <w:pPr>
              <w:jc w:val="right"/>
              <w:ind w:right="120"/>
              <w:spacing w:after="0"/>
              <w:rPr>
                <w:sz w:val="20"/>
                <w:szCs w:val="20"/>
                <w:color w:val="auto"/>
              </w:rPr>
            </w:pPr>
            <w:r>
              <w:rPr>
                <w:rFonts w:ascii="Arial" w:cs="Arial" w:eastAsia="Arial" w:hAnsi="Arial"/>
                <w:sz w:val="18"/>
                <w:szCs w:val="18"/>
                <w:b w:val="1"/>
                <w:bCs w:val="1"/>
                <w:color w:val="auto"/>
              </w:rPr>
              <w:t>1,005.2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1,007.4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gridSpan w:val="18"/>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1,398.9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1,323.5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780" w:type="dxa"/>
            <w:vAlign w:val="bottom"/>
            <w:gridSpan w:val="18"/>
          </w:tcPr>
          <w:p>
            <w:pPr>
              <w:spacing w:after="0" w:line="201" w:lineRule="exact"/>
              <w:rPr>
                <w:sz w:val="20"/>
                <w:szCs w:val="20"/>
                <w:color w:val="auto"/>
              </w:rPr>
            </w:pPr>
            <w:r>
              <w:rPr>
                <w:rFonts w:ascii="Arial" w:cs="Arial" w:eastAsia="Arial" w:hAnsi="Arial"/>
                <w:sz w:val="18"/>
                <w:szCs w:val="18"/>
                <w:color w:val="auto"/>
                <w:w w:val="97"/>
              </w:rPr>
              <w:t>Separate account assets (2015 and 2014 include $32,827.6 million and $34,655.4 million related to consolidated</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120" w:type="dxa"/>
            <w:vAlign w:val="bottom"/>
            <w:gridSpan w:val="4"/>
            <w:vMerge w:val="restart"/>
          </w:tcPr>
          <w:p>
            <w:pPr>
              <w:jc w:val="right"/>
              <w:ind w:right="120"/>
              <w:spacing w:after="0"/>
              <w:rPr>
                <w:sz w:val="20"/>
                <w:szCs w:val="20"/>
                <w:color w:val="auto"/>
              </w:rPr>
            </w:pPr>
            <w:r>
              <w:rPr>
                <w:rFonts w:ascii="Arial" w:cs="Arial" w:eastAsia="Arial" w:hAnsi="Arial"/>
                <w:sz w:val="18"/>
                <w:szCs w:val="18"/>
                <w:b w:val="1"/>
                <w:bCs w:val="1"/>
                <w:color w:val="auto"/>
              </w:rPr>
              <w:t>134,045.8</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780" w:type="dxa"/>
            <w:vAlign w:val="bottom"/>
            <w:gridSpan w:val="18"/>
          </w:tcPr>
          <w:p>
            <w:pPr>
              <w:ind w:left="180"/>
              <w:spacing w:after="0"/>
              <w:rPr>
                <w:sz w:val="20"/>
                <w:szCs w:val="20"/>
                <w:color w:val="auto"/>
              </w:rPr>
            </w:pPr>
            <w:r>
              <w:rPr>
                <w:rFonts w:ascii="Arial" w:cs="Arial" w:eastAsia="Arial" w:hAnsi="Arial"/>
                <w:sz w:val="18"/>
                <w:szCs w:val="18"/>
                <w:color w:val="auto"/>
              </w:rPr>
              <w:t>variable interest entities)</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120" w:type="dxa"/>
            <w:vAlign w:val="bottom"/>
            <w:gridSpan w:val="4"/>
            <w:vMerge w:val="continue"/>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140,072.8</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1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Other assets</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1,110.8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1100" w:type="dxa"/>
            <w:vAlign w:val="bottom"/>
            <w:tcBorders>
              <w:bottom w:val="single" w:sz="8" w:color="CCEEFF"/>
            </w:tcBorders>
            <w:gridSpan w:val="4"/>
          </w:tcPr>
          <w:p>
            <w:pPr>
              <w:ind w:left="200"/>
              <w:spacing w:after="0"/>
              <w:rPr>
                <w:sz w:val="20"/>
                <w:szCs w:val="20"/>
                <w:color w:val="auto"/>
              </w:rPr>
            </w:pPr>
            <w:r>
              <w:rPr>
                <w:rFonts w:ascii="Arial" w:cs="Arial" w:eastAsia="Arial" w:hAnsi="Arial"/>
                <w:sz w:val="18"/>
                <w:szCs w:val="18"/>
                <w:color w:val="auto"/>
                <w:w w:val="90"/>
              </w:rPr>
              <w:t>Total assets</w:t>
            </w:r>
          </w:p>
        </w:tc>
        <w:tc>
          <w:tcPr>
            <w:tcW w:w="180" w:type="dxa"/>
            <w:vAlign w:val="bottom"/>
            <w:tcBorders>
              <w:bottom w:val="single" w:sz="8" w:color="CCEEFF"/>
            </w:tcBorders>
          </w:tcPr>
          <w:p>
            <w:pPr>
              <w:spacing w:after="0"/>
              <w:rPr>
                <w:sz w:val="21"/>
                <w:szCs w:val="21"/>
                <w:color w:val="auto"/>
              </w:rPr>
            </w:pPr>
          </w:p>
        </w:tc>
        <w:tc>
          <w:tcPr>
            <w:tcW w:w="18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300" w:type="dxa"/>
            <w:vAlign w:val="bottom"/>
            <w:tcBorders>
              <w:bottom w:val="single" w:sz="8" w:color="CCEEFF"/>
            </w:tcBorders>
          </w:tcPr>
          <w:p>
            <w:pPr>
              <w:spacing w:after="0"/>
              <w:rPr>
                <w:sz w:val="21"/>
                <w:szCs w:val="21"/>
                <w:color w:val="auto"/>
              </w:rPr>
            </w:pPr>
          </w:p>
        </w:tc>
        <w:tc>
          <w:tcPr>
            <w:tcW w:w="440" w:type="dxa"/>
            <w:vAlign w:val="bottom"/>
            <w:tcBorders>
              <w:bottom w:val="single" w:sz="8" w:color="CCEEFF"/>
            </w:tcBorders>
          </w:tcPr>
          <w:p>
            <w:pPr>
              <w:spacing w:after="0"/>
              <w:rPr>
                <w:sz w:val="21"/>
                <w:szCs w:val="21"/>
                <w:color w:val="auto"/>
              </w:rPr>
            </w:pPr>
          </w:p>
        </w:tc>
        <w:tc>
          <w:tcPr>
            <w:tcW w:w="16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18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254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1300" w:type="dxa"/>
            <w:vAlign w:val="bottom"/>
            <w:tcBorders>
              <w:bottom w:val="single" w:sz="8" w:color="CCEEFF"/>
            </w:tcBorders>
          </w:tcPr>
          <w:p>
            <w:pPr>
              <w:spacing w:after="0"/>
              <w:rPr>
                <w:sz w:val="21"/>
                <w:szCs w:val="21"/>
                <w:color w:val="auto"/>
              </w:rPr>
            </w:pPr>
          </w:p>
        </w:tc>
        <w:tc>
          <w:tcPr>
            <w:tcW w:w="800" w:type="dxa"/>
            <w:vAlign w:val="bottom"/>
            <w:tcBorders>
              <w:bottom w:val="single" w:sz="8" w:color="CCEEFF"/>
            </w:tcBorders>
          </w:tcPr>
          <w:p>
            <w:pPr>
              <w:spacing w:after="0"/>
              <w:rPr>
                <w:sz w:val="21"/>
                <w:szCs w:val="21"/>
                <w:color w:val="auto"/>
              </w:rPr>
            </w:pPr>
          </w:p>
        </w:tc>
        <w:tc>
          <w:tcPr>
            <w:tcW w:w="122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215,365.4</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219,087.</w:t>
            </w:r>
            <w:r>
              <w:rPr>
                <w:rFonts w:ascii="Arial" w:cs="Arial" w:eastAsia="Arial" w:hAnsi="Arial"/>
                <w:sz w:val="18"/>
                <w:szCs w:val="18"/>
                <w:u w:val="single" w:color="auto"/>
                <w:color w:val="auto"/>
              </w:rPr>
              <w:t>0</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1100" w:type="dxa"/>
            <w:vAlign w:val="bottom"/>
            <w:gridSpan w:val="4"/>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w:t>
            </w:r>
          </w:p>
        </w:tc>
        <w:tc>
          <w:tcPr>
            <w:tcW w:w="1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54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8780" w:type="dxa"/>
            <w:vAlign w:val="bottom"/>
            <w:gridSpan w:val="18"/>
          </w:tcPr>
          <w:p>
            <w:pPr>
              <w:spacing w:after="0"/>
              <w:rPr>
                <w:sz w:val="20"/>
                <w:szCs w:val="20"/>
                <w:color w:val="auto"/>
              </w:rPr>
            </w:pPr>
            <w:r>
              <w:rPr>
                <w:rFonts w:ascii="Arial" w:cs="Arial" w:eastAsia="Arial" w:hAnsi="Arial"/>
                <w:sz w:val="18"/>
                <w:szCs w:val="18"/>
                <w:color w:val="auto"/>
              </w:rPr>
              <w:t>Contractholder funds (2015 includes $329.2 million related to consolidated variable interest entities)</w:t>
            </w:r>
          </w:p>
        </w:tc>
        <w:tc>
          <w:tcPr>
            <w:tcW w:w="160" w:type="dxa"/>
            <w:vAlign w:val="bottom"/>
            <w:gridSpan w:val="3"/>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4"/>
          </w:tcPr>
          <w:p>
            <w:pPr>
              <w:jc w:val="right"/>
              <w:ind w:right="120"/>
              <w:spacing w:after="0"/>
              <w:rPr>
                <w:sz w:val="20"/>
                <w:szCs w:val="20"/>
                <w:color w:val="auto"/>
              </w:rPr>
            </w:pPr>
            <w:r>
              <w:rPr>
                <w:rFonts w:ascii="Arial" w:cs="Arial" w:eastAsia="Arial" w:hAnsi="Arial"/>
                <w:sz w:val="18"/>
                <w:szCs w:val="18"/>
                <w:b w:val="1"/>
                <w:bCs w:val="1"/>
                <w:color w:val="auto"/>
              </w:rPr>
              <w:t>35,115.2</w:t>
            </w:r>
          </w:p>
        </w:tc>
        <w:tc>
          <w:tcPr>
            <w:tcW w:w="1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34,726.7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0"/>
        </w:trPr>
        <w:tc>
          <w:tcPr>
            <w:tcW w:w="200" w:type="dxa"/>
            <w:vAlign w:val="bottom"/>
            <w:shd w:val="clear" w:color="auto" w:fill="CCEEFF"/>
          </w:tcPr>
          <w:p>
            <w:pPr>
              <w:spacing w:after="0"/>
              <w:rPr>
                <w:sz w:val="6"/>
                <w:szCs w:val="6"/>
                <w:color w:val="auto"/>
              </w:rPr>
            </w:pPr>
          </w:p>
        </w:tc>
        <w:tc>
          <w:tcPr>
            <w:tcW w:w="520" w:type="dxa"/>
            <w:vAlign w:val="bottom"/>
            <w:tcBorders>
              <w:right w:val="single" w:sz="8" w:color="CCEEFF"/>
            </w:tcBorders>
            <w:shd w:val="clear" w:color="auto" w:fill="CCEEFF"/>
          </w:tcPr>
          <w:p>
            <w:pPr>
              <w:spacing w:after="0"/>
              <w:rPr>
                <w:sz w:val="6"/>
                <w:szCs w:val="6"/>
                <w:color w:val="auto"/>
              </w:rPr>
            </w:pPr>
          </w:p>
        </w:tc>
        <w:tc>
          <w:tcPr>
            <w:tcW w:w="120" w:type="dxa"/>
            <w:vAlign w:val="bottom"/>
            <w:tcBorders>
              <w:left w:val="single" w:sz="8" w:color="CCEEFF"/>
            </w:tcBorders>
            <w:shd w:val="clear" w:color="auto" w:fill="CCEEFF"/>
          </w:tcPr>
          <w:p>
            <w:pPr>
              <w:spacing w:after="0"/>
              <w:rPr>
                <w:sz w:val="6"/>
                <w:szCs w:val="6"/>
                <w:color w:val="auto"/>
              </w:rPr>
            </w:pPr>
          </w:p>
        </w:tc>
        <w:tc>
          <w:tcPr>
            <w:tcW w:w="26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44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80" w:type="dxa"/>
            <w:vAlign w:val="bottom"/>
            <w:shd w:val="clear" w:color="auto" w:fill="CCEEFF"/>
          </w:tcPr>
          <w:p>
            <w:pPr>
              <w:spacing w:after="0"/>
              <w:rPr>
                <w:sz w:val="6"/>
                <w:szCs w:val="6"/>
                <w:color w:val="auto"/>
              </w:rPr>
            </w:pPr>
          </w:p>
        </w:tc>
        <w:tc>
          <w:tcPr>
            <w:tcW w:w="254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300" w:type="dxa"/>
            <w:vAlign w:val="bottom"/>
            <w:shd w:val="clear" w:color="auto" w:fill="CCEEFF"/>
          </w:tcPr>
          <w:p>
            <w:pPr>
              <w:spacing w:after="0"/>
              <w:rPr>
                <w:sz w:val="6"/>
                <w:szCs w:val="6"/>
                <w:color w:val="auto"/>
              </w:rPr>
            </w:pPr>
          </w:p>
        </w:tc>
        <w:tc>
          <w:tcPr>
            <w:tcW w:w="80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60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3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-5508625</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-5508625</wp:posOffset>
            </wp:positionV>
            <wp:extent cx="12700"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900" w:orient="portrait"/>
          <w:cols w:equalWidth="0" w:num="1">
            <w:col w:w="11460"/>
          </w:cols>
          <w:pgMar w:left="240" w:top="108" w:right="199" w:bottom="0" w:gutter="0" w:footer="0" w:header="0"/>
        </w:sectPr>
      </w:pPr>
    </w:p>
    <w:bookmarkStart w:id="2" w:name="page3"/>
    <w:bookmarkEnd w:id="2"/>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25,521.7</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24,036.6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Other policyholder funds</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819.5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812.7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221.6</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20" w:type="dxa"/>
            <w:vAlign w:val="bottom"/>
            <w:gridSpan w:val="9"/>
          </w:tcPr>
          <w:p>
            <w:pPr>
              <w:spacing w:after="0" w:line="201" w:lineRule="exact"/>
              <w:rPr>
                <w:sz w:val="20"/>
                <w:szCs w:val="20"/>
                <w:color w:val="auto"/>
              </w:rPr>
            </w:pPr>
            <w:r>
              <w:rPr>
                <w:rFonts w:ascii="Arial" w:cs="Arial" w:eastAsia="Arial" w:hAnsi="Arial"/>
                <w:sz w:val="18"/>
                <w:szCs w:val="18"/>
                <w:color w:val="auto"/>
                <w:w w:val="99"/>
              </w:rPr>
              <w:t>Long-term debt (2015 and 2014 include $38.2 million and $82.3 million related to consolidated variable interest</w:t>
            </w:r>
          </w:p>
        </w:tc>
        <w:tc>
          <w:tcPr>
            <w:tcW w:w="240" w:type="dxa"/>
            <w:vAlign w:val="bottom"/>
          </w:tcPr>
          <w:p>
            <w:pPr>
              <w:spacing w:after="0"/>
              <w:rPr>
                <w:sz w:val="17"/>
                <w:szCs w:val="17"/>
                <w:color w:val="auto"/>
              </w:rPr>
            </w:pPr>
          </w:p>
        </w:tc>
        <w:tc>
          <w:tcPr>
            <w:tcW w:w="880" w:type="dxa"/>
            <w:vAlign w:val="bottom"/>
            <w:gridSpan w:val="2"/>
            <w:vMerge w:val="restart"/>
          </w:tcPr>
          <w:p>
            <w:pPr>
              <w:jc w:val="right"/>
              <w:ind w:right="20"/>
              <w:spacing w:after="0"/>
              <w:rPr>
                <w:sz w:val="20"/>
                <w:szCs w:val="20"/>
                <w:color w:val="auto"/>
              </w:rPr>
            </w:pPr>
            <w:r>
              <w:rPr>
                <w:rFonts w:ascii="Arial" w:cs="Arial" w:eastAsia="Arial" w:hAnsi="Arial"/>
                <w:sz w:val="18"/>
                <w:szCs w:val="18"/>
                <w:b w:val="1"/>
                <w:bCs w:val="1"/>
                <w:color w:val="auto"/>
              </w:rPr>
              <w:t>3,286.1</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40" w:type="dxa"/>
            <w:vAlign w:val="bottom"/>
            <w:gridSpan w:val="2"/>
          </w:tcPr>
          <w:p>
            <w:pPr>
              <w:ind w:left="160"/>
              <w:spacing w:after="0"/>
              <w:rPr>
                <w:sz w:val="20"/>
                <w:szCs w:val="20"/>
                <w:color w:val="auto"/>
              </w:rPr>
            </w:pPr>
            <w:r>
              <w:rPr>
                <w:rFonts w:ascii="Arial" w:cs="Arial" w:eastAsia="Arial" w:hAnsi="Arial"/>
                <w:sz w:val="18"/>
                <w:szCs w:val="18"/>
                <w:color w:val="auto"/>
              </w:rPr>
              <w:t>entities)</w:t>
            </w:r>
          </w:p>
        </w:tc>
        <w:tc>
          <w:tcPr>
            <w:tcW w:w="2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2,531.2</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16.7</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Deferred income taxes</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878.8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1,035.3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20" w:type="dxa"/>
            <w:vAlign w:val="bottom"/>
            <w:tcBorders>
              <w:right w:val="single" w:sz="8" w:color="CCEEFF"/>
            </w:tcBorders>
            <w:gridSpan w:val="9"/>
            <w:shd w:val="clear" w:color="auto" w:fill="CCEEFF"/>
          </w:tcPr>
          <w:p>
            <w:pPr>
              <w:spacing w:after="0" w:line="201" w:lineRule="exact"/>
              <w:rPr>
                <w:sz w:val="20"/>
                <w:szCs w:val="20"/>
                <w:color w:val="auto"/>
              </w:rPr>
            </w:pPr>
            <w:r>
              <w:rPr>
                <w:rFonts w:ascii="Arial" w:cs="Arial" w:eastAsia="Arial" w:hAnsi="Arial"/>
                <w:sz w:val="18"/>
                <w:szCs w:val="18"/>
                <w:color w:val="auto"/>
                <w:w w:val="96"/>
              </w:rPr>
              <w:t>Separate account liabilities (2015 and 2014 include $32,827.6 million and $34,655.4 million related to consolidated</w:t>
            </w:r>
          </w:p>
        </w:tc>
        <w:tc>
          <w:tcPr>
            <w:tcW w:w="24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134,045.8</w:t>
            </w:r>
          </w:p>
        </w:tc>
        <w:tc>
          <w:tcPr>
            <w:tcW w:w="140" w:type="dxa"/>
            <w:vAlign w:val="bottom"/>
            <w:shd w:val="clear" w:color="auto" w:fill="CCEEFF"/>
          </w:tcPr>
          <w:p>
            <w:pPr>
              <w:spacing w:after="0"/>
              <w:rPr>
                <w:sz w:val="17"/>
                <w:szCs w:val="17"/>
                <w:color w:val="auto"/>
              </w:rPr>
            </w:pPr>
          </w:p>
        </w:tc>
        <w:tc>
          <w:tcPr>
            <w:tcW w:w="100" w:type="dxa"/>
            <w:vAlign w:val="bottom"/>
            <w:tcBorders>
              <w:right w:val="single" w:sz="8" w:color="CCEEFF"/>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variable interest entities)</w:t>
            </w:r>
          </w:p>
        </w:tc>
        <w:tc>
          <w:tcPr>
            <w:tcW w:w="28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00" w:type="dxa"/>
            <w:vAlign w:val="bottom"/>
            <w:shd w:val="clear" w:color="auto" w:fill="CCEEFF"/>
          </w:tcPr>
          <w:p>
            <w:pPr>
              <w:spacing w:after="0"/>
              <w:rPr>
                <w:sz w:val="20"/>
                <w:szCs w:val="20"/>
                <w:color w:val="auto"/>
              </w:rPr>
            </w:pPr>
          </w:p>
        </w:tc>
        <w:tc>
          <w:tcPr>
            <w:tcW w:w="220" w:type="dxa"/>
            <w:vAlign w:val="bottom"/>
            <w:tcBorders>
              <w:right w:val="single" w:sz="8" w:color="CCEEFF"/>
            </w:tcBorders>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0" w:type="dxa"/>
            <w:vAlign w:val="bottom"/>
            <w:tcBorders>
              <w:right w:val="single" w:sz="8" w:color="CCEEFF"/>
            </w:tcBorders>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4"/>
              </w:rPr>
              <w:t>140,072.8</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20" w:type="dxa"/>
            <w:vAlign w:val="bottom"/>
            <w:gridSpan w:val="9"/>
          </w:tcPr>
          <w:p>
            <w:pPr>
              <w:spacing w:after="0" w:line="201" w:lineRule="exact"/>
              <w:rPr>
                <w:sz w:val="20"/>
                <w:szCs w:val="20"/>
                <w:color w:val="auto"/>
              </w:rPr>
            </w:pPr>
            <w:r>
              <w:rPr>
                <w:rFonts w:ascii="Arial" w:cs="Arial" w:eastAsia="Arial" w:hAnsi="Arial"/>
                <w:sz w:val="18"/>
                <w:szCs w:val="18"/>
                <w:color w:val="auto"/>
                <w:w w:val="97"/>
              </w:rPr>
              <w:t>Other liabilities (2015 and 2014 include $340.7 million and $344.0 million related to consolidated variable interest</w:t>
            </w:r>
          </w:p>
        </w:tc>
        <w:tc>
          <w:tcPr>
            <w:tcW w:w="240" w:type="dxa"/>
            <w:vAlign w:val="bottom"/>
          </w:tcPr>
          <w:p>
            <w:pPr>
              <w:spacing w:after="0"/>
              <w:rPr>
                <w:sz w:val="17"/>
                <w:szCs w:val="17"/>
                <w:color w:val="auto"/>
              </w:rPr>
            </w:pPr>
          </w:p>
        </w:tc>
        <w:tc>
          <w:tcPr>
            <w:tcW w:w="880" w:type="dxa"/>
            <w:vAlign w:val="bottom"/>
            <w:gridSpan w:val="2"/>
            <w:vMerge w:val="restart"/>
          </w:tcPr>
          <w:p>
            <w:pPr>
              <w:jc w:val="right"/>
              <w:ind w:right="20"/>
              <w:spacing w:after="0"/>
              <w:rPr>
                <w:sz w:val="20"/>
                <w:szCs w:val="20"/>
                <w:color w:val="auto"/>
              </w:rPr>
            </w:pPr>
            <w:r>
              <w:rPr>
                <w:rFonts w:ascii="Arial" w:cs="Arial" w:eastAsia="Arial" w:hAnsi="Arial"/>
                <w:sz w:val="18"/>
                <w:szCs w:val="18"/>
                <w:b w:val="1"/>
                <w:bCs w:val="1"/>
                <w:color w:val="auto"/>
              </w:rPr>
              <w:t>5,696.2</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800" w:type="dxa"/>
            <w:vAlign w:val="bottom"/>
            <w:gridSpan w:val="7"/>
          </w:tcPr>
          <w:p>
            <w:pPr>
              <w:ind w:left="160"/>
              <w:spacing w:after="0"/>
              <w:rPr>
                <w:sz w:val="20"/>
                <w:szCs w:val="20"/>
                <w:color w:val="auto"/>
              </w:rPr>
            </w:pPr>
            <w:r>
              <w:rPr>
                <w:rFonts w:ascii="Arial" w:cs="Arial" w:eastAsia="Arial" w:hAnsi="Arial"/>
                <w:sz w:val="18"/>
                <w:szCs w:val="18"/>
                <w:color w:val="auto"/>
                <w:w w:val="93"/>
              </w:rPr>
              <w:t>entities, of which $64.7 million and $71.0 million are measured at fair value under the fair value option)</w:t>
            </w: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5,542.2</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tcBorders>
              <w:top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2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right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205,601.6</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right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208,797.0</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Redeemable noncontrolling interest</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78.0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58.0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20" w:type="dxa"/>
            <w:vAlign w:val="bottom"/>
            <w:gridSpan w:val="9"/>
          </w:tcPr>
          <w:p>
            <w:pPr>
              <w:spacing w:after="0" w:line="201" w:lineRule="exact"/>
              <w:rPr>
                <w:sz w:val="20"/>
                <w:szCs w:val="20"/>
                <w:color w:val="auto"/>
              </w:rPr>
            </w:pPr>
            <w:r>
              <w:rPr>
                <w:rFonts w:ascii="Arial" w:cs="Arial" w:eastAsia="Arial" w:hAnsi="Arial"/>
                <w:sz w:val="18"/>
                <w:szCs w:val="18"/>
                <w:color w:val="auto"/>
                <w:w w:val="94"/>
              </w:rPr>
              <w:t>Series A preferred stock, par value $.01 per share with liquidation preference of $100 per share — 0.0 million and 3.0</w:t>
            </w:r>
          </w:p>
        </w:tc>
        <w:tc>
          <w:tcPr>
            <w:tcW w:w="240" w:type="dxa"/>
            <w:vAlign w:val="bottom"/>
          </w:tcPr>
          <w:p>
            <w:pPr>
              <w:spacing w:after="0"/>
              <w:rPr>
                <w:sz w:val="17"/>
                <w:szCs w:val="17"/>
                <w:color w:val="auto"/>
              </w:rPr>
            </w:pPr>
          </w:p>
        </w:tc>
        <w:tc>
          <w:tcPr>
            <w:tcW w:w="1020" w:type="dxa"/>
            <w:vAlign w:val="bottom"/>
            <w:gridSpan w:val="3"/>
            <w:vMerge w:val="restart"/>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40" w:type="dxa"/>
            <w:vAlign w:val="bottom"/>
            <w:gridSpan w:val="2"/>
          </w:tcPr>
          <w:p>
            <w:pPr>
              <w:ind w:left="160"/>
              <w:spacing w:after="0"/>
              <w:rPr>
                <w:sz w:val="20"/>
                <w:szCs w:val="20"/>
                <w:color w:val="auto"/>
              </w:rPr>
            </w:pPr>
            <w:r>
              <w:rPr>
                <w:rFonts w:ascii="Arial" w:cs="Arial" w:eastAsia="Arial" w:hAnsi="Arial"/>
                <w:sz w:val="18"/>
                <w:szCs w:val="18"/>
                <w:color w:val="auto"/>
              </w:rPr>
              <w:t>million shares authorized, issued and outstanding in 2015 and 2014</w:t>
            </w:r>
          </w:p>
        </w:tc>
        <w:tc>
          <w:tcPr>
            <w:tcW w:w="2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gridSpan w:val="3"/>
            <w:vMerge w:val="continue"/>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20" w:type="dxa"/>
            <w:vAlign w:val="bottom"/>
            <w:tcBorders>
              <w:right w:val="single" w:sz="8" w:color="CCEEFF"/>
            </w:tcBorders>
            <w:gridSpan w:val="9"/>
            <w:shd w:val="clear" w:color="auto" w:fill="CCEEFF"/>
          </w:tcPr>
          <w:p>
            <w:pPr>
              <w:spacing w:after="0" w:line="201" w:lineRule="exact"/>
              <w:rPr>
                <w:sz w:val="20"/>
                <w:szCs w:val="20"/>
                <w:color w:val="auto"/>
              </w:rPr>
            </w:pPr>
            <w:r>
              <w:rPr>
                <w:rFonts w:ascii="Arial" w:cs="Arial" w:eastAsia="Arial" w:hAnsi="Arial"/>
                <w:sz w:val="18"/>
                <w:szCs w:val="18"/>
                <w:color w:val="auto"/>
                <w:w w:val="94"/>
              </w:rPr>
              <w:t>Series B preferred stock, par value $.01 per share with liquidation preference of $25 per share — 0.0 million and 10.0</w:t>
            </w:r>
          </w:p>
        </w:tc>
        <w:tc>
          <w:tcPr>
            <w:tcW w:w="240" w:type="dxa"/>
            <w:vAlign w:val="bottom"/>
            <w:shd w:val="clear" w:color="auto" w:fill="CCEEFF"/>
          </w:tcPr>
          <w:p>
            <w:pPr>
              <w:spacing w:after="0"/>
              <w:rPr>
                <w:sz w:val="17"/>
                <w:szCs w:val="17"/>
                <w:color w:val="auto"/>
              </w:rPr>
            </w:pPr>
          </w:p>
        </w:tc>
        <w:tc>
          <w:tcPr>
            <w:tcW w:w="1020" w:type="dxa"/>
            <w:vAlign w:val="bottom"/>
            <w:gridSpan w:val="3"/>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00" w:type="dxa"/>
            <w:vAlign w:val="bottom"/>
            <w:tcBorders>
              <w:right w:val="single" w:sz="8" w:color="CCEEFF"/>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million shares authorized, issued and outstanding in 2015 and 2014</w:t>
            </w:r>
          </w:p>
        </w:tc>
        <w:tc>
          <w:tcPr>
            <w:tcW w:w="28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00" w:type="dxa"/>
            <w:vAlign w:val="bottom"/>
            <w:shd w:val="clear" w:color="auto" w:fill="CCEEFF"/>
          </w:tcPr>
          <w:p>
            <w:pPr>
              <w:spacing w:after="0"/>
              <w:rPr>
                <w:sz w:val="20"/>
                <w:szCs w:val="20"/>
                <w:color w:val="auto"/>
              </w:rPr>
            </w:pPr>
          </w:p>
        </w:tc>
        <w:tc>
          <w:tcPr>
            <w:tcW w:w="220" w:type="dxa"/>
            <w:vAlign w:val="bottom"/>
            <w:tcBorders>
              <w:right w:val="single" w:sz="8" w:color="CCEEFF"/>
            </w:tcBorders>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20" w:type="dxa"/>
            <w:vAlign w:val="bottom"/>
            <w:gridSpan w:val="3"/>
            <w:vMerge w:val="continue"/>
            <w:shd w:val="clear" w:color="auto" w:fill="CCEEFF"/>
          </w:tcPr>
          <w:p>
            <w:pPr>
              <w:spacing w:after="0"/>
              <w:rPr>
                <w:sz w:val="20"/>
                <w:szCs w:val="20"/>
                <w:color w:val="auto"/>
              </w:rPr>
            </w:pPr>
          </w:p>
        </w:tc>
        <w:tc>
          <w:tcPr>
            <w:tcW w:w="100" w:type="dxa"/>
            <w:vAlign w:val="bottom"/>
            <w:tcBorders>
              <w:right w:val="single" w:sz="8" w:color="CCEEFF"/>
            </w:tcBorders>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20" w:type="dxa"/>
            <w:vAlign w:val="bottom"/>
            <w:gridSpan w:val="9"/>
          </w:tcPr>
          <w:p>
            <w:pPr>
              <w:spacing w:after="0" w:line="201" w:lineRule="exact"/>
              <w:rPr>
                <w:sz w:val="20"/>
                <w:szCs w:val="20"/>
                <w:color w:val="auto"/>
              </w:rPr>
            </w:pPr>
            <w:r>
              <w:rPr>
                <w:rFonts w:ascii="Arial" w:cs="Arial" w:eastAsia="Arial" w:hAnsi="Arial"/>
                <w:sz w:val="18"/>
                <w:szCs w:val="18"/>
                <w:color w:val="auto"/>
                <w:w w:val="94"/>
              </w:rPr>
              <w:t>Common stock, par value $.01 per share — 2,500.0 million shares authorized, 466.0 million and 462.7 million shares</w:t>
            </w:r>
          </w:p>
        </w:tc>
        <w:tc>
          <w:tcPr>
            <w:tcW w:w="240" w:type="dxa"/>
            <w:vAlign w:val="bottom"/>
          </w:tcPr>
          <w:p>
            <w:pPr>
              <w:spacing w:after="0"/>
              <w:rPr>
                <w:sz w:val="17"/>
                <w:szCs w:val="17"/>
                <w:color w:val="auto"/>
              </w:rPr>
            </w:pPr>
          </w:p>
        </w:tc>
        <w:tc>
          <w:tcPr>
            <w:tcW w:w="880" w:type="dxa"/>
            <w:vAlign w:val="bottom"/>
            <w:gridSpan w:val="2"/>
            <w:vMerge w:val="restart"/>
          </w:tcPr>
          <w:p>
            <w:pPr>
              <w:jc w:val="right"/>
              <w:ind w:right="20"/>
              <w:spacing w:after="0"/>
              <w:rPr>
                <w:sz w:val="20"/>
                <w:szCs w:val="20"/>
                <w:color w:val="auto"/>
              </w:rPr>
            </w:pPr>
            <w:r>
              <w:rPr>
                <w:rFonts w:ascii="Arial" w:cs="Arial" w:eastAsia="Arial" w:hAnsi="Arial"/>
                <w:sz w:val="18"/>
                <w:szCs w:val="18"/>
                <w:b w:val="1"/>
                <w:bCs w:val="1"/>
                <w:color w:val="auto"/>
              </w:rPr>
              <w:t>4.7</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40" w:type="dxa"/>
            <w:vAlign w:val="bottom"/>
            <w:gridSpan w:val="2"/>
          </w:tcPr>
          <w:p>
            <w:pPr>
              <w:ind w:left="160"/>
              <w:spacing w:after="0"/>
              <w:rPr>
                <w:sz w:val="20"/>
                <w:szCs w:val="20"/>
                <w:color w:val="auto"/>
              </w:rPr>
            </w:pPr>
            <w:r>
              <w:rPr>
                <w:rFonts w:ascii="Arial" w:cs="Arial" w:eastAsia="Arial" w:hAnsi="Arial"/>
                <w:sz w:val="18"/>
                <w:szCs w:val="18"/>
                <w:color w:val="auto"/>
                <w:w w:val="91"/>
              </w:rPr>
              <w:t>issued, and 293.5 million and 293.9 million shares outstanding in 2015 and 2014</w:t>
            </w:r>
          </w:p>
        </w:tc>
        <w:tc>
          <w:tcPr>
            <w:tcW w:w="2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4.6</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9,524.2</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9,945.5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Retained earnings</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6,734.7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6,114.1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Accumulated other comprehensive income (loss)</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(524.4)</w:t>
            </w: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w w:val="93"/>
              </w:rPr>
              <w:t>Treasury stock, at cost (172.5 million and 168.8 million shares in 2015 and 2014)</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rPr>
              <w:t>(6,118.9)</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(5,930.7)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tcBorders>
              <w:top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Total stockholders’ equity attributable to Principal Financial Group, Inc.</w:t>
            </w:r>
          </w:p>
        </w:tc>
        <w:tc>
          <w:tcPr>
            <w:tcW w:w="2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right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9,620.3</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right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10,184.0</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Noncontrolling interest</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65.5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48.0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tcBorders>
              <w:top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Total stockholders’ equity</w:t>
            </w:r>
          </w:p>
        </w:tc>
        <w:tc>
          <w:tcPr>
            <w:tcW w:w="2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right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9,685.8</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right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10,232.0</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2"/>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bottom w:val="single" w:sz="8" w:color="auto"/>
            </w:tcBorders>
          </w:tcPr>
          <w:p>
            <w:pPr>
              <w:jc w:val="right"/>
              <w:ind w:right="62"/>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215,365.4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bottom w:val="single" w:sz="8" w:color="auto"/>
            </w:tcBorders>
          </w:tcPr>
          <w:p>
            <w:pPr>
              <w:jc w:val="right"/>
              <w:ind w:right="197"/>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219,087.0</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60" w:type="dxa"/>
            <w:vAlign w:val="bottom"/>
            <w:gridSpan w:val="3"/>
            <w:vMerge w:val="restart"/>
          </w:tcPr>
          <w:p>
            <w:pPr>
              <w:spacing w:after="0"/>
              <w:rPr>
                <w:sz w:val="20"/>
                <w:szCs w:val="20"/>
                <w:color w:val="auto"/>
              </w:rPr>
            </w:pPr>
            <w:r>
              <w:rPr>
                <w:rFonts w:ascii="Arial" w:cs="Arial" w:eastAsia="Arial" w:hAnsi="Arial"/>
                <w:sz w:val="18"/>
                <w:szCs w:val="18"/>
                <w:i w:val="1"/>
                <w:iCs w:val="1"/>
                <w:color w:val="auto"/>
              </w:rPr>
              <w:t>See accompanying notes.</w:t>
            </w:r>
          </w:p>
        </w:tc>
        <w:tc>
          <w:tcPr>
            <w:tcW w:w="2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060" w:type="dxa"/>
            <w:vAlign w:val="bottom"/>
            <w:gridSpan w:val="3"/>
            <w:vMerge w:val="continue"/>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060" w:type="dxa"/>
            <w:vAlign w:val="bottom"/>
            <w:gridSpan w:val="3"/>
          </w:tcPr>
          <w:p>
            <w:pPr>
              <w:jc w:val="center"/>
              <w:ind w:left="5270"/>
              <w:spacing w:after="0"/>
              <w:rPr>
                <w:sz w:val="20"/>
                <w:szCs w:val="20"/>
                <w:color w:val="auto"/>
              </w:rPr>
            </w:pPr>
            <w:r>
              <w:rPr>
                <w:rFonts w:ascii="Arial" w:cs="Arial" w:eastAsia="Arial" w:hAnsi="Arial"/>
                <w:sz w:val="18"/>
                <w:szCs w:val="18"/>
                <w:color w:val="auto"/>
                <w:w w:val="99"/>
              </w:rPr>
              <w:t>3</w:t>
            </w: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47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606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6080" w:type="dxa"/>
            <w:vAlign w:val="bottom"/>
            <w:gridSpan w:val="4"/>
          </w:tcPr>
          <w:p>
            <w:pPr>
              <w:jc w:val="center"/>
              <w:ind w:left="2690"/>
              <w:spacing w:after="0"/>
              <w:rPr>
                <w:sz w:val="20"/>
                <w:szCs w:val="20"/>
                <w:color w:val="auto"/>
              </w:rPr>
            </w:pPr>
            <w:r>
              <w:rPr>
                <w:rFonts w:ascii="Arial" w:cs="Arial" w:eastAsia="Arial" w:hAnsi="Arial"/>
                <w:sz w:val="18"/>
                <w:szCs w:val="18"/>
                <w:b w:val="1"/>
                <w:bCs w:val="1"/>
                <w:color w:val="auto"/>
                <w:w w:val="93"/>
              </w:rPr>
              <w:t>Principal Financial Group, Inc.</w:t>
            </w: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080" w:type="dxa"/>
            <w:vAlign w:val="bottom"/>
            <w:gridSpan w:val="4"/>
          </w:tcPr>
          <w:p>
            <w:pPr>
              <w:jc w:val="center"/>
              <w:ind w:left="2710"/>
              <w:spacing w:after="0"/>
              <w:rPr>
                <w:sz w:val="20"/>
                <w:szCs w:val="20"/>
                <w:color w:val="auto"/>
              </w:rPr>
            </w:pPr>
            <w:r>
              <w:rPr>
                <w:rFonts w:ascii="Arial" w:cs="Arial" w:eastAsia="Arial" w:hAnsi="Arial"/>
                <w:sz w:val="18"/>
                <w:szCs w:val="18"/>
                <w:b w:val="1"/>
                <w:bCs w:val="1"/>
                <w:color w:val="auto"/>
                <w:w w:val="88"/>
              </w:rPr>
              <w:t>Consolidated Statements of Operations</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5060" w:type="dxa"/>
            <w:vAlign w:val="bottom"/>
            <w:gridSpan w:val="2"/>
          </w:tcPr>
          <w:p>
            <w:pPr>
              <w:jc w:val="center"/>
              <w:ind w:left="3710"/>
              <w:spacing w:after="0"/>
              <w:rPr>
                <w:sz w:val="20"/>
                <w:szCs w:val="20"/>
                <w:color w:val="auto"/>
              </w:rPr>
            </w:pPr>
            <w:r>
              <w:rPr>
                <w:rFonts w:ascii="Arial" w:cs="Arial" w:eastAsia="Arial" w:hAnsi="Arial"/>
                <w:sz w:val="18"/>
                <w:szCs w:val="18"/>
                <w:b w:val="1"/>
                <w:bCs w:val="1"/>
                <w:color w:val="auto"/>
                <w:w w:val="93"/>
              </w:rPr>
              <w:t>(Unaudited)</w:t>
            </w:r>
          </w:p>
        </w:tc>
        <w:tc>
          <w:tcPr>
            <w:tcW w:w="8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500" w:type="dxa"/>
            <w:vAlign w:val="bottom"/>
            <w:gridSpan w:val="6"/>
          </w:tcPr>
          <w:p>
            <w:pPr>
              <w:jc w:val="right"/>
              <w:ind w:right="660"/>
              <w:spacing w:after="0"/>
              <w:rPr>
                <w:sz w:val="20"/>
                <w:szCs w:val="20"/>
                <w:color w:val="auto"/>
              </w:rPr>
            </w:pPr>
            <w:r>
              <w:rPr>
                <w:rFonts w:ascii="Arial" w:cs="Arial" w:eastAsia="Arial" w:hAnsi="Arial"/>
                <w:sz w:val="14"/>
                <w:szCs w:val="14"/>
                <w:b w:val="1"/>
                <w:bCs w:val="1"/>
                <w:color w:val="auto"/>
                <w:w w:val="98"/>
              </w:rPr>
              <w:t>For the three months ended</w:t>
            </w:r>
          </w:p>
        </w:tc>
        <w:tc>
          <w:tcPr>
            <w:tcW w:w="240" w:type="dxa"/>
            <w:vAlign w:val="bottom"/>
          </w:tcPr>
          <w:p>
            <w:pPr>
              <w:spacing w:after="0"/>
              <w:rPr>
                <w:sz w:val="24"/>
                <w:szCs w:val="24"/>
                <w:color w:val="auto"/>
              </w:rPr>
            </w:pPr>
          </w:p>
        </w:tc>
        <w:tc>
          <w:tcPr>
            <w:tcW w:w="2340" w:type="dxa"/>
            <w:vAlign w:val="bottom"/>
            <w:gridSpan w:val="7"/>
          </w:tcPr>
          <w:p>
            <w:pPr>
              <w:jc w:val="right"/>
              <w:ind w:right="520"/>
              <w:spacing w:after="0"/>
              <w:rPr>
                <w:sz w:val="20"/>
                <w:szCs w:val="20"/>
                <w:color w:val="auto"/>
              </w:rPr>
            </w:pPr>
            <w:r>
              <w:rPr>
                <w:rFonts w:ascii="Arial" w:cs="Arial" w:eastAsia="Arial" w:hAnsi="Arial"/>
                <w:sz w:val="14"/>
                <w:szCs w:val="14"/>
                <w:b w:val="1"/>
                <w:bCs w:val="1"/>
                <w:color w:val="auto"/>
              </w:rPr>
              <w:t>For the nine months ended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4780" w:type="dxa"/>
            <w:vAlign w:val="bottom"/>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352"/>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351"/>
              <w:spacing w:after="0" w:line="142" w:lineRule="exact"/>
              <w:rPr>
                <w:sz w:val="20"/>
                <w:szCs w:val="20"/>
                <w:color w:val="auto"/>
              </w:rPr>
            </w:pPr>
            <w:r>
              <w:rPr>
                <w:rFonts w:ascii="Arial" w:cs="Arial" w:eastAsia="Arial" w:hAnsi="Arial"/>
                <w:sz w:val="14"/>
                <w:szCs w:val="14"/>
                <w:b w:val="1"/>
                <w:bCs w:val="1"/>
                <w:color w:val="auto"/>
              </w:rPr>
              <w:t>2014</w:t>
            </w:r>
          </w:p>
        </w:tc>
        <w:tc>
          <w:tcPr>
            <w:tcW w:w="22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311"/>
              <w:spacing w:after="0" w:line="142" w:lineRule="exact"/>
              <w:rPr>
                <w:sz w:val="20"/>
                <w:szCs w:val="20"/>
                <w:color w:val="auto"/>
              </w:rPr>
            </w:pPr>
            <w:r>
              <w:rPr>
                <w:rFonts w:ascii="Arial" w:cs="Arial" w:eastAsia="Arial" w:hAnsi="Arial"/>
                <w:sz w:val="14"/>
                <w:szCs w:val="14"/>
                <w:b w:val="1"/>
                <w:bCs w:val="1"/>
                <w:color w:val="auto"/>
              </w:rPr>
              <w:t>2015</w:t>
            </w:r>
          </w:p>
        </w:tc>
        <w:tc>
          <w:tcPr>
            <w:tcW w:w="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350"/>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4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60" w:type="dxa"/>
            <w:vAlign w:val="bottom"/>
            <w:gridSpan w:val="7"/>
          </w:tcPr>
          <w:p>
            <w:pPr>
              <w:jc w:val="right"/>
              <w:ind w:right="360"/>
              <w:spacing w:after="0" w:line="142" w:lineRule="exact"/>
              <w:rPr>
                <w:sz w:val="20"/>
                <w:szCs w:val="20"/>
                <w:color w:val="auto"/>
              </w:rPr>
            </w:pPr>
            <w:r>
              <w:rPr>
                <w:rFonts w:ascii="Arial" w:cs="Arial" w:eastAsia="Arial" w:hAnsi="Arial"/>
                <w:sz w:val="14"/>
                <w:szCs w:val="14"/>
                <w:b w:val="1"/>
                <w:bCs w:val="1"/>
                <w:color w:val="auto"/>
                <w:w w:val="98"/>
              </w:rPr>
              <w:t>(in millions, except per share data)</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Premiums and other considerations</w:t>
            </w:r>
          </w:p>
        </w:tc>
        <w:tc>
          <w:tcPr>
            <w:tcW w:w="280" w:type="dxa"/>
            <w:vAlign w:val="bottom"/>
          </w:tcPr>
          <w:p>
            <w:pPr>
              <w:jc w:val="right"/>
              <w:ind w:right="125"/>
              <w:spacing w:after="0"/>
              <w:rPr>
                <w:sz w:val="20"/>
                <w:szCs w:val="20"/>
                <w:color w:val="auto"/>
              </w:rPr>
            </w:pPr>
            <w:r>
              <w:rPr>
                <w:rFonts w:ascii="Arial" w:cs="Arial" w:eastAsia="Arial" w:hAnsi="Arial"/>
                <w:sz w:val="15"/>
                <w:szCs w:val="15"/>
                <w:b w:val="1"/>
                <w:bCs w:val="1"/>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1,557.1</w:t>
            </w:r>
          </w:p>
        </w:tc>
        <w:tc>
          <w:tcPr>
            <w:tcW w:w="140" w:type="dxa"/>
            <w:vAlign w:val="bottom"/>
          </w:tcPr>
          <w:p>
            <w:pPr>
              <w:spacing w:after="0"/>
              <w:rPr>
                <w:sz w:val="18"/>
                <w:szCs w:val="18"/>
                <w:color w:val="auto"/>
              </w:rPr>
            </w:pPr>
          </w:p>
        </w:tc>
        <w:tc>
          <w:tcPr>
            <w:tcW w:w="460" w:type="dxa"/>
            <w:vAlign w:val="bottom"/>
            <w:gridSpan w:val="2"/>
          </w:tcPr>
          <w:p>
            <w:pPr>
              <w:jc w:val="right"/>
              <w:ind w:right="196"/>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875.8</w:t>
            </w:r>
          </w:p>
        </w:tc>
        <w:tc>
          <w:tcPr>
            <w:tcW w:w="240" w:type="dxa"/>
            <w:vAlign w:val="bottom"/>
          </w:tcPr>
          <w:p>
            <w:pPr>
              <w:jc w:val="right"/>
              <w:ind w:right="82"/>
              <w:spacing w:after="0"/>
              <w:rPr>
                <w:sz w:val="20"/>
                <w:szCs w:val="20"/>
                <w:color w:val="auto"/>
              </w:rPr>
            </w:pPr>
            <w:r>
              <w:rPr>
                <w:rFonts w:ascii="Arial" w:cs="Arial" w:eastAsia="Arial" w:hAnsi="Arial"/>
                <w:sz w:val="15"/>
                <w:szCs w:val="15"/>
                <w:b w:val="1"/>
                <w:bCs w:val="1"/>
                <w:color w:val="auto"/>
                <w:w w:val="71"/>
              </w:rPr>
              <w:t>$</w:t>
            </w:r>
          </w:p>
        </w:tc>
        <w:tc>
          <w:tcPr>
            <w:tcW w:w="10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4,155.9</w:t>
            </w:r>
          </w:p>
        </w:tc>
        <w:tc>
          <w:tcPr>
            <w:tcW w:w="440" w:type="dxa"/>
            <w:vAlign w:val="bottom"/>
            <w:gridSpan w:val="2"/>
          </w:tcPr>
          <w:p>
            <w:pPr>
              <w:jc w:val="right"/>
              <w:ind w:right="217"/>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2,514.8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891.9</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884.5</w:t>
            </w:r>
          </w:p>
        </w:tc>
        <w:tc>
          <w:tcPr>
            <w:tcW w:w="24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2,744.2</w:t>
            </w: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2,569.7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Net investment income</w:t>
            </w: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753.5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770.4</w:t>
            </w:r>
          </w:p>
        </w:tc>
        <w:tc>
          <w:tcPr>
            <w:tcW w:w="240" w:type="dxa"/>
            <w:vAlign w:val="bottom"/>
          </w:tcPr>
          <w:p>
            <w:pPr>
              <w:spacing w:after="0"/>
              <w:rPr>
                <w:sz w:val="18"/>
                <w:szCs w:val="18"/>
                <w:color w:val="auto"/>
              </w:rPr>
            </w:pPr>
          </w:p>
        </w:tc>
        <w:tc>
          <w:tcPr>
            <w:tcW w:w="10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2,267.3</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2,444.1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0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4"/>
              </w:rPr>
              <w:t>Net realized capital gains (losses), excluding impairment losses on available-for-</w:t>
            </w:r>
          </w:p>
        </w:tc>
        <w:tc>
          <w:tcPr>
            <w:tcW w:w="280" w:type="dxa"/>
            <w:vAlign w:val="bottom"/>
            <w:shd w:val="clear" w:color="auto" w:fill="CCEEFF"/>
          </w:tcPr>
          <w:p>
            <w:pPr>
              <w:spacing w:after="0"/>
              <w:rPr>
                <w:sz w:val="17"/>
                <w:szCs w:val="17"/>
                <w:color w:val="auto"/>
              </w:rPr>
            </w:pPr>
          </w:p>
        </w:tc>
        <w:tc>
          <w:tcPr>
            <w:tcW w:w="10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46.0</w:t>
            </w:r>
          </w:p>
        </w:tc>
        <w:tc>
          <w:tcPr>
            <w:tcW w:w="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20" w:type="dxa"/>
            <w:vAlign w:val="bottom"/>
            <w:tcBorders>
              <w:right w:val="single" w:sz="8" w:color="CCEEFF"/>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11.1</w:t>
            </w:r>
          </w:p>
        </w:tc>
        <w:tc>
          <w:tcPr>
            <w:tcW w:w="100" w:type="dxa"/>
            <w:vAlign w:val="bottom"/>
            <w:tcBorders>
              <w:right w:val="single" w:sz="8" w:color="CCEEFF"/>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sale securities</w:t>
            </w:r>
          </w:p>
        </w:tc>
        <w:tc>
          <w:tcPr>
            <w:tcW w:w="280" w:type="dxa"/>
            <w:vAlign w:val="bottom"/>
            <w:shd w:val="clear" w:color="auto" w:fill="CCEEFF"/>
          </w:tcPr>
          <w:p>
            <w:pPr>
              <w:spacing w:after="0"/>
              <w:rPr>
                <w:sz w:val="20"/>
                <w:szCs w:val="20"/>
                <w:color w:val="auto"/>
              </w:rPr>
            </w:pPr>
          </w:p>
        </w:tc>
        <w:tc>
          <w:tcPr>
            <w:tcW w:w="102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02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(24.5)</w:t>
            </w:r>
          </w:p>
        </w:tc>
        <w:tc>
          <w:tcPr>
            <w:tcW w:w="240" w:type="dxa"/>
            <w:vAlign w:val="bottom"/>
            <w:shd w:val="clear" w:color="auto" w:fill="CCEEFF"/>
          </w:tcPr>
          <w:p>
            <w:pPr>
              <w:spacing w:after="0"/>
              <w:rPr>
                <w:sz w:val="20"/>
                <w:szCs w:val="20"/>
                <w:color w:val="auto"/>
              </w:rPr>
            </w:pPr>
          </w:p>
        </w:tc>
        <w:tc>
          <w:tcPr>
            <w:tcW w:w="1020" w:type="dxa"/>
            <w:vAlign w:val="bottom"/>
            <w:gridSpan w:val="3"/>
            <w:vMerge w:val="continue"/>
            <w:shd w:val="clear" w:color="auto" w:fill="CCEEFF"/>
          </w:tcPr>
          <w:p>
            <w:pPr>
              <w:spacing w:after="0"/>
              <w:rPr>
                <w:sz w:val="20"/>
                <w:szCs w:val="20"/>
                <w:color w:val="auto"/>
              </w:rPr>
            </w:pPr>
          </w:p>
        </w:tc>
        <w:tc>
          <w:tcPr>
            <w:tcW w:w="100" w:type="dxa"/>
            <w:vAlign w:val="bottom"/>
            <w:tcBorders>
              <w:right w:val="single" w:sz="8" w:color="CCEEFF"/>
            </w:tcBorders>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105.0</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040" w:type="dxa"/>
            <w:vAlign w:val="bottom"/>
            <w:gridSpan w:val="2"/>
          </w:tcPr>
          <w:p>
            <w:pPr>
              <w:spacing w:after="0" w:line="201" w:lineRule="exact"/>
              <w:rPr>
                <w:sz w:val="20"/>
                <w:szCs w:val="20"/>
                <w:color w:val="auto"/>
              </w:rPr>
            </w:pPr>
            <w:r>
              <w:rPr>
                <w:rFonts w:ascii="Arial" w:cs="Arial" w:eastAsia="Arial" w:hAnsi="Arial"/>
                <w:sz w:val="18"/>
                <w:szCs w:val="18"/>
                <w:color w:val="auto"/>
                <w:w w:val="97"/>
              </w:rPr>
              <w:t>Net other-than-temporary impairment (losses) recoveries on available-for-sale</w:t>
            </w:r>
          </w:p>
        </w:tc>
        <w:tc>
          <w:tcPr>
            <w:tcW w:w="280" w:type="dxa"/>
            <w:vAlign w:val="bottom"/>
          </w:tcPr>
          <w:p>
            <w:pPr>
              <w:spacing w:after="0"/>
              <w:rPr>
                <w:sz w:val="17"/>
                <w:szCs w:val="17"/>
                <w:color w:val="auto"/>
              </w:rPr>
            </w:pPr>
          </w:p>
        </w:tc>
        <w:tc>
          <w:tcPr>
            <w:tcW w:w="102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(6.5)</w:t>
            </w: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gridSpan w:val="3"/>
            <w:vMerge w:val="restart"/>
          </w:tcPr>
          <w:p>
            <w:pPr>
              <w:jc w:val="right"/>
              <w:ind w:right="140"/>
              <w:spacing w:after="0"/>
              <w:rPr>
                <w:sz w:val="20"/>
                <w:szCs w:val="20"/>
                <w:color w:val="auto"/>
              </w:rPr>
            </w:pPr>
            <w:r>
              <w:rPr>
                <w:rFonts w:ascii="Arial" w:cs="Arial" w:eastAsia="Arial" w:hAnsi="Arial"/>
                <w:sz w:val="18"/>
                <w:szCs w:val="18"/>
                <w:b w:val="1"/>
                <w:bCs w:val="1"/>
                <w:color w:val="auto"/>
              </w:rPr>
              <w:t>6.9</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40" w:type="dxa"/>
            <w:vAlign w:val="bottom"/>
            <w:gridSpan w:val="2"/>
          </w:tcPr>
          <w:p>
            <w:pPr>
              <w:ind w:left="160"/>
              <w:spacing w:after="0"/>
              <w:rPr>
                <w:sz w:val="20"/>
                <w:szCs w:val="20"/>
                <w:color w:val="auto"/>
              </w:rPr>
            </w:pPr>
            <w:r>
              <w:rPr>
                <w:rFonts w:ascii="Arial" w:cs="Arial" w:eastAsia="Arial" w:hAnsi="Arial"/>
                <w:sz w:val="18"/>
                <w:szCs w:val="18"/>
                <w:color w:val="auto"/>
              </w:rPr>
              <w:t>securities</w:t>
            </w:r>
          </w:p>
        </w:tc>
        <w:tc>
          <w:tcPr>
            <w:tcW w:w="280" w:type="dxa"/>
            <w:vAlign w:val="bottom"/>
          </w:tcPr>
          <w:p>
            <w:pPr>
              <w:spacing w:after="0"/>
              <w:rPr>
                <w:sz w:val="20"/>
                <w:szCs w:val="20"/>
                <w:color w:val="auto"/>
              </w:rPr>
            </w:pPr>
          </w:p>
        </w:tc>
        <w:tc>
          <w:tcPr>
            <w:tcW w:w="102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(7.3)</w:t>
            </w:r>
          </w:p>
        </w:tc>
        <w:tc>
          <w:tcPr>
            <w:tcW w:w="240" w:type="dxa"/>
            <w:vAlign w:val="bottom"/>
          </w:tcPr>
          <w:p>
            <w:pPr>
              <w:spacing w:after="0"/>
              <w:rPr>
                <w:sz w:val="20"/>
                <w:szCs w:val="20"/>
                <w:color w:val="auto"/>
              </w:rPr>
            </w:pPr>
          </w:p>
        </w:tc>
        <w:tc>
          <w:tcPr>
            <w:tcW w:w="1020" w:type="dxa"/>
            <w:vAlign w:val="bottom"/>
            <w:gridSpan w:val="3"/>
            <w:vMerge w:val="continue"/>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18.5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0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6"/>
              </w:rPr>
              <w:t>Other-than-temporary impairment losses on fixed maturities, available-for-sale</w:t>
            </w:r>
          </w:p>
        </w:tc>
        <w:tc>
          <w:tcPr>
            <w:tcW w:w="280" w:type="dxa"/>
            <w:vAlign w:val="bottom"/>
            <w:shd w:val="clear" w:color="auto" w:fill="CCEEFF"/>
          </w:tcPr>
          <w:p>
            <w:pPr>
              <w:spacing w:after="0"/>
              <w:rPr>
                <w:sz w:val="17"/>
                <w:szCs w:val="17"/>
                <w:color w:val="auto"/>
              </w:rPr>
            </w:pPr>
          </w:p>
        </w:tc>
        <w:tc>
          <w:tcPr>
            <w:tcW w:w="102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(1.1)</w:t>
            </w:r>
          </w:p>
        </w:tc>
        <w:tc>
          <w:tcPr>
            <w:tcW w:w="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20" w:type="dxa"/>
            <w:vAlign w:val="bottom"/>
            <w:tcBorders>
              <w:right w:val="single" w:sz="8" w:color="CCEEFF"/>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gridSpan w:val="3"/>
            <w:vMerge w:val="restart"/>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(28.0)</w:t>
            </w:r>
          </w:p>
        </w:tc>
        <w:tc>
          <w:tcPr>
            <w:tcW w:w="100" w:type="dxa"/>
            <w:vAlign w:val="bottom"/>
            <w:tcBorders>
              <w:right w:val="single" w:sz="8" w:color="CCEEFF"/>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0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reclassified from other comprehensive income</w:t>
            </w:r>
          </w:p>
        </w:tc>
        <w:tc>
          <w:tcPr>
            <w:tcW w:w="280" w:type="dxa"/>
            <w:vAlign w:val="bottom"/>
            <w:shd w:val="clear" w:color="auto" w:fill="CCEEFF"/>
          </w:tcPr>
          <w:p>
            <w:pPr>
              <w:spacing w:after="0"/>
              <w:rPr>
                <w:sz w:val="20"/>
                <w:szCs w:val="20"/>
                <w:color w:val="auto"/>
              </w:rPr>
            </w:pPr>
          </w:p>
        </w:tc>
        <w:tc>
          <w:tcPr>
            <w:tcW w:w="102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02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(14.6)</w:t>
            </w:r>
          </w:p>
        </w:tc>
        <w:tc>
          <w:tcPr>
            <w:tcW w:w="240" w:type="dxa"/>
            <w:vAlign w:val="bottom"/>
            <w:shd w:val="clear" w:color="auto" w:fill="CCEEFF"/>
          </w:tcPr>
          <w:p>
            <w:pPr>
              <w:spacing w:after="0"/>
              <w:rPr>
                <w:sz w:val="20"/>
                <w:szCs w:val="20"/>
                <w:color w:val="auto"/>
              </w:rPr>
            </w:pPr>
          </w:p>
        </w:tc>
        <w:tc>
          <w:tcPr>
            <w:tcW w:w="1020" w:type="dxa"/>
            <w:vAlign w:val="bottom"/>
            <w:gridSpan w:val="3"/>
            <w:vMerge w:val="continue"/>
            <w:shd w:val="clear" w:color="auto" w:fill="CCEEFF"/>
          </w:tcPr>
          <w:p>
            <w:pPr>
              <w:spacing w:after="0"/>
              <w:rPr>
                <w:sz w:val="20"/>
                <w:szCs w:val="20"/>
                <w:color w:val="auto"/>
              </w:rPr>
            </w:pPr>
          </w:p>
        </w:tc>
        <w:tc>
          <w:tcPr>
            <w:tcW w:w="100" w:type="dxa"/>
            <w:vAlign w:val="bottom"/>
            <w:tcBorders>
              <w:right w:val="single" w:sz="8" w:color="CCEEFF"/>
            </w:tcBorders>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(82.5)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40" w:type="dxa"/>
            <w:vAlign w:val="bottom"/>
            <w:gridSpan w:val="2"/>
            <w:vMerge w:val="restart"/>
          </w:tcPr>
          <w:p>
            <w:pPr>
              <w:spacing w:after="0"/>
              <w:rPr>
                <w:sz w:val="20"/>
                <w:szCs w:val="20"/>
                <w:color w:val="auto"/>
              </w:rPr>
            </w:pPr>
            <w:r>
              <w:rPr>
                <w:rFonts w:ascii="Arial" w:cs="Arial" w:eastAsia="Arial" w:hAnsi="Arial"/>
                <w:sz w:val="18"/>
                <w:szCs w:val="18"/>
                <w:color w:val="auto"/>
              </w:rPr>
              <w:t>Net impairment losses on available-for-sale securities</w:t>
            </w:r>
          </w:p>
        </w:tc>
        <w:tc>
          <w:tcPr>
            <w:tcW w:w="2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gridSpan w:val="2"/>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2"/>
            <w:vMerge w:val="continue"/>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(7.6)</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(21.9)</w:t>
            </w:r>
          </w:p>
        </w:tc>
        <w:tc>
          <w:tcPr>
            <w:tcW w:w="240" w:type="dxa"/>
            <w:vAlign w:val="bottom"/>
          </w:tcPr>
          <w:p>
            <w:pPr>
              <w:spacing w:after="0"/>
              <w:rPr>
                <w:sz w:val="18"/>
                <w:szCs w:val="18"/>
                <w:color w:val="auto"/>
              </w:rPr>
            </w:pPr>
          </w:p>
        </w:tc>
        <w:tc>
          <w:tcPr>
            <w:tcW w:w="102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rPr>
              <w:t>(21.1)</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(64.0)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40" w:type="dxa"/>
            <w:vAlign w:val="bottom"/>
            <w:gridSpan w:val="2"/>
            <w:vMerge w:val="restart"/>
            <w:shd w:val="clear" w:color="auto" w:fill="CCEEFF"/>
          </w:tcPr>
          <w:p>
            <w:pPr>
              <w:spacing w:after="0"/>
              <w:rPr>
                <w:sz w:val="20"/>
                <w:szCs w:val="20"/>
                <w:color w:val="auto"/>
              </w:rPr>
            </w:pPr>
            <w:r>
              <w:rPr>
                <w:rFonts w:ascii="Arial" w:cs="Arial" w:eastAsia="Arial" w:hAnsi="Arial"/>
                <w:sz w:val="18"/>
                <w:szCs w:val="18"/>
                <w:color w:val="auto"/>
              </w:rPr>
              <w:t>Net realized capital gains (losses)</w:t>
            </w:r>
          </w:p>
        </w:tc>
        <w:tc>
          <w:tcPr>
            <w:tcW w:w="2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gridSpan w:val="2"/>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tcBorders>
              <w:right w:val="single" w:sz="8" w:color="auto"/>
            </w:tcBorders>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2"/>
            <w:vMerge w:val="continue"/>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38.4</w:t>
            </w:r>
          </w:p>
        </w:tc>
        <w:tc>
          <w:tcPr>
            <w:tcW w:w="14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(46.4)</w:t>
            </w:r>
          </w:p>
        </w:tc>
        <w:tc>
          <w:tcPr>
            <w:tcW w:w="24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(10.0)</w:t>
            </w: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41.0</w:t>
            </w:r>
          </w:p>
        </w:tc>
        <w:tc>
          <w:tcPr>
            <w:tcW w:w="1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2"/>
          </w:tcPr>
          <w:p>
            <w:pPr>
              <w:ind w:left="180"/>
              <w:spacing w:after="0"/>
              <w:rPr>
                <w:sz w:val="20"/>
                <w:szCs w:val="20"/>
                <w:color w:val="auto"/>
              </w:rPr>
            </w:pPr>
            <w:r>
              <w:rPr>
                <w:rFonts w:ascii="Arial" w:cs="Arial" w:eastAsia="Arial" w:hAnsi="Arial"/>
                <w:sz w:val="18"/>
                <w:szCs w:val="18"/>
                <w:color w:val="auto"/>
              </w:rPr>
              <w:t>Total revenues</w:t>
            </w:r>
          </w:p>
        </w:tc>
        <w:tc>
          <w:tcPr>
            <w:tcW w:w="28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3,240.9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2,484.3</w:t>
            </w:r>
          </w:p>
        </w:tc>
        <w:tc>
          <w:tcPr>
            <w:tcW w:w="2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9,157.4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7,569.6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Benefits, claims and settlement expenses</w:t>
            </w: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1,869.6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1,113.8</w:t>
            </w:r>
          </w:p>
        </w:tc>
        <w:tc>
          <w:tcPr>
            <w:tcW w:w="240" w:type="dxa"/>
            <w:vAlign w:val="bottom"/>
          </w:tcPr>
          <w:p>
            <w:pPr>
              <w:spacing w:after="0"/>
              <w:rPr>
                <w:sz w:val="18"/>
                <w:szCs w:val="18"/>
                <w:color w:val="auto"/>
              </w:rPr>
            </w:pPr>
          </w:p>
        </w:tc>
        <w:tc>
          <w:tcPr>
            <w:tcW w:w="10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5,160.5</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3,609.7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40.7</w:t>
            </w: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44.2</w:t>
            </w:r>
          </w:p>
        </w:tc>
        <w:tc>
          <w:tcPr>
            <w:tcW w:w="24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123.5</w:t>
            </w: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Operating expenses</w:t>
            </w: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961.4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932.5</w:t>
            </w:r>
          </w:p>
        </w:tc>
        <w:tc>
          <w:tcPr>
            <w:tcW w:w="240" w:type="dxa"/>
            <w:vAlign w:val="bottom"/>
          </w:tcPr>
          <w:p>
            <w:pPr>
              <w:spacing w:after="0"/>
              <w:rPr>
                <w:sz w:val="18"/>
                <w:szCs w:val="18"/>
                <w:color w:val="auto"/>
              </w:rPr>
            </w:pPr>
          </w:p>
        </w:tc>
        <w:tc>
          <w:tcPr>
            <w:tcW w:w="10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2,751.6</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2,647.7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tcBorders>
              <w:top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Total expenses</w:t>
            </w: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2,871.7</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bottom w:val="single" w:sz="8" w:color="auto"/>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2,090.5</w:t>
            </w:r>
          </w:p>
        </w:tc>
        <w:tc>
          <w:tcPr>
            <w:tcW w:w="220" w:type="dxa"/>
            <w:vAlign w:val="bottom"/>
            <w:tcBorders>
              <w:top w:val="single" w:sz="8" w:color="CCEEFF"/>
              <w:right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8,035.6</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right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6,391.9</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Income before income taxes</w:t>
            </w: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369.2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393.8</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b w:val="1"/>
                <w:bCs w:val="1"/>
                <w:color w:val="auto"/>
              </w:rPr>
              <w:t>1,121.8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1,177.7</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taxes</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68.3</w:t>
            </w: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141.0</w:t>
            </w:r>
          </w:p>
        </w:tc>
        <w:tc>
          <w:tcPr>
            <w:tcW w:w="24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126.9</w:t>
            </w: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28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300.9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252.8</w:t>
            </w:r>
          </w:p>
        </w:tc>
        <w:tc>
          <w:tcPr>
            <w:tcW w:w="2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994.9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896.1</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attributable to noncontrolling interest</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3.9</w:t>
            </w:r>
          </w:p>
        </w:tc>
        <w:tc>
          <w:tcPr>
            <w:tcW w:w="24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14.5</w:t>
            </w: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Net income attributable to Principal Financial Group, Inc.</w:t>
            </w:r>
          </w:p>
        </w:tc>
        <w:tc>
          <w:tcPr>
            <w:tcW w:w="28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300.4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248.9</w:t>
            </w:r>
          </w:p>
        </w:tc>
        <w:tc>
          <w:tcPr>
            <w:tcW w:w="2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980.4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865.4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Preferred stock dividends</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8.2</w:t>
            </w:r>
          </w:p>
        </w:tc>
        <w:tc>
          <w:tcPr>
            <w:tcW w:w="24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16.5</w:t>
            </w: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w w:val="96"/>
              </w:rPr>
              <w:t>Excess of redemption value over carrying value of preferred shares redeemed</w:t>
            </w:r>
          </w:p>
        </w:tc>
        <w:tc>
          <w:tcPr>
            <w:tcW w:w="28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8.2</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Net income available to common stockholders</w:t>
            </w:r>
          </w:p>
        </w:tc>
        <w:tc>
          <w:tcPr>
            <w:tcW w:w="280" w:type="dxa"/>
            <w:vAlign w:val="bottom"/>
            <w:tcBorders>
              <w:top w:val="single" w:sz="8" w:color="auto"/>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300.4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380" w:type="dxa"/>
            <w:vAlign w:val="bottom"/>
            <w:tcBorders>
              <w:top w:val="single" w:sz="8" w:color="auto"/>
              <w:bottom w:val="single" w:sz="8" w:color="auto"/>
            </w:tcBorders>
            <w:shd w:val="clear" w:color="auto" w:fill="CCEEFF"/>
          </w:tcPr>
          <w:p>
            <w:pPr>
              <w:jc w:val="right"/>
              <w:ind w:right="196"/>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240.7</w:t>
            </w:r>
          </w:p>
        </w:tc>
        <w:tc>
          <w:tcPr>
            <w:tcW w:w="22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2"/>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955.7</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jc w:val="right"/>
              <w:ind w:right="217"/>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840.7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1260" w:type="dxa"/>
            <w:vAlign w:val="bottom"/>
          </w:tcPr>
          <w:p>
            <w:pPr>
              <w:spacing w:after="0"/>
              <w:rPr>
                <w:sz w:val="17"/>
                <w:szCs w:val="17"/>
                <w:color w:val="auto"/>
              </w:rPr>
            </w:pPr>
          </w:p>
        </w:tc>
        <w:tc>
          <w:tcPr>
            <w:tcW w:w="47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Earnings per common share</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Basic earnings per common share</w:t>
            </w:r>
          </w:p>
        </w:tc>
        <w:tc>
          <w:tcPr>
            <w:tcW w:w="280" w:type="dxa"/>
            <w:vAlign w:val="bottom"/>
          </w:tcPr>
          <w:p>
            <w:pPr>
              <w:jc w:val="right"/>
              <w:ind w:right="125"/>
              <w:spacing w:after="0"/>
              <w:rPr>
                <w:sz w:val="20"/>
                <w:szCs w:val="20"/>
                <w:color w:val="auto"/>
              </w:rPr>
            </w:pPr>
            <w:r>
              <w:rPr>
                <w:rFonts w:ascii="Arial" w:cs="Arial" w:eastAsia="Arial" w:hAnsi="Arial"/>
                <w:sz w:val="15"/>
                <w:szCs w:val="15"/>
                <w:b w:val="1"/>
                <w:bCs w:val="1"/>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1.02</w:t>
            </w:r>
          </w:p>
        </w:tc>
        <w:tc>
          <w:tcPr>
            <w:tcW w:w="1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tcPr>
          <w:p>
            <w:pPr>
              <w:jc w:val="right"/>
              <w:ind w:right="196"/>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0.78</w:t>
            </w:r>
          </w:p>
        </w:tc>
        <w:tc>
          <w:tcPr>
            <w:tcW w:w="220" w:type="dxa"/>
            <w:vAlign w:val="bottom"/>
          </w:tcPr>
          <w:p>
            <w:pPr>
              <w:spacing w:after="0"/>
              <w:rPr>
                <w:sz w:val="22"/>
                <w:szCs w:val="22"/>
                <w:color w:val="auto"/>
              </w:rPr>
            </w:pPr>
          </w:p>
        </w:tc>
        <w:tc>
          <w:tcPr>
            <w:tcW w:w="240" w:type="dxa"/>
            <w:vAlign w:val="bottom"/>
          </w:tcPr>
          <w:p>
            <w:pPr>
              <w:jc w:val="right"/>
              <w:ind w:right="82"/>
              <w:spacing w:after="0"/>
              <w:rPr>
                <w:sz w:val="20"/>
                <w:szCs w:val="20"/>
                <w:color w:val="auto"/>
              </w:rPr>
            </w:pPr>
            <w:r>
              <w:rPr>
                <w:rFonts w:ascii="Arial" w:cs="Arial" w:eastAsia="Arial" w:hAnsi="Arial"/>
                <w:sz w:val="15"/>
                <w:szCs w:val="15"/>
                <w:b w:val="1"/>
                <w:bCs w:val="1"/>
                <w:color w:val="auto"/>
                <w:w w:val="71"/>
              </w:rPr>
              <w:t>$</w:t>
            </w:r>
          </w:p>
        </w:tc>
        <w:tc>
          <w:tcPr>
            <w:tcW w:w="10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3.24</w:t>
            </w:r>
          </w:p>
        </w:tc>
        <w:tc>
          <w:tcPr>
            <w:tcW w:w="440" w:type="dxa"/>
            <w:vAlign w:val="bottom"/>
            <w:gridSpan w:val="2"/>
          </w:tcPr>
          <w:p>
            <w:pPr>
              <w:jc w:val="right"/>
              <w:ind w:right="217"/>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2.78</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1260" w:type="dxa"/>
            <w:vAlign w:val="bottom"/>
            <w:tcBorders>
              <w:top w:val="single" w:sz="8" w:color="CCEEFF"/>
            </w:tcBorders>
            <w:shd w:val="clear" w:color="auto" w:fill="CCEEFF"/>
          </w:tcPr>
          <w:p>
            <w:pPr>
              <w:spacing w:after="0"/>
              <w:rPr>
                <w:sz w:val="17"/>
                <w:szCs w:val="17"/>
                <w:color w:val="auto"/>
              </w:rPr>
            </w:pPr>
          </w:p>
        </w:tc>
        <w:tc>
          <w:tcPr>
            <w:tcW w:w="478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38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right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right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0" w:type="dxa"/>
            <w:vAlign w:val="bottom"/>
            <w:vMerge w:val="continue"/>
          </w:tcPr>
          <w:p>
            <w:pPr>
              <w:spacing w:after="0"/>
              <w:rPr>
                <w:sz w:val="22"/>
                <w:szCs w:val="22"/>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Diluted earnings per common share</w:t>
            </w:r>
          </w:p>
        </w:tc>
        <w:tc>
          <w:tcPr>
            <w:tcW w:w="280" w:type="dxa"/>
            <w:vAlign w:val="bottom"/>
          </w:tcPr>
          <w:p>
            <w:pPr>
              <w:jc w:val="right"/>
              <w:ind w:right="125"/>
              <w:spacing w:after="0"/>
              <w:rPr>
                <w:sz w:val="20"/>
                <w:szCs w:val="20"/>
                <w:color w:val="auto"/>
              </w:rPr>
            </w:pPr>
            <w:r>
              <w:rPr>
                <w:rFonts w:ascii="Arial" w:cs="Arial" w:eastAsia="Arial" w:hAnsi="Arial"/>
                <w:sz w:val="15"/>
                <w:szCs w:val="15"/>
                <w:b w:val="1"/>
                <w:bCs w:val="1"/>
                <w:color w:val="auto"/>
                <w:w w:val="71"/>
              </w:rPr>
              <w:t>$</w:t>
            </w:r>
          </w:p>
        </w:tc>
        <w:tc>
          <w:tcPr>
            <w:tcW w:w="10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1.01</w:t>
            </w:r>
          </w:p>
        </w:tc>
        <w:tc>
          <w:tcPr>
            <w:tcW w:w="460" w:type="dxa"/>
            <w:vAlign w:val="bottom"/>
            <w:gridSpan w:val="2"/>
          </w:tcPr>
          <w:p>
            <w:pPr>
              <w:jc w:val="right"/>
              <w:ind w:right="196"/>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0.77</w:t>
            </w:r>
          </w:p>
        </w:tc>
        <w:tc>
          <w:tcPr>
            <w:tcW w:w="240" w:type="dxa"/>
            <w:vAlign w:val="bottom"/>
          </w:tcPr>
          <w:p>
            <w:pPr>
              <w:jc w:val="right"/>
              <w:ind w:right="82"/>
              <w:spacing w:after="0"/>
              <w:rPr>
                <w:sz w:val="20"/>
                <w:szCs w:val="20"/>
                <w:color w:val="auto"/>
              </w:rPr>
            </w:pPr>
            <w:r>
              <w:rPr>
                <w:rFonts w:ascii="Arial" w:cs="Arial" w:eastAsia="Arial" w:hAnsi="Arial"/>
                <w:sz w:val="15"/>
                <w:szCs w:val="15"/>
                <w:b w:val="1"/>
                <w:bCs w:val="1"/>
                <w:color w:val="auto"/>
                <w:w w:val="71"/>
              </w:rPr>
              <w:t>$</w:t>
            </w:r>
          </w:p>
        </w:tc>
        <w:tc>
          <w:tcPr>
            <w:tcW w:w="10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3.20</w:t>
            </w:r>
          </w:p>
        </w:tc>
        <w:tc>
          <w:tcPr>
            <w:tcW w:w="440" w:type="dxa"/>
            <w:vAlign w:val="bottom"/>
            <w:gridSpan w:val="2"/>
          </w:tcPr>
          <w:p>
            <w:pPr>
              <w:jc w:val="right"/>
              <w:ind w:right="217"/>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2.75</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1260" w:type="dxa"/>
            <w:vAlign w:val="bottom"/>
            <w:tcBorders>
              <w:top w:val="single" w:sz="8" w:color="CCEEFF"/>
            </w:tcBorders>
            <w:shd w:val="clear" w:color="auto" w:fill="CCEEFF"/>
          </w:tcPr>
          <w:p>
            <w:pPr>
              <w:spacing w:after="0"/>
              <w:rPr>
                <w:sz w:val="16"/>
                <w:szCs w:val="16"/>
                <w:color w:val="auto"/>
              </w:rPr>
            </w:pPr>
          </w:p>
        </w:tc>
        <w:tc>
          <w:tcPr>
            <w:tcW w:w="4780" w:type="dxa"/>
            <w:vAlign w:val="bottom"/>
            <w:tcBorders>
              <w:top w:val="single" w:sz="8" w:color="CCEEFF"/>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380" w:type="dxa"/>
            <w:vAlign w:val="bottom"/>
            <w:tcBorders>
              <w:top w:val="single" w:sz="8" w:color="auto"/>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right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c>
          <w:tcPr>
            <w:tcW w:w="2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right w:val="single" w:sz="8" w:color="CCEEFF"/>
            </w:tcBorders>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-5997575</wp:posOffset>
            </wp:positionV>
            <wp:extent cx="12700"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-5997575</wp:posOffset>
            </wp:positionV>
            <wp:extent cx="12700"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900" w:orient="portrait"/>
          <w:cols w:equalWidth="0" w:num="1">
            <w:col w:w="11460"/>
          </w:cols>
          <w:pgMar w:left="240" w:top="140" w:right="199" w:bottom="0" w:gutter="0" w:footer="0" w:header="0"/>
        </w:sectPr>
      </w:pPr>
    </w:p>
    <w:bookmarkStart w:id="3" w:name="page4"/>
    <w:bookmarkEnd w:id="3"/>
    <w:p>
      <w:pPr>
        <w:spacing w:after="0"/>
        <w:tabs>
          <w:tab w:leader="none" w:pos="6040" w:val="left"/>
          <w:tab w:leader="none" w:pos="6880" w:val="left"/>
          <w:tab w:leader="none" w:pos="7420" w:val="left"/>
          <w:tab w:leader="none" w:pos="8280" w:val="left"/>
          <w:tab w:leader="none" w:pos="8800" w:val="left"/>
          <w:tab w:leader="none" w:pos="9620" w:val="left"/>
          <w:tab w:leader="none" w:pos="10160" w:val="left"/>
          <w:tab w:leader="none" w:pos="10980" w:val="left"/>
        </w:tabs>
        <w:rPr>
          <w:sz w:val="20"/>
          <w:szCs w:val="20"/>
          <w:color w:val="auto"/>
        </w:rPr>
      </w:pPr>
      <w:r>
        <w:rPr>
          <w:rFonts w:ascii="Arial" w:cs="Arial" w:eastAsia="Arial" w:hAnsi="Arial"/>
          <w:sz w:val="18"/>
          <w:szCs w:val="18"/>
          <w:b w:val="1"/>
          <w:bCs w:val="1"/>
          <w:color w:val="auto"/>
        </w:rPr>
        <w:t>Dividends declared per common share</w:t>
      </w:r>
      <w:r>
        <w:rPr>
          <w:sz w:val="20"/>
          <w:szCs w:val="20"/>
          <w:color w:val="auto"/>
        </w:rPr>
        <w:tab/>
      </w:r>
      <w:r>
        <w:rPr>
          <w:rFonts w:ascii="Arial" w:cs="Arial" w:eastAsia="Arial" w:hAnsi="Arial"/>
          <w:sz w:val="18"/>
          <w:szCs w:val="18"/>
          <w:b w:val="1"/>
          <w:bCs w:val="1"/>
          <w:color w:val="auto"/>
        </w:rPr>
        <w:t>$</w:t>
      </w:r>
      <w:r>
        <w:rPr>
          <w:sz w:val="20"/>
          <w:szCs w:val="20"/>
          <w:color w:val="auto"/>
        </w:rPr>
        <w:tab/>
      </w:r>
      <w:r>
        <w:rPr>
          <w:rFonts w:ascii="Arial" w:cs="Arial" w:eastAsia="Arial" w:hAnsi="Arial"/>
          <w:sz w:val="18"/>
          <w:szCs w:val="18"/>
          <w:b w:val="1"/>
          <w:bCs w:val="1"/>
          <w:color w:val="auto"/>
        </w:rPr>
        <w:t>0.38</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0.34</w:t>
      </w:r>
      <w:r>
        <w:rPr>
          <w:sz w:val="20"/>
          <w:szCs w:val="20"/>
          <w:color w:val="auto"/>
        </w:rPr>
        <w:tab/>
      </w:r>
      <w:r>
        <w:rPr>
          <w:rFonts w:ascii="Arial" w:cs="Arial" w:eastAsia="Arial" w:hAnsi="Arial"/>
          <w:sz w:val="18"/>
          <w:szCs w:val="18"/>
          <w:b w:val="1"/>
          <w:bCs w:val="1"/>
          <w:color w:val="auto"/>
        </w:rPr>
        <w:t>$</w:t>
      </w:r>
      <w:r>
        <w:rPr>
          <w:sz w:val="20"/>
          <w:szCs w:val="20"/>
          <w:color w:val="auto"/>
        </w:rPr>
        <w:tab/>
      </w:r>
      <w:r>
        <w:rPr>
          <w:rFonts w:ascii="Arial" w:cs="Arial" w:eastAsia="Arial" w:hAnsi="Arial"/>
          <w:sz w:val="18"/>
          <w:szCs w:val="18"/>
          <w:b w:val="1"/>
          <w:bCs w:val="1"/>
          <w:color w:val="auto"/>
        </w:rPr>
        <w:t>1.12</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0.94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17145</wp:posOffset>
            </wp:positionV>
            <wp:extent cx="333629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336290" cy="26035"/>
                    </a:xfrm>
                    <a:prstGeom prst="rect">
                      <a:avLst/>
                    </a:prstGeom>
                    <a:noFill/>
                  </pic:spPr>
                </pic:pic>
              </a:graphicData>
            </a:graphic>
          </wp:anchor>
        </w:drawing>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40" w:type="dxa"/>
            <w:vAlign w:val="bottom"/>
            <w:gridSpan w:val="12"/>
          </w:tcPr>
          <w:p>
            <w:pPr>
              <w:ind w:left="300"/>
              <w:spacing w:after="0"/>
              <w:rPr>
                <w:sz w:val="20"/>
                <w:szCs w:val="20"/>
                <w:color w:val="auto"/>
              </w:rPr>
            </w:pPr>
            <w:r>
              <w:rPr>
                <w:rFonts w:ascii="Arial" w:cs="Arial" w:eastAsia="Arial" w:hAnsi="Arial"/>
                <w:sz w:val="14"/>
                <w:szCs w:val="14"/>
                <w:b w:val="1"/>
                <w:bCs w:val="1"/>
                <w:color w:val="auto"/>
              </w:rPr>
              <w:t>For the three months ended</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100" w:type="dxa"/>
            <w:vAlign w:val="bottom"/>
            <w:gridSpan w:val="9"/>
          </w:tcPr>
          <w:p>
            <w:pPr>
              <w:jc w:val="right"/>
              <w:ind w:right="420"/>
              <w:spacing w:after="0"/>
              <w:rPr>
                <w:sz w:val="20"/>
                <w:szCs w:val="20"/>
                <w:color w:val="auto"/>
              </w:rPr>
            </w:pPr>
            <w:r>
              <w:rPr>
                <w:rFonts w:ascii="Arial" w:cs="Arial" w:eastAsia="Arial" w:hAnsi="Arial"/>
                <w:sz w:val="14"/>
                <w:szCs w:val="14"/>
                <w:b w:val="1"/>
                <w:bCs w:val="1"/>
                <w:color w:val="auto"/>
                <w:w w:val="92"/>
              </w:rPr>
              <w:t>For the nine months ended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20" w:type="dxa"/>
            <w:vAlign w:val="bottom"/>
            <w:gridSpan w:val="6"/>
          </w:tcPr>
          <w:p>
            <w:pPr>
              <w:jc w:val="right"/>
              <w:ind w:right="198"/>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100" w:type="dxa"/>
            <w:vAlign w:val="bottom"/>
            <w:gridSpan w:val="9"/>
          </w:tcPr>
          <w:p>
            <w:pPr>
              <w:jc w:val="right"/>
              <w:ind w:right="800"/>
              <w:spacing w:after="0"/>
              <w:rPr>
                <w:sz w:val="20"/>
                <w:szCs w:val="20"/>
                <w:color w:val="auto"/>
              </w:rPr>
            </w:pPr>
            <w:r>
              <w:rPr>
                <w:rFonts w:ascii="Arial" w:cs="Arial" w:eastAsia="Arial" w:hAnsi="Arial"/>
                <w:sz w:val="14"/>
                <w:szCs w:val="14"/>
                <w:b w:val="1"/>
                <w:bCs w:val="1"/>
                <w:color w:val="auto"/>
              </w:rPr>
              <w:t>September 30,</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Borders>
              <w:top w:val="single" w:sz="8" w:color="auto"/>
              <w:bottom w:val="single" w:sz="8" w:color="auto"/>
            </w:tcBorders>
            <w:gridSpan w:val="3"/>
          </w:tcPr>
          <w:p>
            <w:pPr>
              <w:ind w:left="380"/>
              <w:spacing w:after="0" w:line="142" w:lineRule="exact"/>
              <w:rPr>
                <w:sz w:val="20"/>
                <w:szCs w:val="20"/>
                <w:color w:val="auto"/>
              </w:rPr>
            </w:pPr>
            <w:r>
              <w:rPr>
                <w:rFonts w:ascii="Arial" w:cs="Arial" w:eastAsia="Arial" w:hAnsi="Arial"/>
                <w:sz w:val="14"/>
                <w:szCs w:val="14"/>
                <w:b w:val="1"/>
                <w:bCs w:val="1"/>
                <w:color w:val="auto"/>
              </w:rPr>
              <w:t>2015</w:t>
            </w:r>
          </w:p>
        </w:tc>
        <w:tc>
          <w:tcPr>
            <w:tcW w:w="26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gridSpan w:val="5"/>
          </w:tcPr>
          <w:p>
            <w:pPr>
              <w:jc w:val="right"/>
              <w:spacing w:after="0" w:line="142" w:lineRule="exact"/>
              <w:rPr>
                <w:sz w:val="20"/>
                <w:szCs w:val="20"/>
                <w:color w:val="auto"/>
              </w:rPr>
            </w:pPr>
            <w:r>
              <w:rPr>
                <w:rFonts w:ascii="Arial" w:cs="Arial" w:eastAsia="Arial" w:hAnsi="Arial"/>
                <w:sz w:val="14"/>
                <w:szCs w:val="14"/>
                <w:b w:val="1"/>
                <w:bCs w:val="1"/>
                <w:color w:val="auto"/>
              </w:rPr>
              <w:t>2014</w:t>
            </w:r>
          </w:p>
        </w:tc>
        <w:tc>
          <w:tcPr>
            <w:tcW w:w="320" w:type="dxa"/>
            <w:vAlign w:val="bottom"/>
            <w:tcBorders>
              <w:top w:val="single" w:sz="8" w:color="auto"/>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87"/>
              <w:spacing w:after="0" w:line="142" w:lineRule="exact"/>
              <w:rPr>
                <w:sz w:val="20"/>
                <w:szCs w:val="20"/>
                <w:color w:val="auto"/>
              </w:rPr>
            </w:pPr>
            <w:r>
              <w:rPr>
                <w:rFonts w:ascii="Arial" w:cs="Arial" w:eastAsia="Arial" w:hAnsi="Arial"/>
                <w:sz w:val="14"/>
                <w:szCs w:val="14"/>
                <w:b w:val="1"/>
                <w:bCs w:val="1"/>
                <w:color w:val="auto"/>
              </w:rPr>
              <w:t>2015</w:t>
            </w:r>
          </w:p>
        </w:tc>
        <w:tc>
          <w:tcPr>
            <w:tcW w:w="20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290"/>
              <w:spacing w:after="0" w:line="142" w:lineRule="exact"/>
              <w:rPr>
                <w:sz w:val="20"/>
                <w:szCs w:val="20"/>
                <w:color w:val="auto"/>
              </w:rPr>
            </w:pPr>
            <w:r>
              <w:rPr>
                <w:rFonts w:ascii="Arial" w:cs="Arial" w:eastAsia="Arial" w:hAnsi="Arial"/>
                <w:sz w:val="14"/>
                <w:szCs w:val="14"/>
                <w:b w:val="1"/>
                <w:bCs w:val="1"/>
                <w:color w:val="auto"/>
              </w:rPr>
              <w:t>2014</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5"/>
          </w:tcPr>
          <w:p>
            <w:pPr>
              <w:jc w:val="right"/>
              <w:ind w:right="13"/>
              <w:spacing w:after="0" w:line="142" w:lineRule="exact"/>
              <w:rPr>
                <w:sz w:val="20"/>
                <w:szCs w:val="20"/>
                <w:color w:val="auto"/>
              </w:rPr>
            </w:pPr>
            <w:r>
              <w:rPr>
                <w:rFonts w:ascii="Arial" w:cs="Arial" w:eastAsia="Arial" w:hAnsi="Arial"/>
                <w:sz w:val="14"/>
                <w:szCs w:val="14"/>
                <w:b w:val="1"/>
                <w:bCs w:val="1"/>
                <w:color w:val="auto"/>
                <w:w w:val="99"/>
              </w:rPr>
              <w:t>(in millions)</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4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w w:val="88"/>
              </w:rPr>
              <w:t>300.9</w:t>
            </w:r>
          </w:p>
        </w:tc>
        <w:tc>
          <w:tcPr>
            <w:tcW w:w="680" w:type="dxa"/>
            <w:vAlign w:val="bottom"/>
            <w:gridSpan w:val="2"/>
            <w:shd w:val="clear" w:color="auto" w:fill="CCEEFF"/>
          </w:tcPr>
          <w:p>
            <w:pPr>
              <w:jc w:val="right"/>
              <w:ind w:right="316"/>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6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252.8</w:t>
            </w:r>
          </w:p>
        </w:tc>
        <w:tc>
          <w:tcPr>
            <w:tcW w:w="340" w:type="dxa"/>
            <w:vAlign w:val="bottom"/>
            <w:gridSpan w:val="2"/>
            <w:shd w:val="clear" w:color="auto" w:fill="CCEEFF"/>
          </w:tcPr>
          <w:p>
            <w:pPr>
              <w:jc w:val="right"/>
              <w:ind w:right="55"/>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994.9</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896.1</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40" w:type="dxa"/>
            <w:vAlign w:val="bottom"/>
            <w:gridSpan w:val="2"/>
          </w:tcPr>
          <w:p>
            <w:pPr>
              <w:spacing w:after="0"/>
              <w:rPr>
                <w:sz w:val="20"/>
                <w:szCs w:val="20"/>
                <w:color w:val="auto"/>
              </w:rPr>
            </w:pPr>
            <w:r>
              <w:rPr>
                <w:rFonts w:ascii="Arial" w:cs="Arial" w:eastAsia="Arial" w:hAnsi="Arial"/>
                <w:sz w:val="18"/>
                <w:szCs w:val="18"/>
                <w:color w:val="auto"/>
                <w:w w:val="90"/>
              </w:rPr>
              <w:t>Other comprehensive income (loss), net:</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10"/>
            <w:shd w:val="clear" w:color="auto" w:fill="CCEEFF"/>
          </w:tcPr>
          <w:p>
            <w:pPr>
              <w:ind w:left="180"/>
              <w:spacing w:after="0"/>
              <w:rPr>
                <w:sz w:val="20"/>
                <w:szCs w:val="20"/>
                <w:color w:val="auto"/>
              </w:rPr>
            </w:pPr>
            <w:r>
              <w:rPr>
                <w:rFonts w:ascii="Arial" w:cs="Arial" w:eastAsia="Arial" w:hAnsi="Arial"/>
                <w:sz w:val="18"/>
                <w:szCs w:val="18"/>
                <w:color w:val="auto"/>
                <w:w w:val="94"/>
              </w:rPr>
              <w:t>Net unrealized gains (losses) on available-for-sale securities</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28.3</w:t>
            </w:r>
          </w:p>
        </w:tc>
        <w:tc>
          <w:tcPr>
            <w:tcW w:w="2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(73.9)</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7"/>
              <w:spacing w:after="0"/>
              <w:rPr>
                <w:sz w:val="20"/>
                <w:szCs w:val="20"/>
                <w:color w:val="auto"/>
              </w:rPr>
            </w:pPr>
            <w:r>
              <w:rPr>
                <w:rFonts w:ascii="Arial" w:cs="Arial" w:eastAsia="Arial" w:hAnsi="Arial"/>
                <w:sz w:val="18"/>
                <w:szCs w:val="18"/>
                <w:b w:val="1"/>
                <w:bCs w:val="1"/>
                <w:color w:val="auto"/>
              </w:rPr>
              <w:t>(221.0)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296.6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gridSpan w:val="17"/>
          </w:tcPr>
          <w:p>
            <w:pPr>
              <w:ind w:left="180"/>
              <w:spacing w:after="0"/>
              <w:rPr>
                <w:sz w:val="20"/>
                <w:szCs w:val="20"/>
                <w:color w:val="auto"/>
              </w:rPr>
            </w:pPr>
            <w:r>
              <w:rPr>
                <w:rFonts w:ascii="Arial" w:cs="Arial" w:eastAsia="Arial" w:hAnsi="Arial"/>
                <w:sz w:val="18"/>
                <w:szCs w:val="18"/>
                <w:color w:val="auto"/>
                <w:w w:val="96"/>
              </w:rPr>
              <w:t>Noncredit component of impairment losses on fixed maturities, available-for-sale</w:t>
            </w: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80" w:type="dxa"/>
            <w:vAlign w:val="bottom"/>
            <w:gridSpan w:val="3"/>
          </w:tcPr>
          <w:p>
            <w:pPr>
              <w:jc w:val="right"/>
              <w:ind w:right="60"/>
              <w:spacing w:after="0"/>
              <w:rPr>
                <w:sz w:val="20"/>
                <w:szCs w:val="20"/>
                <w:color w:val="auto"/>
              </w:rPr>
            </w:pPr>
            <w:r>
              <w:rPr>
                <w:rFonts w:ascii="Arial" w:cs="Arial" w:eastAsia="Arial" w:hAnsi="Arial"/>
                <w:sz w:val="18"/>
                <w:szCs w:val="18"/>
                <w:b w:val="1"/>
                <w:bCs w:val="1"/>
                <w:color w:val="auto"/>
              </w:rPr>
              <w:t>1.0</w:t>
            </w:r>
          </w:p>
        </w:tc>
        <w:tc>
          <w:tcPr>
            <w:tcW w:w="2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gridSpan w:val="2"/>
          </w:tcPr>
          <w:p>
            <w:pPr>
              <w:jc w:val="right"/>
              <w:ind w:right="120"/>
              <w:spacing w:after="0"/>
              <w:rPr>
                <w:sz w:val="20"/>
                <w:szCs w:val="20"/>
                <w:color w:val="auto"/>
              </w:rPr>
            </w:pPr>
            <w:r>
              <w:rPr>
                <w:rFonts w:ascii="Arial" w:cs="Arial" w:eastAsia="Arial" w:hAnsi="Arial"/>
                <w:sz w:val="18"/>
                <w:szCs w:val="18"/>
                <w:color w:val="auto"/>
                <w:w w:val="85"/>
              </w:rPr>
              <w:t>11.0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37"/>
              <w:spacing w:after="0"/>
              <w:rPr>
                <w:sz w:val="20"/>
                <w:szCs w:val="20"/>
                <w:color w:val="auto"/>
              </w:rPr>
            </w:pPr>
            <w:r>
              <w:rPr>
                <w:rFonts w:ascii="Arial" w:cs="Arial" w:eastAsia="Arial" w:hAnsi="Arial"/>
                <w:sz w:val="18"/>
                <w:szCs w:val="18"/>
                <w:b w:val="1"/>
                <w:bCs w:val="1"/>
                <w:color w:val="auto"/>
              </w:rPr>
              <w:t>17.9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48.9</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40" w:type="dxa"/>
            <w:vAlign w:val="bottom"/>
            <w:gridSpan w:val="6"/>
            <w:shd w:val="clear" w:color="auto" w:fill="CCEEFF"/>
          </w:tcPr>
          <w:p>
            <w:pPr>
              <w:ind w:left="180"/>
              <w:spacing w:after="0"/>
              <w:rPr>
                <w:sz w:val="20"/>
                <w:szCs w:val="20"/>
                <w:color w:val="auto"/>
              </w:rPr>
            </w:pPr>
            <w:r>
              <w:rPr>
                <w:rFonts w:ascii="Arial" w:cs="Arial" w:eastAsia="Arial" w:hAnsi="Arial"/>
                <w:sz w:val="18"/>
                <w:szCs w:val="18"/>
                <w:color w:val="auto"/>
                <w:w w:val="95"/>
              </w:rPr>
              <w:t>Net unrealized gains on derivative instruments</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10.3</w:t>
            </w:r>
          </w:p>
        </w:tc>
        <w:tc>
          <w:tcPr>
            <w:tcW w:w="2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5"/>
              </w:rPr>
              <w:t>29.2</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37"/>
              <w:spacing w:after="0"/>
              <w:rPr>
                <w:sz w:val="20"/>
                <w:szCs w:val="20"/>
                <w:color w:val="auto"/>
              </w:rPr>
            </w:pPr>
            <w:r>
              <w:rPr>
                <w:rFonts w:ascii="Arial" w:cs="Arial" w:eastAsia="Arial" w:hAnsi="Arial"/>
                <w:sz w:val="18"/>
                <w:szCs w:val="18"/>
                <w:b w:val="1"/>
                <w:bCs w:val="1"/>
                <w:color w:val="auto"/>
              </w:rPr>
              <w:t>22.0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42.3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60" w:type="dxa"/>
            <w:vAlign w:val="bottom"/>
            <w:gridSpan w:val="4"/>
          </w:tcPr>
          <w:p>
            <w:pPr>
              <w:ind w:left="180"/>
              <w:spacing w:after="0"/>
              <w:rPr>
                <w:sz w:val="20"/>
                <w:szCs w:val="20"/>
                <w:color w:val="auto"/>
              </w:rPr>
            </w:pPr>
            <w:r>
              <w:rPr>
                <w:rFonts w:ascii="Arial" w:cs="Arial" w:eastAsia="Arial" w:hAnsi="Arial"/>
                <w:sz w:val="18"/>
                <w:szCs w:val="18"/>
                <w:color w:val="auto"/>
                <w:w w:val="90"/>
              </w:rPr>
              <w:t>Foreign currency translation adjustment</w:t>
            </w: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gridSpan w:val="5"/>
          </w:tcPr>
          <w:p>
            <w:pPr>
              <w:jc w:val="right"/>
              <w:ind w:right="20"/>
              <w:spacing w:after="0"/>
              <w:rPr>
                <w:sz w:val="20"/>
                <w:szCs w:val="20"/>
                <w:color w:val="auto"/>
              </w:rPr>
            </w:pPr>
            <w:r>
              <w:rPr>
                <w:rFonts w:ascii="Arial" w:cs="Arial" w:eastAsia="Arial" w:hAnsi="Arial"/>
                <w:sz w:val="18"/>
                <w:szCs w:val="18"/>
                <w:b w:val="1"/>
                <w:bCs w:val="1"/>
                <w:color w:val="auto"/>
              </w:rPr>
              <w:t>(263.2)</w:t>
            </w:r>
          </w:p>
        </w:tc>
        <w:tc>
          <w:tcPr>
            <w:tcW w:w="2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gridSpan w:val="4"/>
          </w:tcPr>
          <w:p>
            <w:pPr>
              <w:jc w:val="right"/>
              <w:ind w:right="60"/>
              <w:spacing w:after="0"/>
              <w:rPr>
                <w:sz w:val="20"/>
                <w:szCs w:val="20"/>
                <w:color w:val="auto"/>
              </w:rPr>
            </w:pPr>
            <w:r>
              <w:rPr>
                <w:rFonts w:ascii="Arial" w:cs="Arial" w:eastAsia="Arial" w:hAnsi="Arial"/>
                <w:sz w:val="18"/>
                <w:szCs w:val="18"/>
                <w:color w:val="auto"/>
                <w:w w:val="91"/>
              </w:rPr>
              <w:t>(195.8)</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77"/>
              <w:spacing w:after="0"/>
              <w:rPr>
                <w:sz w:val="20"/>
                <w:szCs w:val="20"/>
                <w:color w:val="auto"/>
              </w:rPr>
            </w:pPr>
            <w:r>
              <w:rPr>
                <w:rFonts w:ascii="Arial" w:cs="Arial" w:eastAsia="Arial" w:hAnsi="Arial"/>
                <w:sz w:val="18"/>
                <w:szCs w:val="18"/>
                <w:b w:val="1"/>
                <w:bCs w:val="1"/>
                <w:color w:val="auto"/>
              </w:rPr>
              <w:t>(438.3)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40" w:type="dxa"/>
            <w:vAlign w:val="bottom"/>
            <w:gridSpan w:val="3"/>
          </w:tcPr>
          <w:p>
            <w:pPr>
              <w:jc w:val="right"/>
              <w:ind w:right="40"/>
              <w:spacing w:after="0"/>
              <w:rPr>
                <w:sz w:val="20"/>
                <w:szCs w:val="20"/>
                <w:color w:val="auto"/>
              </w:rPr>
            </w:pPr>
            <w:r>
              <w:rPr>
                <w:rFonts w:ascii="Arial" w:cs="Arial" w:eastAsia="Arial" w:hAnsi="Arial"/>
                <w:sz w:val="18"/>
                <w:szCs w:val="18"/>
                <w:color w:val="auto"/>
              </w:rPr>
              <w:t>(208.4)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8"/>
            <w:shd w:val="clear" w:color="auto" w:fill="CCEEFF"/>
          </w:tcPr>
          <w:p>
            <w:pPr>
              <w:ind w:left="180"/>
              <w:spacing w:after="0"/>
              <w:rPr>
                <w:sz w:val="20"/>
                <w:szCs w:val="20"/>
                <w:color w:val="auto"/>
              </w:rPr>
            </w:pPr>
            <w:r>
              <w:rPr>
                <w:rFonts w:ascii="Arial" w:cs="Arial" w:eastAsia="Arial" w:hAnsi="Arial"/>
                <w:sz w:val="18"/>
                <w:szCs w:val="18"/>
                <w:color w:val="auto"/>
                <w:w w:val="92"/>
              </w:rPr>
              <w:t>Net unrecognized postretirement benefit obligation</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11.9</w:t>
            </w:r>
          </w:p>
        </w:tc>
        <w:tc>
          <w:tcPr>
            <w:tcW w:w="2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3.6</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37"/>
              <w:spacing w:after="0"/>
              <w:rPr>
                <w:sz w:val="20"/>
                <w:szCs w:val="20"/>
                <w:color w:val="auto"/>
              </w:rPr>
            </w:pPr>
            <w:r>
              <w:rPr>
                <w:rFonts w:ascii="Arial" w:cs="Arial" w:eastAsia="Arial" w:hAnsi="Arial"/>
                <w:sz w:val="18"/>
                <w:szCs w:val="18"/>
                <w:b w:val="1"/>
                <w:bCs w:val="1"/>
                <w:color w:val="auto"/>
              </w:rPr>
              <w:t>35.9</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10.7</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40" w:type="dxa"/>
            <w:vAlign w:val="bottom"/>
            <w:gridSpan w:val="2"/>
            <w:vMerge w:val="restart"/>
          </w:tcPr>
          <w:p>
            <w:pPr>
              <w:spacing w:after="0"/>
              <w:rPr>
                <w:sz w:val="20"/>
                <w:szCs w:val="20"/>
                <w:color w:val="auto"/>
              </w:rPr>
            </w:pPr>
            <w:r>
              <w:rPr>
                <w:rFonts w:ascii="Arial" w:cs="Arial" w:eastAsia="Arial" w:hAnsi="Arial"/>
                <w:sz w:val="18"/>
                <w:szCs w:val="18"/>
                <w:color w:val="auto"/>
              </w:rPr>
              <w:t>Other comprehensive income (loss)</w:t>
            </w: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gridSpan w:val="2"/>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gridSpan w:val="2"/>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940" w:type="dxa"/>
            <w:vAlign w:val="bottom"/>
            <w:gridSpan w:val="2"/>
            <w:vMerge w:val="continue"/>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gridSpan w:val="5"/>
          </w:tcPr>
          <w:p>
            <w:pPr>
              <w:jc w:val="right"/>
              <w:ind w:right="20"/>
              <w:spacing w:after="0"/>
              <w:rPr>
                <w:sz w:val="20"/>
                <w:szCs w:val="20"/>
                <w:color w:val="auto"/>
              </w:rPr>
            </w:pPr>
            <w:r>
              <w:rPr>
                <w:rFonts w:ascii="Arial" w:cs="Arial" w:eastAsia="Arial" w:hAnsi="Arial"/>
                <w:sz w:val="18"/>
                <w:szCs w:val="18"/>
                <w:b w:val="1"/>
                <w:bCs w:val="1"/>
                <w:color w:val="auto"/>
              </w:rPr>
              <w:t>(211.7)</w:t>
            </w:r>
          </w:p>
        </w:tc>
        <w:tc>
          <w:tcPr>
            <w:tcW w:w="2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gridSpan w:val="4"/>
          </w:tcPr>
          <w:p>
            <w:pPr>
              <w:jc w:val="right"/>
              <w:ind w:right="60"/>
              <w:spacing w:after="0"/>
              <w:rPr>
                <w:sz w:val="20"/>
                <w:szCs w:val="20"/>
                <w:color w:val="auto"/>
              </w:rPr>
            </w:pPr>
            <w:r>
              <w:rPr>
                <w:rFonts w:ascii="Arial" w:cs="Arial" w:eastAsia="Arial" w:hAnsi="Arial"/>
                <w:sz w:val="18"/>
                <w:szCs w:val="18"/>
                <w:color w:val="auto"/>
                <w:w w:val="91"/>
              </w:rPr>
              <w:t>(225.9)</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77"/>
              <w:spacing w:after="0"/>
              <w:rPr>
                <w:sz w:val="20"/>
                <w:szCs w:val="20"/>
                <w:color w:val="auto"/>
              </w:rPr>
            </w:pPr>
            <w:r>
              <w:rPr>
                <w:rFonts w:ascii="Arial" w:cs="Arial" w:eastAsia="Arial" w:hAnsi="Arial"/>
                <w:sz w:val="18"/>
                <w:szCs w:val="18"/>
                <w:b w:val="1"/>
                <w:bCs w:val="1"/>
                <w:color w:val="auto"/>
              </w:rPr>
              <w:t>(583.5)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190.1</w:t>
            </w:r>
          </w:p>
        </w:tc>
        <w:tc>
          <w:tcPr>
            <w:tcW w:w="20" w:type="dxa"/>
            <w:vAlign w:val="bottom"/>
            <w:vMerge w:val="continue"/>
          </w:tcPr>
          <w:p>
            <w:pPr>
              <w:spacing w:after="0"/>
              <w:rPr>
                <w:sz w:val="18"/>
                <w:szCs w:val="18"/>
                <w:color w:val="auto"/>
              </w:rPr>
            </w:pPr>
          </w:p>
        </w:tc>
        <w:tc>
          <w:tcPr>
            <w:tcW w:w="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9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89.2</w:t>
            </w:r>
          </w:p>
        </w:tc>
        <w:tc>
          <w:tcPr>
            <w:tcW w:w="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26.9</w:t>
            </w:r>
          </w:p>
        </w:tc>
        <w:tc>
          <w:tcPr>
            <w:tcW w:w="1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right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411.4</w:t>
            </w:r>
          </w:p>
        </w:tc>
        <w:tc>
          <w:tcPr>
            <w:tcW w:w="2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1,086.2</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gridSpan w:val="11"/>
          </w:tcPr>
          <w:p>
            <w:pPr>
              <w:spacing w:after="0"/>
              <w:rPr>
                <w:sz w:val="20"/>
                <w:szCs w:val="20"/>
                <w:color w:val="auto"/>
              </w:rPr>
            </w:pPr>
            <w:r>
              <w:rPr>
                <w:rFonts w:ascii="Arial" w:cs="Arial" w:eastAsia="Arial" w:hAnsi="Arial"/>
                <w:sz w:val="18"/>
                <w:szCs w:val="18"/>
                <w:color w:val="auto"/>
                <w:w w:val="91"/>
              </w:rPr>
              <w:t>Comprehensive income (loss) attributable to noncontrolling interest</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80" w:type="dxa"/>
            <w:vAlign w:val="bottom"/>
            <w:gridSpan w:val="3"/>
          </w:tcPr>
          <w:p>
            <w:pPr>
              <w:jc w:val="right"/>
              <w:ind w:right="20"/>
              <w:spacing w:after="0"/>
              <w:rPr>
                <w:sz w:val="20"/>
                <w:szCs w:val="20"/>
                <w:color w:val="auto"/>
              </w:rPr>
            </w:pPr>
            <w:r>
              <w:rPr>
                <w:rFonts w:ascii="Arial" w:cs="Arial" w:eastAsia="Arial" w:hAnsi="Arial"/>
                <w:sz w:val="18"/>
                <w:szCs w:val="18"/>
                <w:b w:val="1"/>
                <w:bCs w:val="1"/>
                <w:color w:val="auto"/>
                <w:w w:val="93"/>
              </w:rPr>
              <w:t>(13.8)</w:t>
            </w:r>
          </w:p>
        </w:tc>
        <w:tc>
          <w:tcPr>
            <w:tcW w:w="2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(2.7)</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77"/>
              <w:spacing w:after="0"/>
              <w:rPr>
                <w:sz w:val="20"/>
                <w:szCs w:val="20"/>
                <w:color w:val="auto"/>
              </w:rPr>
            </w:pPr>
            <w:r>
              <w:rPr>
                <w:rFonts w:ascii="Arial" w:cs="Arial" w:eastAsia="Arial" w:hAnsi="Arial"/>
                <w:sz w:val="18"/>
                <w:szCs w:val="18"/>
                <w:b w:val="1"/>
                <w:bCs w:val="1"/>
                <w:color w:val="auto"/>
              </w:rPr>
              <w:t>(4.5)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23.9</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00" w:type="dxa"/>
            <w:vAlign w:val="bottom"/>
            <w:tcBorders>
              <w:top w:val="single" w:sz="8" w:color="CCEEFF"/>
              <w:bottom w:val="single" w:sz="8" w:color="CCEEFF"/>
            </w:tcBorders>
            <w:gridSpan w:val="13"/>
            <w:shd w:val="clear" w:color="auto" w:fill="CCEEFF"/>
          </w:tcPr>
          <w:p>
            <w:pPr>
              <w:spacing w:after="0"/>
              <w:rPr>
                <w:sz w:val="20"/>
                <w:szCs w:val="20"/>
                <w:color w:val="auto"/>
              </w:rPr>
            </w:pPr>
            <w:r>
              <w:rPr>
                <w:rFonts w:ascii="Arial" w:cs="Arial" w:eastAsia="Arial" w:hAnsi="Arial"/>
                <w:sz w:val="18"/>
                <w:szCs w:val="18"/>
                <w:color w:val="auto"/>
                <w:w w:val="98"/>
              </w:rPr>
              <w:t>Comprehensive income attributable to Principal Financial Group, Inc.</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6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84"/>
              </w:rPr>
              <w:t>103.0</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jc w:val="right"/>
              <w:ind w:right="316"/>
              <w:spacing w:after="0"/>
              <w:rPr>
                <w:sz w:val="20"/>
                <w:szCs w:val="20"/>
                <w:color w:val="auto"/>
              </w:rPr>
            </w:pPr>
            <w:r>
              <w:rPr>
                <w:rFonts w:ascii="Arial" w:cs="Arial" w:eastAsia="Arial" w:hAnsi="Arial"/>
                <w:sz w:val="15"/>
                <w:szCs w:val="15"/>
                <w:color w:val="auto"/>
                <w:w w:val="71"/>
              </w:rPr>
              <w:t>$</w:t>
            </w: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29.6</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5"/>
              <w:spacing w:after="0"/>
              <w:rPr>
                <w:sz w:val="20"/>
                <w:szCs w:val="20"/>
                <w:color w:val="auto"/>
              </w:rPr>
            </w:pPr>
            <w:r>
              <w:rPr>
                <w:rFonts w:ascii="Arial" w:cs="Arial" w:eastAsia="Arial" w:hAnsi="Arial"/>
                <w:sz w:val="10"/>
                <w:szCs w:val="10"/>
                <w:b w:val="1"/>
                <w:bCs w:val="1"/>
                <w:color w:val="auto"/>
                <w:w w:val="71"/>
              </w:rPr>
              <w:t>$</w:t>
            </w: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415.9</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1,062.3</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960" w:type="dxa"/>
            <w:vAlign w:val="bottom"/>
            <w:gridSpan w:val="3"/>
            <w:vMerge w:val="restart"/>
          </w:tcPr>
          <w:p>
            <w:pPr>
              <w:spacing w:after="0"/>
              <w:rPr>
                <w:sz w:val="20"/>
                <w:szCs w:val="20"/>
                <w:color w:val="auto"/>
              </w:rPr>
            </w:pPr>
            <w:r>
              <w:rPr>
                <w:rFonts w:ascii="Arial" w:cs="Arial" w:eastAsia="Arial" w:hAnsi="Arial"/>
                <w:sz w:val="18"/>
                <w:szCs w:val="18"/>
                <w:i w:val="1"/>
                <w:iCs w:val="1"/>
                <w:color w:val="auto"/>
              </w:rPr>
              <w:t>See accompanying notes.</w:t>
            </w: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2960" w:type="dxa"/>
            <w:vAlign w:val="bottom"/>
            <w:gridSpan w:val="3"/>
            <w:vMerge w:val="continue"/>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jc w:val="center"/>
              <w:ind w:right="276"/>
              <w:spacing w:after="0"/>
              <w:rPr>
                <w:sz w:val="20"/>
                <w:szCs w:val="20"/>
                <w:color w:val="auto"/>
              </w:rPr>
            </w:pPr>
            <w:r>
              <w:rPr>
                <w:rFonts w:ascii="Arial" w:cs="Arial" w:eastAsia="Arial" w:hAnsi="Arial"/>
                <w:sz w:val="18"/>
                <w:szCs w:val="18"/>
                <w:color w:val="auto"/>
                <w:w w:val="99"/>
              </w:rPr>
              <w:t>5</w:t>
            </w: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16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6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6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7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296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1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140" w:type="dxa"/>
            <w:vAlign w:val="bottom"/>
            <w:gridSpan w:val="12"/>
          </w:tcPr>
          <w:p>
            <w:pPr>
              <w:jc w:val="center"/>
              <w:ind w:left="336"/>
              <w:spacing w:after="0"/>
              <w:rPr>
                <w:sz w:val="20"/>
                <w:szCs w:val="20"/>
                <w:color w:val="auto"/>
              </w:rPr>
            </w:pPr>
            <w:r>
              <w:rPr>
                <w:rFonts w:ascii="Arial" w:cs="Arial" w:eastAsia="Arial" w:hAnsi="Arial"/>
                <w:sz w:val="18"/>
                <w:szCs w:val="18"/>
                <w:b w:val="1"/>
                <w:bCs w:val="1"/>
                <w:color w:val="auto"/>
                <w:w w:val="93"/>
              </w:rPr>
              <w:t>Principal Financial Group, Inc.</w:t>
            </w: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540" w:type="dxa"/>
            <w:vAlign w:val="bottom"/>
            <w:gridSpan w:val="20"/>
          </w:tcPr>
          <w:p>
            <w:pPr>
              <w:jc w:val="center"/>
              <w:ind w:right="598"/>
              <w:spacing w:after="0"/>
              <w:rPr>
                <w:sz w:val="20"/>
                <w:szCs w:val="20"/>
                <w:color w:val="auto"/>
              </w:rPr>
            </w:pPr>
            <w:r>
              <w:rPr>
                <w:rFonts w:ascii="Arial" w:cs="Arial" w:eastAsia="Arial" w:hAnsi="Arial"/>
                <w:sz w:val="18"/>
                <w:szCs w:val="18"/>
                <w:b w:val="1"/>
                <w:bCs w:val="1"/>
                <w:color w:val="auto"/>
                <w:w w:val="89"/>
              </w:rPr>
              <w:t>Consolidated Statements of Stockholders’ Equity</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80" w:type="dxa"/>
            <w:vAlign w:val="bottom"/>
            <w:gridSpan w:val="6"/>
          </w:tcPr>
          <w:p>
            <w:pPr>
              <w:jc w:val="center"/>
              <w:ind w:left="76"/>
              <w:spacing w:after="0"/>
              <w:rPr>
                <w:sz w:val="20"/>
                <w:szCs w:val="20"/>
                <w:color w:val="auto"/>
              </w:rPr>
            </w:pPr>
            <w:r>
              <w:rPr>
                <w:rFonts w:ascii="Arial" w:cs="Arial" w:eastAsia="Arial" w:hAnsi="Arial"/>
                <w:sz w:val="18"/>
                <w:szCs w:val="18"/>
                <w:b w:val="1"/>
                <w:bCs w:val="1"/>
                <w:color w:val="auto"/>
                <w:w w:val="93"/>
              </w:rPr>
              <w:t>(Unaudited)</w:t>
            </w: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3"/>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gridSpan w:val="5"/>
          </w:tcPr>
          <w:p>
            <w:pPr>
              <w:jc w:val="center"/>
              <w:ind w:right="38"/>
              <w:spacing w:after="0"/>
              <w:rPr>
                <w:sz w:val="20"/>
                <w:szCs w:val="20"/>
                <w:color w:val="auto"/>
              </w:rPr>
            </w:pPr>
            <w:r>
              <w:rPr>
                <w:rFonts w:ascii="Arial" w:cs="Arial" w:eastAsia="Arial" w:hAnsi="Arial"/>
                <w:sz w:val="13"/>
                <w:szCs w:val="13"/>
                <w:b w:val="1"/>
                <w:bCs w:val="1"/>
                <w:color w:val="auto"/>
                <w:w w:val="88"/>
              </w:rPr>
              <w:t>Accumulated</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center"/>
              <w:ind w:right="160"/>
              <w:spacing w:after="0" w:line="135" w:lineRule="exact"/>
              <w:rPr>
                <w:sz w:val="20"/>
                <w:szCs w:val="20"/>
                <w:color w:val="auto"/>
              </w:rPr>
            </w:pPr>
            <w:r>
              <w:rPr>
                <w:rFonts w:ascii="Arial" w:cs="Arial" w:eastAsia="Arial" w:hAnsi="Arial"/>
                <w:sz w:val="13"/>
                <w:szCs w:val="13"/>
                <w:b w:val="1"/>
                <w:bCs w:val="1"/>
                <w:color w:val="auto"/>
                <w:w w:val="84"/>
              </w:rPr>
              <w:t>Series A</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4"/>
              </w:rPr>
              <w:t>Series B</w:t>
            </w: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1"/>
              </w:rPr>
              <w:t>Additional</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3"/>
          </w:tcPr>
          <w:p>
            <w:pPr>
              <w:jc w:val="center"/>
              <w:ind w:right="378"/>
              <w:spacing w:after="0" w:line="135" w:lineRule="exact"/>
              <w:rPr>
                <w:sz w:val="20"/>
                <w:szCs w:val="20"/>
                <w:color w:val="auto"/>
              </w:rPr>
            </w:pPr>
            <w:r>
              <w:rPr>
                <w:rFonts w:ascii="Arial" w:cs="Arial" w:eastAsia="Arial" w:hAnsi="Arial"/>
                <w:sz w:val="13"/>
                <w:szCs w:val="13"/>
                <w:b w:val="1"/>
                <w:bCs w:val="1"/>
                <w:color w:val="auto"/>
                <w:w w:val="86"/>
              </w:rPr>
              <w:t>other</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3"/>
          </w:tcPr>
          <w:p>
            <w:pPr>
              <w:jc w:val="right"/>
              <w:ind w:right="420"/>
              <w:spacing w:after="0" w:line="135" w:lineRule="exact"/>
              <w:rPr>
                <w:sz w:val="20"/>
                <w:szCs w:val="20"/>
                <w:color w:val="auto"/>
              </w:rPr>
            </w:pPr>
            <w:r>
              <w:rPr>
                <w:rFonts w:ascii="Arial" w:cs="Arial" w:eastAsia="Arial" w:hAnsi="Arial"/>
                <w:sz w:val="13"/>
                <w:szCs w:val="13"/>
                <w:b w:val="1"/>
                <w:bCs w:val="1"/>
                <w:color w:val="auto"/>
              </w:rPr>
              <w:t>Total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center"/>
              <w:ind w:right="160"/>
              <w:spacing w:after="0" w:line="135" w:lineRule="exact"/>
              <w:rPr>
                <w:sz w:val="20"/>
                <w:szCs w:val="20"/>
                <w:color w:val="auto"/>
              </w:rPr>
            </w:pPr>
            <w:r>
              <w:rPr>
                <w:rFonts w:ascii="Arial" w:cs="Arial" w:eastAsia="Arial" w:hAnsi="Arial"/>
                <w:sz w:val="13"/>
                <w:szCs w:val="13"/>
                <w:b w:val="1"/>
                <w:bCs w:val="1"/>
                <w:color w:val="auto"/>
                <w:w w:val="91"/>
              </w:rPr>
              <w:t>preferred</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1"/>
              </w:rPr>
              <w:t>preferred</w:t>
            </w:r>
          </w:p>
        </w:tc>
        <w:tc>
          <w:tcPr>
            <w:tcW w:w="680" w:type="dxa"/>
            <w:vAlign w:val="bottom"/>
            <w:gridSpan w:val="3"/>
          </w:tcPr>
          <w:p>
            <w:pPr>
              <w:jc w:val="right"/>
              <w:ind w:right="140"/>
              <w:spacing w:after="0" w:line="135" w:lineRule="exact"/>
              <w:rPr>
                <w:sz w:val="20"/>
                <w:szCs w:val="20"/>
                <w:color w:val="auto"/>
              </w:rPr>
            </w:pPr>
            <w:r>
              <w:rPr>
                <w:rFonts w:ascii="Arial" w:cs="Arial" w:eastAsia="Arial" w:hAnsi="Arial"/>
                <w:sz w:val="13"/>
                <w:szCs w:val="13"/>
                <w:b w:val="1"/>
                <w:bCs w:val="1"/>
                <w:color w:val="auto"/>
                <w:w w:val="92"/>
              </w:rPr>
              <w:t>Common</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9"/>
              </w:rPr>
              <w:t>paid-in</w:t>
            </w:r>
          </w:p>
        </w:tc>
        <w:tc>
          <w:tcPr>
            <w:tcW w:w="8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3"/>
                <w:szCs w:val="13"/>
                <w:b w:val="1"/>
                <w:bCs w:val="1"/>
                <w:color w:val="auto"/>
              </w:rPr>
              <w:t>Retained</w:t>
            </w:r>
          </w:p>
        </w:tc>
        <w:tc>
          <w:tcPr>
            <w:tcW w:w="140" w:type="dxa"/>
            <w:vAlign w:val="bottom"/>
          </w:tcPr>
          <w:p>
            <w:pPr>
              <w:spacing w:after="0"/>
              <w:rPr>
                <w:sz w:val="11"/>
                <w:szCs w:val="11"/>
                <w:color w:val="auto"/>
              </w:rPr>
            </w:pPr>
          </w:p>
        </w:tc>
        <w:tc>
          <w:tcPr>
            <w:tcW w:w="1080" w:type="dxa"/>
            <w:vAlign w:val="bottom"/>
            <w:gridSpan w:val="5"/>
          </w:tcPr>
          <w:p>
            <w:pPr>
              <w:jc w:val="center"/>
              <w:ind w:right="38"/>
              <w:spacing w:after="0" w:line="135" w:lineRule="exact"/>
              <w:rPr>
                <w:sz w:val="20"/>
                <w:szCs w:val="20"/>
                <w:color w:val="auto"/>
              </w:rPr>
            </w:pPr>
            <w:r>
              <w:rPr>
                <w:rFonts w:ascii="Arial" w:cs="Arial" w:eastAsia="Arial" w:hAnsi="Arial"/>
                <w:sz w:val="13"/>
                <w:szCs w:val="13"/>
                <w:b w:val="1"/>
                <w:bCs w:val="1"/>
                <w:color w:val="auto"/>
                <w:w w:val="83"/>
              </w:rPr>
              <w:t>comprehensive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4"/>
          </w:tcPr>
          <w:p>
            <w:pPr>
              <w:jc w:val="right"/>
              <w:ind w:right="215"/>
              <w:spacing w:after="0" w:line="135" w:lineRule="exact"/>
              <w:rPr>
                <w:sz w:val="20"/>
                <w:szCs w:val="20"/>
                <w:color w:val="auto"/>
              </w:rPr>
            </w:pPr>
            <w:r>
              <w:rPr>
                <w:rFonts w:ascii="Arial" w:cs="Arial" w:eastAsia="Arial" w:hAnsi="Arial"/>
                <w:sz w:val="13"/>
                <w:szCs w:val="13"/>
                <w:b w:val="1"/>
                <w:bCs w:val="1"/>
                <w:color w:val="auto"/>
                <w:w w:val="90"/>
              </w:rPr>
              <w:t>Treasury</w:t>
            </w:r>
          </w:p>
        </w:tc>
        <w:tc>
          <w:tcPr>
            <w:tcW w:w="80" w:type="dxa"/>
            <w:vAlign w:val="bottom"/>
          </w:tcPr>
          <w:p>
            <w:pPr>
              <w:spacing w:after="0"/>
              <w:rPr>
                <w:sz w:val="11"/>
                <w:szCs w:val="11"/>
                <w:color w:val="auto"/>
              </w:rPr>
            </w:pPr>
          </w:p>
        </w:tc>
        <w:tc>
          <w:tcPr>
            <w:tcW w:w="1000" w:type="dxa"/>
            <w:vAlign w:val="bottom"/>
            <w:gridSpan w:val="3"/>
          </w:tcPr>
          <w:p>
            <w:pPr>
              <w:jc w:val="right"/>
              <w:ind w:right="180"/>
              <w:spacing w:after="0" w:line="135" w:lineRule="exact"/>
              <w:rPr>
                <w:sz w:val="20"/>
                <w:szCs w:val="20"/>
                <w:color w:val="auto"/>
              </w:rPr>
            </w:pPr>
            <w:r>
              <w:rPr>
                <w:rFonts w:ascii="Arial" w:cs="Arial" w:eastAsia="Arial" w:hAnsi="Arial"/>
                <w:sz w:val="13"/>
                <w:szCs w:val="13"/>
                <w:b w:val="1"/>
                <w:bCs w:val="1"/>
                <w:color w:val="auto"/>
                <w:w w:val="86"/>
              </w:rPr>
              <w:t>Noncontrolling</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3"/>
          </w:tcPr>
          <w:p>
            <w:pPr>
              <w:jc w:val="right"/>
              <w:ind w:right="200"/>
              <w:spacing w:after="0" w:line="135" w:lineRule="exact"/>
              <w:rPr>
                <w:sz w:val="20"/>
                <w:szCs w:val="20"/>
                <w:color w:val="auto"/>
              </w:rPr>
            </w:pPr>
            <w:r>
              <w:rPr>
                <w:rFonts w:ascii="Arial" w:cs="Arial" w:eastAsia="Arial" w:hAnsi="Arial"/>
                <w:sz w:val="13"/>
                <w:szCs w:val="13"/>
                <w:b w:val="1"/>
                <w:bCs w:val="1"/>
                <w:color w:val="auto"/>
                <w:w w:val="85"/>
              </w:rPr>
              <w:t>stockholders’</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6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82"/>
              </w:rPr>
              <w:t>stock</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2"/>
              </w:rPr>
              <w:t>stock</w:t>
            </w:r>
          </w:p>
        </w:tc>
        <w:tc>
          <w:tcPr>
            <w:tcW w:w="160" w:type="dxa"/>
            <w:vAlign w:val="bottom"/>
          </w:tcPr>
          <w:p>
            <w:pPr>
              <w:spacing w:after="0"/>
              <w:rPr>
                <w:sz w:val="13"/>
                <w:szCs w:val="13"/>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76"/>
              </w:rPr>
              <w:t>stock</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capital</w:t>
            </w:r>
          </w:p>
        </w:tc>
        <w:tc>
          <w:tcPr>
            <w:tcW w:w="80" w:type="dxa"/>
            <w:vAlign w:val="bottom"/>
          </w:tcPr>
          <w:p>
            <w:pPr>
              <w:spacing w:after="0"/>
              <w:rPr>
                <w:sz w:val="13"/>
                <w:szCs w:val="13"/>
                <w:color w:val="auto"/>
              </w:rPr>
            </w:pPr>
          </w:p>
        </w:tc>
        <w:tc>
          <w:tcPr>
            <w:tcW w:w="620" w:type="dxa"/>
            <w:vAlign w:val="bottom"/>
            <w:gridSpan w:val="2"/>
          </w:tcPr>
          <w:p>
            <w:pPr>
              <w:ind w:left="20"/>
              <w:spacing w:after="0"/>
              <w:rPr>
                <w:sz w:val="20"/>
                <w:szCs w:val="20"/>
                <w:color w:val="auto"/>
              </w:rPr>
            </w:pPr>
            <w:r>
              <w:rPr>
                <w:rFonts w:ascii="Arial" w:cs="Arial" w:eastAsia="Arial" w:hAnsi="Arial"/>
                <w:sz w:val="13"/>
                <w:szCs w:val="13"/>
                <w:b w:val="1"/>
                <w:bCs w:val="1"/>
                <w:color w:val="auto"/>
              </w:rPr>
              <w:t>earnings</w:t>
            </w:r>
          </w:p>
        </w:tc>
        <w:tc>
          <w:tcPr>
            <w:tcW w:w="140" w:type="dxa"/>
            <w:vAlign w:val="bottom"/>
          </w:tcPr>
          <w:p>
            <w:pPr>
              <w:spacing w:after="0"/>
              <w:rPr>
                <w:sz w:val="13"/>
                <w:szCs w:val="13"/>
                <w:color w:val="auto"/>
              </w:rPr>
            </w:pPr>
          </w:p>
        </w:tc>
        <w:tc>
          <w:tcPr>
            <w:tcW w:w="1080" w:type="dxa"/>
            <w:vAlign w:val="bottom"/>
            <w:gridSpan w:val="5"/>
          </w:tcPr>
          <w:p>
            <w:pPr>
              <w:jc w:val="center"/>
              <w:ind w:right="18"/>
              <w:spacing w:after="0"/>
              <w:rPr>
                <w:sz w:val="20"/>
                <w:szCs w:val="20"/>
                <w:color w:val="auto"/>
              </w:rPr>
            </w:pPr>
            <w:r>
              <w:rPr>
                <w:rFonts w:ascii="Arial" w:cs="Arial" w:eastAsia="Arial" w:hAnsi="Arial"/>
                <w:sz w:val="13"/>
                <w:szCs w:val="13"/>
                <w:b w:val="1"/>
                <w:bCs w:val="1"/>
                <w:color w:val="auto"/>
                <w:w w:val="83"/>
              </w:rPr>
              <w:t>income (loss)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gridSpan w:val="2"/>
          </w:tcPr>
          <w:p>
            <w:pPr>
              <w:jc w:val="right"/>
              <w:ind w:right="20"/>
              <w:spacing w:after="0"/>
              <w:rPr>
                <w:sz w:val="20"/>
                <w:szCs w:val="20"/>
                <w:color w:val="auto"/>
              </w:rPr>
            </w:pPr>
            <w:r>
              <w:rPr>
                <w:rFonts w:ascii="Arial" w:cs="Arial" w:eastAsia="Arial" w:hAnsi="Arial"/>
                <w:sz w:val="13"/>
                <w:szCs w:val="13"/>
                <w:b w:val="1"/>
                <w:bCs w:val="1"/>
                <w:color w:val="auto"/>
              </w:rPr>
              <w:t>stock</w:t>
            </w:r>
          </w:p>
        </w:tc>
        <w:tc>
          <w:tcPr>
            <w:tcW w:w="1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0" w:type="dxa"/>
            <w:vAlign w:val="bottom"/>
            <w:gridSpan w:val="3"/>
          </w:tcPr>
          <w:p>
            <w:pPr>
              <w:jc w:val="right"/>
              <w:ind w:right="380"/>
              <w:spacing w:after="0"/>
              <w:rPr>
                <w:sz w:val="20"/>
                <w:szCs w:val="20"/>
                <w:color w:val="auto"/>
              </w:rPr>
            </w:pPr>
            <w:r>
              <w:rPr>
                <w:rFonts w:ascii="Arial" w:cs="Arial" w:eastAsia="Arial" w:hAnsi="Arial"/>
                <w:sz w:val="13"/>
                <w:szCs w:val="13"/>
                <w:b w:val="1"/>
                <w:bCs w:val="1"/>
                <w:color w:val="auto"/>
              </w:rPr>
              <w:t>interest</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40" w:type="dxa"/>
            <w:vAlign w:val="bottom"/>
            <w:gridSpan w:val="3"/>
          </w:tcPr>
          <w:p>
            <w:pPr>
              <w:jc w:val="right"/>
              <w:ind w:right="400"/>
              <w:spacing w:after="0"/>
              <w:rPr>
                <w:sz w:val="20"/>
                <w:szCs w:val="20"/>
                <w:color w:val="auto"/>
              </w:rPr>
            </w:pPr>
            <w:r>
              <w:rPr>
                <w:rFonts w:ascii="Arial" w:cs="Arial" w:eastAsia="Arial" w:hAnsi="Arial"/>
                <w:sz w:val="13"/>
                <w:szCs w:val="13"/>
                <w:b w:val="1"/>
                <w:bCs w:val="1"/>
                <w:color w:val="auto"/>
              </w:rPr>
              <w:t>equity</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4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100" w:type="dxa"/>
            <w:vAlign w:val="bottom"/>
            <w:tcBorders>
              <w:top w:val="single" w:sz="8" w:color="auto"/>
            </w:tcBorders>
            <w:gridSpan w:val="5"/>
          </w:tcPr>
          <w:p>
            <w:pPr>
              <w:ind w:left="360"/>
              <w:spacing w:after="0" w:line="129" w:lineRule="exact"/>
              <w:rPr>
                <w:sz w:val="20"/>
                <w:szCs w:val="20"/>
                <w:color w:val="auto"/>
              </w:rPr>
            </w:pPr>
            <w:r>
              <w:rPr>
                <w:rFonts w:ascii="Arial" w:cs="Arial" w:eastAsia="Arial" w:hAnsi="Arial"/>
                <w:sz w:val="13"/>
                <w:szCs w:val="13"/>
                <w:b w:val="1"/>
                <w:bCs w:val="1"/>
                <w:color w:val="auto"/>
                <w:w w:val="98"/>
              </w:rPr>
              <w:t>(in millions)</w:t>
            </w:r>
          </w:p>
        </w:tc>
        <w:tc>
          <w:tcPr>
            <w:tcW w:w="220" w:type="dxa"/>
            <w:vAlign w:val="bottom"/>
            <w:tcBorders>
              <w:top w:val="single" w:sz="8" w:color="auto"/>
            </w:tcBorders>
          </w:tcPr>
          <w:p>
            <w:pPr>
              <w:spacing w:after="0"/>
              <w:rPr>
                <w:sz w:val="11"/>
                <w:szCs w:val="11"/>
                <w:color w:val="auto"/>
              </w:rPr>
            </w:pPr>
          </w:p>
        </w:tc>
        <w:tc>
          <w:tcPr>
            <w:tcW w:w="4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Balances at January 1, 2014</w:t>
            </w:r>
          </w:p>
        </w:tc>
        <w:tc>
          <w:tcPr>
            <w:tcW w:w="12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ind w:left="480"/>
              <w:spacing w:after="0" w:line="135" w:lineRule="exact"/>
              <w:rPr>
                <w:sz w:val="20"/>
                <w:szCs w:val="20"/>
                <w:color w:val="auto"/>
              </w:rPr>
            </w:pPr>
            <w:r>
              <w:rPr>
                <w:rFonts w:ascii="Arial" w:cs="Arial" w:eastAsia="Arial" w:hAnsi="Arial"/>
                <w:sz w:val="13"/>
                <w:szCs w:val="13"/>
                <w:color w:val="auto"/>
              </w:rPr>
              <w:t>—</w:t>
            </w:r>
          </w:p>
        </w:tc>
        <w:tc>
          <w:tcPr>
            <w:tcW w:w="18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6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0.1</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jc w:val="right"/>
              <w:ind w:right="17"/>
              <w:spacing w:after="0" w:line="135" w:lineRule="exact"/>
              <w:rPr>
                <w:sz w:val="20"/>
                <w:szCs w:val="20"/>
                <w:color w:val="auto"/>
              </w:rPr>
            </w:pPr>
            <w:r>
              <w:rPr>
                <w:rFonts w:ascii="Arial" w:cs="Arial" w:eastAsia="Arial" w:hAnsi="Arial"/>
                <w:sz w:val="13"/>
                <w:szCs w:val="13"/>
                <w:color w:val="auto"/>
                <w:w w:val="82"/>
              </w:rPr>
              <w:t>$</w:t>
            </w:r>
          </w:p>
        </w:tc>
        <w:tc>
          <w:tcPr>
            <w:tcW w:w="52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4.6</w:t>
            </w:r>
          </w:p>
        </w:tc>
        <w:tc>
          <w:tcPr>
            <w:tcW w:w="14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82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9,798.9</w:t>
            </w:r>
          </w:p>
        </w:tc>
        <w:tc>
          <w:tcPr>
            <w:tcW w:w="8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620" w:type="dxa"/>
            <w:vAlign w:val="bottom"/>
            <w:gridSpan w:val="2"/>
            <w:shd w:val="clear" w:color="auto" w:fill="CCEEFF"/>
          </w:tcPr>
          <w:p>
            <w:pPr>
              <w:jc w:val="right"/>
              <w:ind w:right="20"/>
              <w:spacing w:after="0" w:line="135" w:lineRule="exact"/>
              <w:rPr>
                <w:sz w:val="20"/>
                <w:szCs w:val="20"/>
                <w:color w:val="auto"/>
              </w:rPr>
            </w:pPr>
            <w:r>
              <w:rPr>
                <w:rFonts w:ascii="Arial" w:cs="Arial" w:eastAsia="Arial" w:hAnsi="Arial"/>
                <w:sz w:val="13"/>
                <w:szCs w:val="13"/>
                <w:color w:val="auto"/>
              </w:rPr>
              <w:t>5,405.4</w:t>
            </w:r>
          </w:p>
        </w:tc>
        <w:tc>
          <w:tcPr>
            <w:tcW w:w="400" w:type="dxa"/>
            <w:vAlign w:val="bottom"/>
            <w:gridSpan w:val="2"/>
            <w:shd w:val="clear" w:color="auto" w:fill="CCEEFF"/>
          </w:tcPr>
          <w:p>
            <w:pPr>
              <w:jc w:val="right"/>
              <w:ind w:right="143"/>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740" w:type="dxa"/>
            <w:vAlign w:val="bottom"/>
            <w:gridSpan w:val="3"/>
            <w:shd w:val="clear" w:color="auto" w:fill="CCEEFF"/>
          </w:tcPr>
          <w:p>
            <w:pPr>
              <w:jc w:val="right"/>
              <w:ind w:right="18"/>
              <w:spacing w:after="0" w:line="135" w:lineRule="exact"/>
              <w:rPr>
                <w:sz w:val="20"/>
                <w:szCs w:val="20"/>
                <w:color w:val="auto"/>
              </w:rPr>
            </w:pPr>
            <w:r>
              <w:rPr>
                <w:rFonts w:ascii="Arial" w:cs="Arial" w:eastAsia="Arial" w:hAnsi="Arial"/>
                <w:sz w:val="13"/>
                <w:szCs w:val="13"/>
                <w:color w:val="auto"/>
              </w:rPr>
              <w:t>183.2</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780" w:type="dxa"/>
            <w:vAlign w:val="bottom"/>
            <w:gridSpan w:val="4"/>
            <w:shd w:val="clear" w:color="auto" w:fill="CCEEFF"/>
          </w:tcPr>
          <w:p>
            <w:pPr>
              <w:jc w:val="right"/>
              <w:ind w:right="75"/>
              <w:spacing w:after="0" w:line="135" w:lineRule="exact"/>
              <w:rPr>
                <w:sz w:val="20"/>
                <w:szCs w:val="20"/>
                <w:color w:val="auto"/>
              </w:rPr>
            </w:pPr>
            <w:r>
              <w:rPr>
                <w:rFonts w:ascii="Arial" w:cs="Arial" w:eastAsia="Arial" w:hAnsi="Arial"/>
                <w:sz w:val="13"/>
                <w:szCs w:val="13"/>
                <w:color w:val="auto"/>
              </w:rPr>
              <w:t>(5,708.0)</w:t>
            </w:r>
          </w:p>
        </w:tc>
        <w:tc>
          <w:tcPr>
            <w:tcW w:w="8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000" w:type="dxa"/>
            <w:vAlign w:val="bottom"/>
            <w:gridSpan w:val="3"/>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92.8</w:t>
            </w:r>
          </w:p>
        </w:tc>
        <w:tc>
          <w:tcPr>
            <w:tcW w:w="160" w:type="dxa"/>
            <w:vAlign w:val="bottom"/>
            <w:gridSpan w:val="3"/>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ind w:right="20"/>
              <w:spacing w:after="0" w:line="135" w:lineRule="exact"/>
              <w:rPr>
                <w:sz w:val="20"/>
                <w:szCs w:val="20"/>
                <w:color w:val="auto"/>
              </w:rPr>
            </w:pPr>
            <w:r>
              <w:rPr>
                <w:rFonts w:ascii="Arial" w:cs="Arial" w:eastAsia="Arial" w:hAnsi="Arial"/>
                <w:sz w:val="13"/>
                <w:szCs w:val="13"/>
                <w:color w:val="auto"/>
              </w:rPr>
              <w:t>9,777.0</w:t>
            </w:r>
          </w:p>
        </w:tc>
        <w:tc>
          <w:tcPr>
            <w:tcW w:w="8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tcPr>
          <w:p>
            <w:pPr>
              <w:spacing w:after="0" w:line="135" w:lineRule="exact"/>
              <w:rPr>
                <w:sz w:val="20"/>
                <w:szCs w:val="20"/>
                <w:color w:val="auto"/>
              </w:rPr>
            </w:pPr>
            <w:r>
              <w:rPr>
                <w:rFonts w:ascii="Arial" w:cs="Arial" w:eastAsia="Arial" w:hAnsi="Arial"/>
                <w:sz w:val="13"/>
                <w:szCs w:val="13"/>
                <w:color w:val="auto"/>
              </w:rPr>
              <w:t>Common stock issued</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ind w:left="48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52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69.6</w:t>
            </w:r>
          </w:p>
        </w:tc>
        <w:tc>
          <w:tcPr>
            <w:tcW w:w="80" w:type="dxa"/>
            <w:vAlign w:val="bottom"/>
          </w:tcPr>
          <w:p>
            <w:pPr>
              <w:spacing w:after="0"/>
              <w:rPr>
                <w:sz w:val="11"/>
                <w:szCs w:val="11"/>
                <w:color w:val="auto"/>
              </w:rPr>
            </w:pPr>
          </w:p>
        </w:tc>
        <w:tc>
          <w:tcPr>
            <w:tcW w:w="620" w:type="dxa"/>
            <w:vAlign w:val="bottom"/>
            <w:gridSpan w:val="2"/>
          </w:tcPr>
          <w:p>
            <w:pPr>
              <w:jc w:val="right"/>
              <w:ind w:right="20"/>
              <w:spacing w:after="0" w:line="135"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gridSpan w:val="2"/>
          </w:tcPr>
          <w:p>
            <w:pPr>
              <w:jc w:val="right"/>
              <w:ind w:right="115"/>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gridSpan w:val="2"/>
          </w:tcPr>
          <w:p>
            <w:pPr>
              <w:jc w:val="right"/>
              <w:ind w:right="20"/>
              <w:spacing w:after="0" w:line="135" w:lineRule="exact"/>
              <w:rPr>
                <w:sz w:val="20"/>
                <w:szCs w:val="20"/>
                <w:color w:val="auto"/>
              </w:rPr>
            </w:pPr>
            <w:r>
              <w:rPr>
                <w:rFonts w:ascii="Arial" w:cs="Arial" w:eastAsia="Arial" w:hAnsi="Arial"/>
                <w:sz w:val="13"/>
                <w:szCs w:val="13"/>
                <w:color w:val="auto"/>
              </w:rPr>
              <w:t>69.6</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shd w:val="clear" w:color="auto" w:fill="CCEEFF"/>
          </w:tcPr>
          <w:p>
            <w:pPr>
              <w:spacing w:after="0" w:line="121" w:lineRule="exact"/>
              <w:rPr>
                <w:sz w:val="20"/>
                <w:szCs w:val="20"/>
                <w:color w:val="auto"/>
              </w:rPr>
            </w:pPr>
            <w:r>
              <w:rPr>
                <w:rFonts w:ascii="Arial" w:cs="Arial" w:eastAsia="Arial" w:hAnsi="Arial"/>
                <w:sz w:val="13"/>
                <w:szCs w:val="13"/>
                <w:color w:val="auto"/>
                <w:w w:val="95"/>
              </w:rPr>
              <w:t>Stock-based compensation and additional related tax</w:t>
            </w: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4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80" w:type="dxa"/>
            <w:vAlign w:val="bottom"/>
            <w:tcBorders>
              <w:right w:val="single" w:sz="8" w:color="CCEEFF"/>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benefits</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62.3</w:t>
            </w:r>
          </w:p>
        </w:tc>
        <w:tc>
          <w:tcPr>
            <w:tcW w:w="80" w:type="dxa"/>
            <w:vAlign w:val="bottom"/>
            <w:shd w:val="clear" w:color="auto" w:fill="CCEEFF"/>
          </w:tcPr>
          <w:p>
            <w:pPr>
              <w:spacing w:after="0"/>
              <w:rPr>
                <w:sz w:val="12"/>
                <w:szCs w:val="12"/>
                <w:color w:val="auto"/>
              </w:rPr>
            </w:pPr>
          </w:p>
        </w:tc>
        <w:tc>
          <w:tcPr>
            <w:tcW w:w="760" w:type="dxa"/>
            <w:vAlign w:val="bottom"/>
            <w:gridSpan w:val="3"/>
            <w:shd w:val="clear" w:color="auto" w:fill="CCEEFF"/>
          </w:tcPr>
          <w:p>
            <w:pPr>
              <w:jc w:val="right"/>
              <w:ind w:right="37"/>
              <w:spacing w:after="0"/>
              <w:rPr>
                <w:sz w:val="20"/>
                <w:szCs w:val="20"/>
                <w:color w:val="auto"/>
              </w:rPr>
            </w:pPr>
            <w:r>
              <w:rPr>
                <w:rFonts w:ascii="Arial" w:cs="Arial" w:eastAsia="Arial" w:hAnsi="Arial"/>
                <w:sz w:val="13"/>
                <w:szCs w:val="13"/>
                <w:color w:val="auto"/>
              </w:rPr>
              <w:t>(4.5)</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8"/>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115"/>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57.8</w:t>
            </w:r>
          </w:p>
        </w:tc>
        <w:tc>
          <w:tcPr>
            <w:tcW w:w="8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tcPr>
          <w:p>
            <w:pPr>
              <w:spacing w:after="0" w:line="135" w:lineRule="exact"/>
              <w:rPr>
                <w:sz w:val="20"/>
                <w:szCs w:val="20"/>
                <w:color w:val="auto"/>
              </w:rPr>
            </w:pPr>
            <w:r>
              <w:rPr>
                <w:rFonts w:ascii="Arial" w:cs="Arial" w:eastAsia="Arial" w:hAnsi="Arial"/>
                <w:sz w:val="13"/>
                <w:szCs w:val="13"/>
                <w:color w:val="auto"/>
              </w:rPr>
              <w:t>Treasury stock acquired, common</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ind w:left="48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52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20"/>
              <w:spacing w:after="0" w:line="135"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4"/>
          </w:tcPr>
          <w:p>
            <w:pPr>
              <w:jc w:val="right"/>
              <w:ind w:right="75"/>
              <w:spacing w:after="0" w:line="135" w:lineRule="exact"/>
              <w:rPr>
                <w:sz w:val="20"/>
                <w:szCs w:val="20"/>
                <w:color w:val="auto"/>
              </w:rPr>
            </w:pPr>
            <w:r>
              <w:rPr>
                <w:rFonts w:ascii="Arial" w:cs="Arial" w:eastAsia="Arial" w:hAnsi="Arial"/>
                <w:sz w:val="13"/>
                <w:szCs w:val="13"/>
                <w:color w:val="auto"/>
              </w:rPr>
              <w:t>(222.5)</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3"/>
          </w:tcPr>
          <w:p>
            <w:pPr>
              <w:jc w:val="right"/>
              <w:ind w:right="60"/>
              <w:spacing w:after="0" w:line="135" w:lineRule="exact"/>
              <w:rPr>
                <w:sz w:val="20"/>
                <w:szCs w:val="20"/>
                <w:color w:val="auto"/>
              </w:rPr>
            </w:pPr>
            <w:r>
              <w:rPr>
                <w:rFonts w:ascii="Arial" w:cs="Arial" w:eastAsia="Arial" w:hAnsi="Arial"/>
                <w:sz w:val="13"/>
                <w:szCs w:val="13"/>
                <w:color w:val="auto"/>
              </w:rPr>
              <w:t>(222.5)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Dividends to common stockholders</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gridSpan w:val="2"/>
            <w:shd w:val="clear" w:color="auto" w:fill="CCEEFF"/>
          </w:tcPr>
          <w:p>
            <w:pPr>
              <w:ind w:left="48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760" w:type="dxa"/>
            <w:vAlign w:val="bottom"/>
            <w:gridSpan w:val="3"/>
            <w:shd w:val="clear" w:color="auto" w:fill="CCEEFF"/>
          </w:tcPr>
          <w:p>
            <w:pPr>
              <w:jc w:val="right"/>
              <w:ind w:right="37"/>
              <w:spacing w:after="0" w:line="135" w:lineRule="exact"/>
              <w:rPr>
                <w:sz w:val="20"/>
                <w:szCs w:val="20"/>
                <w:color w:val="auto"/>
              </w:rPr>
            </w:pPr>
            <w:r>
              <w:rPr>
                <w:rFonts w:ascii="Arial" w:cs="Arial" w:eastAsia="Arial" w:hAnsi="Arial"/>
                <w:sz w:val="13"/>
                <w:szCs w:val="13"/>
                <w:color w:val="auto"/>
              </w:rPr>
              <w:t>(276.7)</w:t>
            </w: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gridSpan w:val="2"/>
            <w:shd w:val="clear" w:color="auto" w:fill="CCEEFF"/>
          </w:tcPr>
          <w:p>
            <w:pPr>
              <w:jc w:val="right"/>
              <w:ind w:right="115"/>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2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gridSpan w:val="3"/>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(276.7)</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tcPr>
          <w:p>
            <w:pPr>
              <w:spacing w:after="0" w:line="135" w:lineRule="exact"/>
              <w:rPr>
                <w:sz w:val="20"/>
                <w:szCs w:val="20"/>
                <w:color w:val="auto"/>
              </w:rPr>
            </w:pPr>
            <w:r>
              <w:rPr>
                <w:rFonts w:ascii="Arial" w:cs="Arial" w:eastAsia="Arial" w:hAnsi="Arial"/>
                <w:sz w:val="13"/>
                <w:szCs w:val="13"/>
                <w:color w:val="auto"/>
              </w:rPr>
              <w:t>Dividends to preferred stockholders</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ind w:left="48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52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60" w:type="dxa"/>
            <w:vAlign w:val="bottom"/>
            <w:gridSpan w:val="3"/>
          </w:tcPr>
          <w:p>
            <w:pPr>
              <w:jc w:val="right"/>
              <w:ind w:right="37"/>
              <w:spacing w:after="0" w:line="135" w:lineRule="exact"/>
              <w:rPr>
                <w:sz w:val="20"/>
                <w:szCs w:val="20"/>
                <w:color w:val="auto"/>
              </w:rPr>
            </w:pPr>
            <w:r>
              <w:rPr>
                <w:rFonts w:ascii="Arial" w:cs="Arial" w:eastAsia="Arial" w:hAnsi="Arial"/>
                <w:sz w:val="13"/>
                <w:szCs w:val="13"/>
                <w:color w:val="auto"/>
              </w:rPr>
              <w:t>(24.7)</w:t>
            </w: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gridSpan w:val="2"/>
          </w:tcPr>
          <w:p>
            <w:pPr>
              <w:jc w:val="right"/>
              <w:ind w:right="115"/>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3"/>
          </w:tcPr>
          <w:p>
            <w:pPr>
              <w:jc w:val="right"/>
              <w:ind w:right="60"/>
              <w:spacing w:after="0" w:line="135" w:lineRule="exact"/>
              <w:rPr>
                <w:sz w:val="20"/>
                <w:szCs w:val="20"/>
                <w:color w:val="auto"/>
              </w:rPr>
            </w:pPr>
            <w:r>
              <w:rPr>
                <w:rFonts w:ascii="Arial" w:cs="Arial" w:eastAsia="Arial" w:hAnsi="Arial"/>
                <w:sz w:val="13"/>
                <w:szCs w:val="13"/>
                <w:color w:val="auto"/>
              </w:rPr>
              <w:t>(24.7)</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Distributions to noncontrolling interest</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gridSpan w:val="2"/>
            <w:shd w:val="clear" w:color="auto" w:fill="CCEEFF"/>
          </w:tcPr>
          <w:p>
            <w:pPr>
              <w:ind w:left="48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20"/>
              <w:spacing w:after="0" w:line="135"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gridSpan w:val="2"/>
            <w:shd w:val="clear" w:color="auto" w:fill="CCEEFF"/>
          </w:tcPr>
          <w:p>
            <w:pPr>
              <w:jc w:val="right"/>
              <w:ind w:right="115"/>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1000" w:type="dxa"/>
            <w:vAlign w:val="bottom"/>
            <w:gridSpan w:val="3"/>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(22.9)</w:t>
            </w: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gridSpan w:val="3"/>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(22.9)</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tcPr>
          <w:p>
            <w:pPr>
              <w:spacing w:after="0" w:line="135" w:lineRule="exact"/>
              <w:rPr>
                <w:sz w:val="20"/>
                <w:szCs w:val="20"/>
                <w:color w:val="auto"/>
              </w:rPr>
            </w:pPr>
            <w:r>
              <w:rPr>
                <w:rFonts w:ascii="Arial" w:cs="Arial" w:eastAsia="Arial" w:hAnsi="Arial"/>
                <w:sz w:val="13"/>
                <w:szCs w:val="13"/>
                <w:color w:val="auto"/>
              </w:rPr>
              <w:t>Contributions from noncontrolling interest</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ind w:left="48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52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20"/>
              <w:spacing w:after="0" w:line="135"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gridSpan w:val="2"/>
          </w:tcPr>
          <w:p>
            <w:pPr>
              <w:jc w:val="right"/>
              <w:ind w:right="115"/>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920" w:type="dxa"/>
            <w:vAlign w:val="bottom"/>
            <w:gridSpan w:val="2"/>
          </w:tcPr>
          <w:p>
            <w:pPr>
              <w:jc w:val="right"/>
              <w:spacing w:after="0" w:line="135" w:lineRule="exact"/>
              <w:rPr>
                <w:sz w:val="20"/>
                <w:szCs w:val="20"/>
                <w:color w:val="auto"/>
              </w:rPr>
            </w:pPr>
            <w:r>
              <w:rPr>
                <w:rFonts w:ascii="Arial" w:cs="Arial" w:eastAsia="Arial" w:hAnsi="Arial"/>
                <w:sz w:val="13"/>
                <w:szCs w:val="13"/>
                <w:color w:val="auto"/>
              </w:rPr>
              <w:t>7.1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gridSpan w:val="2"/>
          </w:tcPr>
          <w:p>
            <w:pPr>
              <w:jc w:val="right"/>
              <w:ind w:right="20"/>
              <w:spacing w:after="0" w:line="135" w:lineRule="exact"/>
              <w:rPr>
                <w:sz w:val="20"/>
                <w:szCs w:val="20"/>
                <w:color w:val="auto"/>
              </w:rPr>
            </w:pPr>
            <w:r>
              <w:rPr>
                <w:rFonts w:ascii="Arial" w:cs="Arial" w:eastAsia="Arial" w:hAnsi="Arial"/>
                <w:sz w:val="13"/>
                <w:szCs w:val="13"/>
                <w:color w:val="auto"/>
              </w:rPr>
              <w:t>7.1</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shd w:val="clear" w:color="auto" w:fill="CCEEFF"/>
          </w:tcPr>
          <w:p>
            <w:pPr>
              <w:spacing w:after="0" w:line="121" w:lineRule="exact"/>
              <w:rPr>
                <w:sz w:val="20"/>
                <w:szCs w:val="20"/>
                <w:color w:val="auto"/>
              </w:rPr>
            </w:pPr>
            <w:r>
              <w:rPr>
                <w:rFonts w:ascii="Arial" w:cs="Arial" w:eastAsia="Arial" w:hAnsi="Arial"/>
                <w:sz w:val="13"/>
                <w:szCs w:val="13"/>
                <w:color w:val="auto"/>
              </w:rPr>
              <w:t>Purchase of subsidiary shares from noncontrolling</w:t>
            </w: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4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80" w:type="dxa"/>
            <w:vAlign w:val="bottom"/>
            <w:tcBorders>
              <w:right w:val="single" w:sz="8" w:color="CCEEFF"/>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interest</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(0.4)</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8"/>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115"/>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000" w:type="dxa"/>
            <w:vAlign w:val="bottom"/>
            <w:gridSpan w:val="3"/>
            <w:shd w:val="clear" w:color="auto" w:fill="CCEEFF"/>
          </w:tcPr>
          <w:p>
            <w:pPr>
              <w:jc w:val="right"/>
              <w:ind w:right="40"/>
              <w:spacing w:after="0"/>
              <w:rPr>
                <w:sz w:val="20"/>
                <w:szCs w:val="20"/>
                <w:color w:val="auto"/>
              </w:rPr>
            </w:pPr>
            <w:r>
              <w:rPr>
                <w:rFonts w:ascii="Arial" w:cs="Arial" w:eastAsia="Arial" w:hAnsi="Arial"/>
                <w:sz w:val="13"/>
                <w:szCs w:val="13"/>
                <w:color w:val="auto"/>
              </w:rPr>
              <w:t>(41.5)</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(41.9)</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tcPr>
          <w:p>
            <w:pPr>
              <w:spacing w:after="0" w:line="121" w:lineRule="exact"/>
              <w:rPr>
                <w:sz w:val="20"/>
                <w:szCs w:val="20"/>
                <w:color w:val="auto"/>
              </w:rPr>
            </w:pPr>
            <w:r>
              <w:rPr>
                <w:rFonts w:ascii="Arial" w:cs="Arial" w:eastAsia="Arial" w:hAnsi="Arial"/>
                <w:sz w:val="13"/>
                <w:szCs w:val="13"/>
                <w:color w:val="auto"/>
              </w:rPr>
              <w:t>Adjustments to redemption amount of redeemable</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tcPr>
          <w:p>
            <w:pPr>
              <w:ind w:left="160"/>
              <w:spacing w:after="0"/>
              <w:rPr>
                <w:sz w:val="20"/>
                <w:szCs w:val="20"/>
                <w:color w:val="auto"/>
              </w:rPr>
            </w:pPr>
            <w:r>
              <w:rPr>
                <w:rFonts w:ascii="Arial" w:cs="Arial" w:eastAsia="Arial" w:hAnsi="Arial"/>
                <w:sz w:val="13"/>
                <w:szCs w:val="13"/>
                <w:color w:val="auto"/>
              </w:rPr>
              <w:t>noncontrolling interest</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ind w:left="4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3"/>
                <w:szCs w:val="13"/>
                <w:color w:val="auto"/>
              </w:rPr>
              <w:t>(13.5)</w:t>
            </w:r>
          </w:p>
        </w:tc>
        <w:tc>
          <w:tcPr>
            <w:tcW w:w="80" w:type="dxa"/>
            <w:vAlign w:val="bottom"/>
          </w:tcPr>
          <w:p>
            <w:pPr>
              <w:spacing w:after="0"/>
              <w:rPr>
                <w:sz w:val="12"/>
                <w:szCs w:val="12"/>
                <w:color w:val="auto"/>
              </w:rPr>
            </w:pPr>
          </w:p>
        </w:tc>
        <w:tc>
          <w:tcPr>
            <w:tcW w:w="760" w:type="dxa"/>
            <w:vAlign w:val="bottom"/>
            <w:gridSpan w:val="3"/>
          </w:tcPr>
          <w:p>
            <w:pPr>
              <w:jc w:val="right"/>
              <w:ind w:right="37"/>
              <w:spacing w:after="0"/>
              <w:rPr>
                <w:sz w:val="20"/>
                <w:szCs w:val="20"/>
                <w:color w:val="auto"/>
              </w:rPr>
            </w:pPr>
            <w:r>
              <w:rPr>
                <w:rFonts w:ascii="Arial" w:cs="Arial" w:eastAsia="Arial" w:hAnsi="Arial"/>
                <w:sz w:val="13"/>
                <w:szCs w:val="13"/>
                <w:color w:val="auto"/>
              </w:rPr>
              <w:t>(19.7)</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gridSpan w:val="2"/>
          </w:tcPr>
          <w:p>
            <w:pPr>
              <w:jc w:val="right"/>
              <w:ind w:right="18"/>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gridSpan w:val="2"/>
          </w:tcPr>
          <w:p>
            <w:pPr>
              <w:jc w:val="right"/>
              <w:ind w:right="115"/>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8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gridSpan w:val="3"/>
          </w:tcPr>
          <w:p>
            <w:pPr>
              <w:jc w:val="right"/>
              <w:ind w:right="60"/>
              <w:spacing w:after="0"/>
              <w:rPr>
                <w:sz w:val="20"/>
                <w:szCs w:val="20"/>
                <w:color w:val="auto"/>
              </w:rPr>
            </w:pPr>
            <w:r>
              <w:rPr>
                <w:rFonts w:ascii="Arial" w:cs="Arial" w:eastAsia="Arial" w:hAnsi="Arial"/>
                <w:sz w:val="13"/>
                <w:szCs w:val="13"/>
                <w:color w:val="auto"/>
              </w:rPr>
              <w:t>(33.2)</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shd w:val="clear" w:color="auto" w:fill="CCEEFF"/>
          </w:tcPr>
          <w:p>
            <w:pPr>
              <w:spacing w:after="0" w:line="121" w:lineRule="exact"/>
              <w:rPr>
                <w:sz w:val="20"/>
                <w:szCs w:val="20"/>
                <w:color w:val="auto"/>
              </w:rPr>
            </w:pPr>
            <w:r>
              <w:rPr>
                <w:rFonts w:ascii="Arial" w:cs="Arial" w:eastAsia="Arial" w:hAnsi="Arial"/>
                <w:sz w:val="13"/>
                <w:szCs w:val="13"/>
                <w:color w:val="auto"/>
              </w:rPr>
              <w:t>Net income (excludes $8.3 million attributable to</w:t>
            </w: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4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80" w:type="dxa"/>
            <w:vAlign w:val="bottom"/>
            <w:tcBorders>
              <w:right w:val="single" w:sz="8" w:color="CCEEFF"/>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redeemable noncontrolling interest)</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865.4</w:t>
            </w:r>
          </w:p>
        </w:tc>
        <w:tc>
          <w:tcPr>
            <w:tcW w:w="1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8"/>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115"/>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000" w:type="dxa"/>
            <w:vAlign w:val="bottom"/>
            <w:gridSpan w:val="3"/>
            <w:shd w:val="clear" w:color="auto" w:fill="CCEEFF"/>
          </w:tcPr>
          <w:p>
            <w:pPr>
              <w:jc w:val="right"/>
              <w:ind w:right="80"/>
              <w:spacing w:after="0"/>
              <w:rPr>
                <w:sz w:val="20"/>
                <w:szCs w:val="20"/>
                <w:color w:val="auto"/>
              </w:rPr>
            </w:pPr>
            <w:r>
              <w:rPr>
                <w:rFonts w:ascii="Arial" w:cs="Arial" w:eastAsia="Arial" w:hAnsi="Arial"/>
                <w:sz w:val="13"/>
                <w:szCs w:val="13"/>
                <w:color w:val="auto"/>
              </w:rPr>
              <w:t>22.4</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887.8</w:t>
            </w:r>
          </w:p>
        </w:tc>
        <w:tc>
          <w:tcPr>
            <w:tcW w:w="8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tcPr>
          <w:p>
            <w:pPr>
              <w:spacing w:after="0" w:line="121" w:lineRule="exact"/>
              <w:rPr>
                <w:sz w:val="20"/>
                <w:szCs w:val="20"/>
                <w:color w:val="auto"/>
              </w:rPr>
            </w:pPr>
            <w:r>
              <w:rPr>
                <w:rFonts w:ascii="Arial" w:cs="Arial" w:eastAsia="Arial" w:hAnsi="Arial"/>
                <w:sz w:val="13"/>
                <w:szCs w:val="13"/>
                <w:color w:val="auto"/>
                <w:w w:val="95"/>
              </w:rPr>
              <w:t>Other comprehensive income (excludes $(1.5) million</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tcPr>
          <w:p>
            <w:pPr>
              <w:ind w:left="160"/>
              <w:spacing w:after="0"/>
              <w:rPr>
                <w:sz w:val="20"/>
                <w:szCs w:val="20"/>
                <w:color w:val="auto"/>
              </w:rPr>
            </w:pPr>
            <w:r>
              <w:rPr>
                <w:rFonts w:ascii="Arial" w:cs="Arial" w:eastAsia="Arial" w:hAnsi="Arial"/>
                <w:sz w:val="13"/>
                <w:szCs w:val="13"/>
                <w:color w:val="auto"/>
                <w:w w:val="96"/>
              </w:rPr>
              <w:t>attributable to redeemable noncontrolling interest)</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ind w:left="4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8"/>
              <w:spacing w:after="0"/>
              <w:rPr>
                <w:sz w:val="20"/>
                <w:szCs w:val="20"/>
                <w:color w:val="auto"/>
              </w:rPr>
            </w:pPr>
            <w:r>
              <w:rPr>
                <w:rFonts w:ascii="Arial" w:cs="Arial" w:eastAsia="Arial" w:hAnsi="Arial"/>
                <w:sz w:val="13"/>
                <w:szCs w:val="13"/>
                <w:color w:val="auto"/>
              </w:rPr>
              <w:t>196.9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gridSpan w:val="2"/>
          </w:tcPr>
          <w:p>
            <w:pPr>
              <w:jc w:val="right"/>
              <w:ind w:right="115"/>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000" w:type="dxa"/>
            <w:vAlign w:val="bottom"/>
            <w:gridSpan w:val="3"/>
          </w:tcPr>
          <w:p>
            <w:pPr>
              <w:jc w:val="right"/>
              <w:ind w:right="40"/>
              <w:spacing w:after="0"/>
              <w:rPr>
                <w:sz w:val="20"/>
                <w:szCs w:val="20"/>
                <w:color w:val="auto"/>
              </w:rPr>
            </w:pPr>
            <w:r>
              <w:rPr>
                <w:rFonts w:ascii="Arial" w:cs="Arial" w:eastAsia="Arial" w:hAnsi="Arial"/>
                <w:sz w:val="13"/>
                <w:szCs w:val="13"/>
                <w:color w:val="auto"/>
              </w:rPr>
              <w:t>(5.3)</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3"/>
                <w:szCs w:val="13"/>
                <w:color w:val="auto"/>
              </w:rPr>
              <w:t>191.6</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940" w:type="dxa"/>
            <w:vAlign w:val="bottom"/>
            <w:tcBorders>
              <w:top w:val="single" w:sz="8" w:color="CCEEFF"/>
              <w:bottom w:val="single" w:sz="8" w:color="CCEEFF"/>
            </w:tcBorders>
            <w:gridSpan w:val="2"/>
            <w:shd w:val="clear" w:color="auto" w:fill="CCEEFF"/>
          </w:tcPr>
          <w:p>
            <w:pPr>
              <w:spacing w:after="0" w:line="129" w:lineRule="exact"/>
              <w:rPr>
                <w:sz w:val="20"/>
                <w:szCs w:val="20"/>
                <w:color w:val="auto"/>
              </w:rPr>
            </w:pPr>
            <w:r>
              <w:rPr>
                <w:rFonts w:ascii="Arial" w:cs="Arial" w:eastAsia="Arial" w:hAnsi="Arial"/>
                <w:sz w:val="13"/>
                <w:szCs w:val="13"/>
                <w:b w:val="1"/>
                <w:bCs w:val="1"/>
                <w:color w:val="auto"/>
              </w:rPr>
              <w:t>Balances at September 30, 2014</w:t>
            </w:r>
          </w:p>
        </w:tc>
        <w:tc>
          <w:tcPr>
            <w:tcW w:w="40" w:type="dxa"/>
            <w:vAlign w:val="bottom"/>
            <w:tcBorders>
              <w:top w:val="single" w:sz="8" w:color="CCEEFF"/>
              <w:bottom w:val="single" w:sz="8" w:color="CCEEFF"/>
            </w:tcBorders>
            <w:shd w:val="clear" w:color="auto" w:fill="CCEEFF"/>
          </w:tcPr>
          <w:p>
            <w:pPr>
              <w:spacing w:after="0"/>
              <w:rPr>
                <w:sz w:val="11"/>
                <w:szCs w:val="11"/>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620" w:type="dxa"/>
            <w:vAlign w:val="bottom"/>
            <w:tcBorders>
              <w:top w:val="single" w:sz="8" w:color="auto"/>
              <w:bottom w:val="single" w:sz="8" w:color="auto"/>
            </w:tcBorders>
            <w:shd w:val="clear" w:color="auto" w:fill="CCEEFF"/>
          </w:tcPr>
          <w:p>
            <w:pPr>
              <w:ind w:left="480"/>
              <w:spacing w:after="0" w:line="129" w:lineRule="exact"/>
              <w:rPr>
                <w:sz w:val="20"/>
                <w:szCs w:val="20"/>
                <w:color w:val="auto"/>
              </w:rPr>
            </w:pPr>
            <w:r>
              <w:rPr>
                <w:rFonts w:ascii="Arial" w:cs="Arial" w:eastAsia="Arial" w:hAnsi="Arial"/>
                <w:sz w:val="13"/>
                <w:szCs w:val="13"/>
                <w:color w:val="auto"/>
                <w:w w:val="91"/>
              </w:rPr>
              <w:t>—</w:t>
            </w:r>
          </w:p>
        </w:tc>
        <w:tc>
          <w:tcPr>
            <w:tcW w:w="60" w:type="dxa"/>
            <w:vAlign w:val="bottom"/>
            <w:tcBorders>
              <w:top w:val="single" w:sz="8" w:color="CCEEFF"/>
              <w:bottom w:val="single" w:sz="8" w:color="CCEEFF"/>
            </w:tcBorders>
            <w:shd w:val="clear" w:color="auto" w:fill="CCEEFF"/>
          </w:tcPr>
          <w:p>
            <w:pPr>
              <w:spacing w:after="0"/>
              <w:rPr>
                <w:sz w:val="11"/>
                <w:szCs w:val="11"/>
                <w:color w:val="auto"/>
              </w:rPr>
            </w:pPr>
          </w:p>
        </w:tc>
        <w:tc>
          <w:tcPr>
            <w:tcW w:w="120" w:type="dxa"/>
            <w:vAlign w:val="bottom"/>
            <w:tcBorders>
              <w:top w:val="single" w:sz="8" w:color="CCEEFF"/>
              <w:bottom w:val="single" w:sz="8" w:color="CCEEFF"/>
            </w:tcBorders>
            <w:shd w:val="clear" w:color="auto" w:fill="CCEEFF"/>
          </w:tcPr>
          <w:p>
            <w:pPr>
              <w:spacing w:after="0"/>
              <w:rPr>
                <w:sz w:val="11"/>
                <w:szCs w:val="11"/>
                <w:color w:val="auto"/>
              </w:rPr>
            </w:pPr>
          </w:p>
        </w:tc>
        <w:tc>
          <w:tcPr>
            <w:tcW w:w="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64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0.1</w:t>
            </w:r>
          </w:p>
        </w:tc>
        <w:tc>
          <w:tcPr>
            <w:tcW w:w="160" w:type="dxa"/>
            <w:vAlign w:val="bottom"/>
            <w:tcBorders>
              <w:top w:val="single" w:sz="8" w:color="CCEEFF"/>
              <w:bottom w:val="single" w:sz="8" w:color="CCEEFF"/>
            </w:tcBorders>
            <w:shd w:val="clear" w:color="auto" w:fill="CCEEFF"/>
          </w:tcPr>
          <w:p>
            <w:pPr>
              <w:spacing w:after="0"/>
              <w:rPr>
                <w:sz w:val="11"/>
                <w:szCs w:val="11"/>
                <w:color w:val="auto"/>
              </w:rPr>
            </w:pPr>
          </w:p>
        </w:tc>
        <w:tc>
          <w:tcPr>
            <w:tcW w:w="160" w:type="dxa"/>
            <w:vAlign w:val="bottom"/>
            <w:tcBorders>
              <w:top w:val="single" w:sz="8" w:color="auto"/>
              <w:bottom w:val="single" w:sz="8" w:color="auto"/>
            </w:tcBorders>
            <w:shd w:val="clear" w:color="auto" w:fill="CCEEFF"/>
          </w:tcPr>
          <w:p>
            <w:pPr>
              <w:jc w:val="right"/>
              <w:ind w:right="17"/>
              <w:spacing w:after="0" w:line="129" w:lineRule="exact"/>
              <w:rPr>
                <w:sz w:val="20"/>
                <w:szCs w:val="20"/>
                <w:color w:val="auto"/>
              </w:rPr>
            </w:pPr>
            <w:r>
              <w:rPr>
                <w:rFonts w:ascii="Arial" w:cs="Arial" w:eastAsia="Arial" w:hAnsi="Arial"/>
                <w:sz w:val="13"/>
                <w:szCs w:val="13"/>
                <w:color w:val="auto"/>
                <w:w w:val="82"/>
              </w:rPr>
              <w:t>$</w:t>
            </w:r>
          </w:p>
        </w:tc>
        <w:tc>
          <w:tcPr>
            <w:tcW w:w="42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4.6</w:t>
            </w:r>
          </w:p>
        </w:tc>
        <w:tc>
          <w:tcPr>
            <w:tcW w:w="100" w:type="dxa"/>
            <w:vAlign w:val="bottom"/>
            <w:tcBorders>
              <w:top w:val="single" w:sz="8" w:color="CCEEFF"/>
              <w:bottom w:val="single" w:sz="8" w:color="CCEEFF"/>
            </w:tcBorders>
            <w:shd w:val="clear" w:color="auto" w:fill="CCEEFF"/>
          </w:tcPr>
          <w:p>
            <w:pPr>
              <w:spacing w:after="0"/>
              <w:rPr>
                <w:sz w:val="11"/>
                <w:szCs w:val="11"/>
                <w:color w:val="auto"/>
              </w:rPr>
            </w:pPr>
          </w:p>
        </w:tc>
        <w:tc>
          <w:tcPr>
            <w:tcW w:w="80" w:type="dxa"/>
            <w:vAlign w:val="bottom"/>
            <w:tcBorders>
              <w:top w:val="single" w:sz="8" w:color="CCEEFF"/>
              <w:bottom w:val="single" w:sz="8" w:color="CCEEFF"/>
            </w:tcBorders>
            <w:shd w:val="clear" w:color="auto" w:fill="CCEEFF"/>
          </w:tcPr>
          <w:p>
            <w:pPr>
              <w:spacing w:after="0"/>
              <w:rPr>
                <w:sz w:val="11"/>
                <w:szCs w:val="11"/>
                <w:color w:val="auto"/>
              </w:rPr>
            </w:pPr>
          </w:p>
        </w:tc>
        <w:tc>
          <w:tcPr>
            <w:tcW w:w="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64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9,916.9</w:t>
            </w:r>
          </w:p>
        </w:tc>
        <w:tc>
          <w:tcPr>
            <w:tcW w:w="180" w:type="dxa"/>
            <w:vAlign w:val="bottom"/>
            <w:tcBorders>
              <w:top w:val="single" w:sz="8" w:color="CCEEFF"/>
              <w:bottom w:val="single" w:sz="8" w:color="CCEEFF"/>
            </w:tcBorders>
            <w:shd w:val="clear" w:color="auto" w:fill="CCEEFF"/>
          </w:tcPr>
          <w:p>
            <w:pPr>
              <w:spacing w:after="0"/>
              <w:rPr>
                <w:sz w:val="11"/>
                <w:szCs w:val="11"/>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60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5,945.2</w:t>
            </w:r>
          </w:p>
        </w:tc>
        <w:tc>
          <w:tcPr>
            <w:tcW w:w="20" w:type="dxa"/>
            <w:vAlign w:val="bottom"/>
            <w:tcBorders>
              <w:top w:val="single" w:sz="8" w:color="CCEEFF"/>
              <w:bottom w:val="single" w:sz="8" w:color="CCEEFF"/>
            </w:tcBorders>
            <w:shd w:val="clear" w:color="auto" w:fill="CCEEFF"/>
          </w:tcPr>
          <w:p>
            <w:pPr>
              <w:spacing w:after="0"/>
              <w:rPr>
                <w:sz w:val="11"/>
                <w:szCs w:val="11"/>
                <w:color w:val="auto"/>
              </w:rPr>
            </w:pPr>
          </w:p>
        </w:tc>
        <w:tc>
          <w:tcPr>
            <w:tcW w:w="140" w:type="dxa"/>
            <w:vAlign w:val="bottom"/>
            <w:tcBorders>
              <w:top w:val="single" w:sz="8" w:color="CCEEFF"/>
              <w:bottom w:val="single" w:sz="8" w:color="CCEEFF"/>
            </w:tcBorders>
            <w:shd w:val="clear" w:color="auto" w:fill="CCEEFF"/>
          </w:tcPr>
          <w:p>
            <w:pPr>
              <w:spacing w:after="0"/>
              <w:rPr>
                <w:sz w:val="11"/>
                <w:szCs w:val="11"/>
                <w:color w:val="auto"/>
              </w:rPr>
            </w:pPr>
          </w:p>
        </w:tc>
        <w:tc>
          <w:tcPr>
            <w:tcW w:w="260" w:type="dxa"/>
            <w:vAlign w:val="bottom"/>
            <w:tcBorders>
              <w:top w:val="single" w:sz="8" w:color="auto"/>
              <w:bottom w:val="single" w:sz="8" w:color="auto"/>
            </w:tcBorders>
            <w:shd w:val="clear" w:color="auto" w:fill="CCEEFF"/>
          </w:tcPr>
          <w:p>
            <w:pPr>
              <w:jc w:val="right"/>
              <w:ind w:right="143"/>
              <w:spacing w:after="0"/>
              <w:rPr>
                <w:sz w:val="20"/>
                <w:szCs w:val="20"/>
                <w:color w:val="auto"/>
              </w:rPr>
            </w:pPr>
            <w:r>
              <w:rPr>
                <w:rFonts w:ascii="Arial" w:cs="Arial" w:eastAsia="Arial" w:hAnsi="Arial"/>
                <w:sz w:val="9"/>
                <w:szCs w:val="9"/>
                <w:color w:val="auto"/>
                <w:w w:val="78"/>
              </w:rPr>
              <w:t>$</w:t>
            </w:r>
          </w:p>
        </w:tc>
        <w:tc>
          <w:tcPr>
            <w:tcW w:w="80" w:type="dxa"/>
            <w:vAlign w:val="bottom"/>
            <w:tcBorders>
              <w:top w:val="single" w:sz="8" w:color="auto"/>
              <w:bottom w:val="single" w:sz="8" w:color="auto"/>
            </w:tcBorders>
            <w:shd w:val="clear" w:color="auto" w:fill="CCEEFF"/>
          </w:tcPr>
          <w:p>
            <w:pPr>
              <w:spacing w:after="0"/>
              <w:rPr>
                <w:sz w:val="11"/>
                <w:szCs w:val="11"/>
                <w:color w:val="auto"/>
              </w:rPr>
            </w:pPr>
          </w:p>
        </w:tc>
        <w:tc>
          <w:tcPr>
            <w:tcW w:w="680" w:type="dxa"/>
            <w:vAlign w:val="bottom"/>
            <w:tcBorders>
              <w:top w:val="single" w:sz="8" w:color="auto"/>
              <w:bottom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rPr>
              <w:t>380.1</w:t>
            </w:r>
          </w:p>
        </w:tc>
        <w:tc>
          <w:tcPr>
            <w:tcW w:w="60" w:type="dxa"/>
            <w:vAlign w:val="bottom"/>
            <w:tcBorders>
              <w:top w:val="single" w:sz="8" w:color="CCEEFF"/>
              <w:bottom w:val="single" w:sz="8" w:color="CCEEFF"/>
            </w:tcBorders>
            <w:shd w:val="clear" w:color="auto" w:fill="CCEEFF"/>
          </w:tcPr>
          <w:p>
            <w:pPr>
              <w:spacing w:after="0"/>
              <w:rPr>
                <w:sz w:val="11"/>
                <w:szCs w:val="11"/>
                <w:color w:val="auto"/>
              </w:rPr>
            </w:pPr>
          </w:p>
        </w:tc>
        <w:tc>
          <w:tcPr>
            <w:tcW w:w="100" w:type="dxa"/>
            <w:vAlign w:val="bottom"/>
            <w:tcBorders>
              <w:top w:val="single" w:sz="8" w:color="CCEEFF"/>
              <w:bottom w:val="single" w:sz="8" w:color="CCEEFF"/>
            </w:tcBorders>
            <w:shd w:val="clear" w:color="auto" w:fill="CCEEFF"/>
          </w:tcPr>
          <w:p>
            <w:pPr>
              <w:spacing w:after="0"/>
              <w:rPr>
                <w:sz w:val="11"/>
                <w:szCs w:val="11"/>
                <w:color w:val="auto"/>
              </w:rPr>
            </w:pPr>
          </w:p>
        </w:tc>
        <w:tc>
          <w:tcPr>
            <w:tcW w:w="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620" w:type="dxa"/>
            <w:vAlign w:val="bottom"/>
            <w:tcBorders>
              <w:top w:val="single" w:sz="8" w:color="auto"/>
              <w:bottom w:val="single" w:sz="8" w:color="auto"/>
              <w:right w:val="single" w:sz="8" w:color="CCEEFF"/>
            </w:tcBorders>
            <w:gridSpan w:val="3"/>
            <w:shd w:val="clear" w:color="auto" w:fill="CCEEFF"/>
          </w:tcPr>
          <w:p>
            <w:pPr>
              <w:jc w:val="right"/>
              <w:spacing w:after="0" w:line="129" w:lineRule="exact"/>
              <w:rPr>
                <w:sz w:val="20"/>
                <w:szCs w:val="20"/>
                <w:color w:val="auto"/>
              </w:rPr>
            </w:pPr>
            <w:r>
              <w:rPr>
                <w:rFonts w:ascii="Arial" w:cs="Arial" w:eastAsia="Arial" w:hAnsi="Arial"/>
                <w:sz w:val="13"/>
                <w:szCs w:val="13"/>
                <w:color w:val="auto"/>
              </w:rPr>
              <w:t>(5,930.5</w:t>
            </w:r>
          </w:p>
        </w:tc>
        <w:tc>
          <w:tcPr>
            <w:tcW w:w="160" w:type="dxa"/>
            <w:vAlign w:val="bottom"/>
            <w:tcBorders>
              <w:top w:val="single" w:sz="8" w:color="CCEEFF"/>
              <w:bottom w:val="single" w:sz="8" w:color="CCEEFF"/>
            </w:tcBorders>
            <w:shd w:val="clear" w:color="auto" w:fill="CCEEFF"/>
          </w:tcPr>
          <w:p>
            <w:pPr>
              <w:jc w:val="right"/>
              <w:ind w:right="75"/>
              <w:spacing w:after="0"/>
              <w:rPr>
                <w:sz w:val="20"/>
                <w:szCs w:val="20"/>
                <w:color w:val="auto"/>
              </w:rPr>
            </w:pPr>
            <w:r>
              <w:rPr>
                <w:rFonts w:ascii="Arial" w:cs="Arial" w:eastAsia="Arial" w:hAnsi="Arial"/>
                <w:sz w:val="8"/>
                <w:szCs w:val="8"/>
                <w:color w:val="auto"/>
                <w:w w:val="73"/>
              </w:rPr>
              <w:t>)</w:t>
            </w: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920" w:type="dxa"/>
            <w:vAlign w:val="bottom"/>
            <w:tcBorders>
              <w:top w:val="single" w:sz="8" w:color="auto"/>
              <w:bottom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rPr>
              <w:t>52.6</w:t>
            </w:r>
          </w:p>
        </w:tc>
        <w:tc>
          <w:tcPr>
            <w:tcW w:w="80" w:type="dxa"/>
            <w:vAlign w:val="bottom"/>
            <w:tcBorders>
              <w:top w:val="single" w:sz="8" w:color="CCEEFF"/>
              <w:bottom w:val="single" w:sz="8" w:color="CCEEFF"/>
            </w:tcBorders>
            <w:shd w:val="clear" w:color="auto" w:fill="CCEEFF"/>
          </w:tcPr>
          <w:p>
            <w:pPr>
              <w:spacing w:after="0"/>
              <w:rPr>
                <w:sz w:val="11"/>
                <w:szCs w:val="11"/>
                <w:color w:val="auto"/>
              </w:rPr>
            </w:pPr>
          </w:p>
        </w:tc>
        <w:tc>
          <w:tcPr>
            <w:tcW w:w="100" w:type="dxa"/>
            <w:vAlign w:val="bottom"/>
            <w:tcBorders>
              <w:top w:val="single" w:sz="8" w:color="CCEEFF"/>
              <w:bottom w:val="single" w:sz="8" w:color="CCEEFF"/>
            </w:tcBorders>
            <w:gridSpan w:val="2"/>
            <w:shd w:val="clear" w:color="auto" w:fill="CCEEFF"/>
          </w:tcPr>
          <w:p>
            <w:pPr>
              <w:spacing w:after="0"/>
              <w:rPr>
                <w:sz w:val="11"/>
                <w:szCs w:val="11"/>
                <w:color w:val="auto"/>
              </w:rPr>
            </w:pPr>
          </w:p>
        </w:tc>
        <w:tc>
          <w:tcPr>
            <w:tcW w:w="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84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10,369.0</w:t>
            </w:r>
          </w:p>
        </w:tc>
        <w:tc>
          <w:tcPr>
            <w:tcW w:w="20" w:type="dxa"/>
            <w:vAlign w:val="bottom"/>
            <w:tcBorders>
              <w:top w:val="single" w:sz="8" w:color="CCEEFF"/>
              <w:bottom w:val="single" w:sz="8" w:color="CCEEFF"/>
            </w:tcBorders>
            <w:shd w:val="clear" w:color="auto" w:fill="CCEEFF"/>
          </w:tcPr>
          <w:p>
            <w:pPr>
              <w:spacing w:after="0"/>
              <w:rPr>
                <w:sz w:val="11"/>
                <w:szCs w:val="11"/>
                <w:color w:val="auto"/>
              </w:rPr>
            </w:pPr>
          </w:p>
        </w:tc>
        <w:tc>
          <w:tcPr>
            <w:tcW w:w="80" w:type="dxa"/>
            <w:vAlign w:val="bottom"/>
            <w:tcBorders>
              <w:top w:val="single" w:sz="8" w:color="CCEEFF"/>
              <w:bottom w:val="single" w:sz="8" w:color="CCEEFF"/>
            </w:tcBorders>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20" w:type="dxa"/>
            <w:vAlign w:val="bottom"/>
            <w:vMerge w:val="restart"/>
          </w:tcPr>
          <w:p>
            <w:pPr>
              <w:spacing w:after="0"/>
              <w:rPr>
                <w:sz w:val="10"/>
                <w:szCs w:val="10"/>
                <w:color w:val="auto"/>
              </w:rPr>
            </w:pPr>
          </w:p>
        </w:tc>
        <w:tc>
          <w:tcPr>
            <w:tcW w:w="1260" w:type="dxa"/>
            <w:vAlign w:val="bottom"/>
          </w:tcPr>
          <w:p>
            <w:pPr>
              <w:spacing w:after="0"/>
              <w:rPr>
                <w:sz w:val="10"/>
                <w:szCs w:val="10"/>
                <w:color w:val="auto"/>
              </w:rPr>
            </w:pPr>
          </w:p>
        </w:tc>
        <w:tc>
          <w:tcPr>
            <w:tcW w:w="16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460" w:type="dxa"/>
            <w:vAlign w:val="bottom"/>
            <w:tcBorders>
              <w:top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294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Balances at January 1, 2015</w:t>
            </w:r>
          </w:p>
        </w:tc>
        <w:tc>
          <w:tcPr>
            <w:tcW w:w="12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680" w:type="dxa"/>
            <w:vAlign w:val="bottom"/>
            <w:gridSpan w:val="2"/>
            <w:shd w:val="clear" w:color="auto" w:fill="CCEEFF"/>
          </w:tcPr>
          <w:p>
            <w:pPr>
              <w:ind w:left="480"/>
              <w:spacing w:after="0" w:line="135" w:lineRule="exact"/>
              <w:rPr>
                <w:sz w:val="20"/>
                <w:szCs w:val="20"/>
                <w:color w:val="auto"/>
              </w:rPr>
            </w:pPr>
            <w:r>
              <w:rPr>
                <w:rFonts w:ascii="Arial" w:cs="Arial" w:eastAsia="Arial" w:hAnsi="Arial"/>
                <w:sz w:val="13"/>
                <w:szCs w:val="13"/>
                <w:b w:val="1"/>
                <w:bCs w:val="1"/>
                <w:color w:val="auto"/>
              </w:rPr>
              <w:t>—</w:t>
            </w:r>
          </w:p>
        </w:tc>
        <w:tc>
          <w:tcPr>
            <w:tcW w:w="18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6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0.1</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jc w:val="right"/>
              <w:ind w:right="17"/>
              <w:spacing w:after="0" w:line="135" w:lineRule="exact"/>
              <w:rPr>
                <w:sz w:val="20"/>
                <w:szCs w:val="20"/>
                <w:color w:val="auto"/>
              </w:rPr>
            </w:pPr>
            <w:r>
              <w:rPr>
                <w:rFonts w:ascii="Arial" w:cs="Arial" w:eastAsia="Arial" w:hAnsi="Arial"/>
                <w:sz w:val="13"/>
                <w:szCs w:val="13"/>
                <w:b w:val="1"/>
                <w:bCs w:val="1"/>
                <w:color w:val="auto"/>
                <w:w w:val="82"/>
              </w:rPr>
              <w:t>$</w:t>
            </w:r>
          </w:p>
        </w:tc>
        <w:tc>
          <w:tcPr>
            <w:tcW w:w="52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4.6</w:t>
            </w:r>
          </w:p>
        </w:tc>
        <w:tc>
          <w:tcPr>
            <w:tcW w:w="14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82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9,945.5</w:t>
            </w:r>
          </w:p>
        </w:tc>
        <w:tc>
          <w:tcPr>
            <w:tcW w:w="8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620" w:type="dxa"/>
            <w:vAlign w:val="bottom"/>
            <w:gridSpan w:val="2"/>
            <w:shd w:val="clear" w:color="auto" w:fill="CCEEFF"/>
          </w:tcPr>
          <w:p>
            <w:pPr>
              <w:jc w:val="right"/>
              <w:ind w:right="20"/>
              <w:spacing w:after="0" w:line="135" w:lineRule="exact"/>
              <w:rPr>
                <w:sz w:val="20"/>
                <w:szCs w:val="20"/>
                <w:color w:val="auto"/>
              </w:rPr>
            </w:pPr>
            <w:r>
              <w:rPr>
                <w:rFonts w:ascii="Arial" w:cs="Arial" w:eastAsia="Arial" w:hAnsi="Arial"/>
                <w:sz w:val="13"/>
                <w:szCs w:val="13"/>
                <w:b w:val="1"/>
                <w:bCs w:val="1"/>
                <w:color w:val="auto"/>
              </w:rPr>
              <w:t>6,114.1</w:t>
            </w:r>
          </w:p>
        </w:tc>
        <w:tc>
          <w:tcPr>
            <w:tcW w:w="400" w:type="dxa"/>
            <w:vAlign w:val="bottom"/>
            <w:gridSpan w:val="2"/>
            <w:shd w:val="clear" w:color="auto" w:fill="CCEEFF"/>
          </w:tcPr>
          <w:p>
            <w:pPr>
              <w:jc w:val="right"/>
              <w:ind w:right="143"/>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740" w:type="dxa"/>
            <w:vAlign w:val="bottom"/>
            <w:gridSpan w:val="3"/>
            <w:shd w:val="clear" w:color="auto" w:fill="CCEEFF"/>
          </w:tcPr>
          <w:p>
            <w:pPr>
              <w:jc w:val="right"/>
              <w:ind w:right="18"/>
              <w:spacing w:after="0" w:line="135" w:lineRule="exact"/>
              <w:rPr>
                <w:sz w:val="20"/>
                <w:szCs w:val="20"/>
                <w:color w:val="auto"/>
              </w:rPr>
            </w:pPr>
            <w:r>
              <w:rPr>
                <w:rFonts w:ascii="Arial" w:cs="Arial" w:eastAsia="Arial" w:hAnsi="Arial"/>
                <w:sz w:val="13"/>
                <w:szCs w:val="13"/>
                <w:b w:val="1"/>
                <w:bCs w:val="1"/>
                <w:color w:val="auto"/>
              </w:rPr>
              <w:t>50.4</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780" w:type="dxa"/>
            <w:vAlign w:val="bottom"/>
            <w:gridSpan w:val="4"/>
            <w:shd w:val="clear" w:color="auto" w:fill="CCEEFF"/>
          </w:tcPr>
          <w:p>
            <w:pPr>
              <w:jc w:val="right"/>
              <w:ind w:right="75"/>
              <w:spacing w:after="0" w:line="135" w:lineRule="exact"/>
              <w:rPr>
                <w:sz w:val="20"/>
                <w:szCs w:val="20"/>
                <w:color w:val="auto"/>
              </w:rPr>
            </w:pPr>
            <w:r>
              <w:rPr>
                <w:rFonts w:ascii="Arial" w:cs="Arial" w:eastAsia="Arial" w:hAnsi="Arial"/>
                <w:sz w:val="13"/>
                <w:szCs w:val="13"/>
                <w:b w:val="1"/>
                <w:bCs w:val="1"/>
                <w:color w:val="auto"/>
              </w:rPr>
              <w:t>(5,930.7)</w:t>
            </w:r>
          </w:p>
        </w:tc>
        <w:tc>
          <w:tcPr>
            <w:tcW w:w="8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1000" w:type="dxa"/>
            <w:vAlign w:val="bottom"/>
            <w:gridSpan w:val="3"/>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48.0</w:t>
            </w:r>
          </w:p>
        </w:tc>
        <w:tc>
          <w:tcPr>
            <w:tcW w:w="160" w:type="dxa"/>
            <w:vAlign w:val="bottom"/>
            <w:gridSpan w:val="3"/>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860" w:type="dxa"/>
            <w:vAlign w:val="bottom"/>
            <w:gridSpan w:val="2"/>
            <w:shd w:val="clear" w:color="auto" w:fill="CCEEFF"/>
          </w:tcPr>
          <w:p>
            <w:pPr>
              <w:jc w:val="right"/>
              <w:ind w:right="20"/>
              <w:spacing w:after="0" w:line="135" w:lineRule="exact"/>
              <w:rPr>
                <w:sz w:val="20"/>
                <w:szCs w:val="20"/>
                <w:color w:val="auto"/>
              </w:rPr>
            </w:pPr>
            <w:r>
              <w:rPr>
                <w:rFonts w:ascii="Arial" w:cs="Arial" w:eastAsia="Arial" w:hAnsi="Arial"/>
                <w:sz w:val="13"/>
                <w:szCs w:val="13"/>
                <w:b w:val="1"/>
                <w:bCs w:val="1"/>
                <w:color w:val="auto"/>
              </w:rPr>
              <w:t>10,232.0</w:t>
            </w:r>
          </w:p>
        </w:tc>
        <w:tc>
          <w:tcPr>
            <w:tcW w:w="8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tcPr>
          <w:p>
            <w:pPr>
              <w:spacing w:after="0" w:line="135" w:lineRule="exact"/>
              <w:rPr>
                <w:sz w:val="20"/>
                <w:szCs w:val="20"/>
                <w:color w:val="auto"/>
              </w:rPr>
            </w:pPr>
            <w:r>
              <w:rPr>
                <w:rFonts w:ascii="Arial" w:cs="Arial" w:eastAsia="Arial" w:hAnsi="Arial"/>
                <w:sz w:val="13"/>
                <w:szCs w:val="13"/>
                <w:color w:val="auto"/>
              </w:rPr>
              <w:t>Common stock issued</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ind w:left="48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1"/>
                <w:szCs w:val="11"/>
                <w:color w:val="auto"/>
              </w:rPr>
            </w:pPr>
          </w:p>
        </w:tc>
        <w:tc>
          <w:tcPr>
            <w:tcW w:w="52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0.1</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71.4</w:t>
            </w:r>
          </w:p>
        </w:tc>
        <w:tc>
          <w:tcPr>
            <w:tcW w:w="80" w:type="dxa"/>
            <w:vAlign w:val="bottom"/>
          </w:tcPr>
          <w:p>
            <w:pPr>
              <w:spacing w:after="0"/>
              <w:rPr>
                <w:sz w:val="11"/>
                <w:szCs w:val="11"/>
                <w:color w:val="auto"/>
              </w:rPr>
            </w:pPr>
          </w:p>
        </w:tc>
        <w:tc>
          <w:tcPr>
            <w:tcW w:w="620" w:type="dxa"/>
            <w:vAlign w:val="bottom"/>
            <w:gridSpan w:val="2"/>
          </w:tcPr>
          <w:p>
            <w:pPr>
              <w:jc w:val="right"/>
              <w:ind w:right="20"/>
              <w:spacing w:after="0" w:line="135" w:lineRule="exact"/>
              <w:rPr>
                <w:sz w:val="20"/>
                <w:szCs w:val="20"/>
                <w:color w:val="auto"/>
              </w:rPr>
            </w:pPr>
            <w:r>
              <w:rPr>
                <w:rFonts w:ascii="Arial" w:cs="Arial" w:eastAsia="Arial" w:hAnsi="Arial"/>
                <w:sz w:val="13"/>
                <w:szCs w:val="13"/>
                <w:b w:val="1"/>
                <w:bCs w:val="1"/>
                <w:color w:val="auto"/>
              </w:rPr>
              <w:t>—</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gridSpan w:val="2"/>
          </w:tcPr>
          <w:p>
            <w:pPr>
              <w:jc w:val="right"/>
              <w:ind w:right="115"/>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gridSpan w:val="2"/>
          </w:tcPr>
          <w:p>
            <w:pPr>
              <w:jc w:val="right"/>
              <w:ind w:right="20"/>
              <w:spacing w:after="0" w:line="135" w:lineRule="exact"/>
              <w:rPr>
                <w:sz w:val="20"/>
                <w:szCs w:val="20"/>
                <w:color w:val="auto"/>
              </w:rPr>
            </w:pPr>
            <w:r>
              <w:rPr>
                <w:rFonts w:ascii="Arial" w:cs="Arial" w:eastAsia="Arial" w:hAnsi="Arial"/>
                <w:sz w:val="13"/>
                <w:szCs w:val="13"/>
                <w:b w:val="1"/>
                <w:bCs w:val="1"/>
                <w:color w:val="auto"/>
              </w:rPr>
              <w:t>71.5</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shd w:val="clear" w:color="auto" w:fill="CCEEFF"/>
          </w:tcPr>
          <w:p>
            <w:pPr>
              <w:spacing w:after="0" w:line="121" w:lineRule="exact"/>
              <w:rPr>
                <w:sz w:val="20"/>
                <w:szCs w:val="20"/>
                <w:color w:val="auto"/>
              </w:rPr>
            </w:pPr>
            <w:r>
              <w:rPr>
                <w:rFonts w:ascii="Arial" w:cs="Arial" w:eastAsia="Arial" w:hAnsi="Arial"/>
                <w:sz w:val="13"/>
                <w:szCs w:val="13"/>
                <w:color w:val="auto"/>
                <w:w w:val="95"/>
              </w:rPr>
              <w:t>Stock-based compensation and additional related tax</w:t>
            </w: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vMerge w:val="restart"/>
            <w:shd w:val="clear" w:color="auto" w:fill="CCEEFF"/>
          </w:tcPr>
          <w:p>
            <w:pPr>
              <w:ind w:left="480"/>
              <w:spacing w:after="0"/>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3"/>
                <w:szCs w:val="13"/>
                <w:b w:val="1"/>
                <w:bCs w:val="1"/>
                <w:color w:val="auto"/>
              </w:rPr>
              <w:t>—</w:t>
            </w:r>
          </w:p>
        </w:tc>
        <w:tc>
          <w:tcPr>
            <w:tcW w:w="160" w:type="dxa"/>
            <w:vAlign w:val="bottom"/>
            <w:shd w:val="clear" w:color="auto" w:fill="CCEEFF"/>
          </w:tcPr>
          <w:p>
            <w:pPr>
              <w:spacing w:after="0"/>
              <w:rPr>
                <w:sz w:val="10"/>
                <w:szCs w:val="10"/>
                <w:color w:val="auto"/>
              </w:rPr>
            </w:pPr>
          </w:p>
        </w:tc>
        <w:tc>
          <w:tcPr>
            <w:tcW w:w="5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3"/>
                <w:szCs w:val="13"/>
                <w:b w:val="1"/>
                <w:bCs w:val="1"/>
                <w:color w:val="auto"/>
              </w:rPr>
              <w:t>71.6</w:t>
            </w:r>
          </w:p>
        </w:tc>
        <w:tc>
          <w:tcPr>
            <w:tcW w:w="80" w:type="dxa"/>
            <w:vAlign w:val="bottom"/>
            <w:shd w:val="clear" w:color="auto" w:fill="CCEEFF"/>
          </w:tcPr>
          <w:p>
            <w:pPr>
              <w:spacing w:after="0"/>
              <w:rPr>
                <w:sz w:val="10"/>
                <w:szCs w:val="10"/>
                <w:color w:val="auto"/>
              </w:rPr>
            </w:pPr>
          </w:p>
        </w:tc>
        <w:tc>
          <w:tcPr>
            <w:tcW w:w="760" w:type="dxa"/>
            <w:vAlign w:val="bottom"/>
            <w:gridSpan w:val="3"/>
            <w:vMerge w:val="restart"/>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(4.9)</w:t>
            </w: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520" w:type="dxa"/>
            <w:vAlign w:val="bottom"/>
            <w:gridSpan w:val="2"/>
            <w:vMerge w:val="restart"/>
            <w:shd w:val="clear" w:color="auto" w:fill="CCEEFF"/>
          </w:tcPr>
          <w:p>
            <w:pPr>
              <w:jc w:val="right"/>
              <w:ind w:right="18"/>
              <w:spacing w:after="0"/>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340" w:type="dxa"/>
            <w:vAlign w:val="bottom"/>
            <w:gridSpan w:val="2"/>
            <w:vMerge w:val="restart"/>
            <w:shd w:val="clear" w:color="auto" w:fill="CCEEFF"/>
          </w:tcPr>
          <w:p>
            <w:pPr>
              <w:jc w:val="right"/>
              <w:ind w:right="115"/>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28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6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3"/>
                <w:szCs w:val="13"/>
                <w:b w:val="1"/>
                <w:bCs w:val="1"/>
                <w:color w:val="auto"/>
              </w:rPr>
              <w:t>66.7</w:t>
            </w:r>
          </w:p>
        </w:tc>
        <w:tc>
          <w:tcPr>
            <w:tcW w:w="8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benefits</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vMerge w:val="continue"/>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gridSpan w:val="2"/>
            <w:vMerge w:val="continue"/>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gridSpan w:val="3"/>
            <w:vMerge w:val="continue"/>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20" w:type="dxa"/>
            <w:vAlign w:val="bottom"/>
            <w:gridSpan w:val="2"/>
            <w:vMerge w:val="continue"/>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28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6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tcPr>
          <w:p>
            <w:pPr>
              <w:spacing w:after="0" w:line="135" w:lineRule="exact"/>
              <w:rPr>
                <w:sz w:val="20"/>
                <w:szCs w:val="20"/>
                <w:color w:val="auto"/>
              </w:rPr>
            </w:pPr>
            <w:r>
              <w:rPr>
                <w:rFonts w:ascii="Arial" w:cs="Arial" w:eastAsia="Arial" w:hAnsi="Arial"/>
                <w:sz w:val="13"/>
                <w:szCs w:val="13"/>
                <w:color w:val="auto"/>
              </w:rPr>
              <w:t>Treasury stock acquired, common</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ind w:left="48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1"/>
                <w:szCs w:val="11"/>
                <w:color w:val="auto"/>
              </w:rPr>
            </w:pPr>
          </w:p>
        </w:tc>
        <w:tc>
          <w:tcPr>
            <w:tcW w:w="52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20"/>
              <w:spacing w:after="0" w:line="135" w:lineRule="exact"/>
              <w:rPr>
                <w:sz w:val="20"/>
                <w:szCs w:val="20"/>
                <w:color w:val="auto"/>
              </w:rPr>
            </w:pPr>
            <w:r>
              <w:rPr>
                <w:rFonts w:ascii="Arial" w:cs="Arial" w:eastAsia="Arial" w:hAnsi="Arial"/>
                <w:sz w:val="13"/>
                <w:szCs w:val="13"/>
                <w:b w:val="1"/>
                <w:bCs w:val="1"/>
                <w:color w:val="auto"/>
              </w:rPr>
              <w:t>—</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4"/>
          </w:tcPr>
          <w:p>
            <w:pPr>
              <w:jc w:val="right"/>
              <w:ind w:right="75"/>
              <w:spacing w:after="0" w:line="135" w:lineRule="exact"/>
              <w:rPr>
                <w:sz w:val="20"/>
                <w:szCs w:val="20"/>
                <w:color w:val="auto"/>
              </w:rPr>
            </w:pPr>
            <w:r>
              <w:rPr>
                <w:rFonts w:ascii="Arial" w:cs="Arial" w:eastAsia="Arial" w:hAnsi="Arial"/>
                <w:sz w:val="13"/>
                <w:szCs w:val="13"/>
                <w:b w:val="1"/>
                <w:bCs w:val="1"/>
                <w:color w:val="auto"/>
              </w:rPr>
              <w:t>(188.2)</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3"/>
          </w:tcPr>
          <w:p>
            <w:pPr>
              <w:jc w:val="right"/>
              <w:ind w:right="60"/>
              <w:spacing w:after="0" w:line="135" w:lineRule="exact"/>
              <w:rPr>
                <w:sz w:val="20"/>
                <w:szCs w:val="20"/>
                <w:color w:val="auto"/>
              </w:rPr>
            </w:pPr>
            <w:r>
              <w:rPr>
                <w:rFonts w:ascii="Arial" w:cs="Arial" w:eastAsia="Arial" w:hAnsi="Arial"/>
                <w:sz w:val="13"/>
                <w:szCs w:val="13"/>
                <w:b w:val="1"/>
                <w:bCs w:val="1"/>
                <w:color w:val="auto"/>
              </w:rPr>
              <w:t>(188.2)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Dividends to common stockholders</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gridSpan w:val="2"/>
            <w:shd w:val="clear" w:color="auto" w:fill="CCEEFF"/>
          </w:tcPr>
          <w:p>
            <w:pPr>
              <w:ind w:left="48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w:t>
            </w:r>
          </w:p>
        </w:tc>
        <w:tc>
          <w:tcPr>
            <w:tcW w:w="16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760" w:type="dxa"/>
            <w:vAlign w:val="bottom"/>
            <w:gridSpan w:val="3"/>
            <w:shd w:val="clear" w:color="auto" w:fill="CCEEFF"/>
          </w:tcPr>
          <w:p>
            <w:pPr>
              <w:jc w:val="right"/>
              <w:ind w:right="37"/>
              <w:spacing w:after="0" w:line="135" w:lineRule="exact"/>
              <w:rPr>
                <w:sz w:val="20"/>
                <w:szCs w:val="20"/>
                <w:color w:val="auto"/>
              </w:rPr>
            </w:pPr>
            <w:r>
              <w:rPr>
                <w:rFonts w:ascii="Arial" w:cs="Arial" w:eastAsia="Arial" w:hAnsi="Arial"/>
                <w:sz w:val="13"/>
                <w:szCs w:val="13"/>
                <w:b w:val="1"/>
                <w:bCs w:val="1"/>
                <w:color w:val="auto"/>
              </w:rPr>
              <w:t>(330.2)</w:t>
            </w: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gridSpan w:val="2"/>
            <w:shd w:val="clear" w:color="auto" w:fill="CCEEFF"/>
          </w:tcPr>
          <w:p>
            <w:pPr>
              <w:jc w:val="right"/>
              <w:ind w:right="115"/>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2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gridSpan w:val="3"/>
            <w:shd w:val="clear" w:color="auto" w:fill="CCEEFF"/>
          </w:tcPr>
          <w:p>
            <w:pPr>
              <w:jc w:val="right"/>
              <w:ind w:right="60"/>
              <w:spacing w:after="0" w:line="135" w:lineRule="exact"/>
              <w:rPr>
                <w:sz w:val="20"/>
                <w:szCs w:val="20"/>
                <w:color w:val="auto"/>
              </w:rPr>
            </w:pPr>
            <w:r>
              <w:rPr>
                <w:rFonts w:ascii="Arial" w:cs="Arial" w:eastAsia="Arial" w:hAnsi="Arial"/>
                <w:sz w:val="13"/>
                <w:szCs w:val="13"/>
                <w:b w:val="1"/>
                <w:bCs w:val="1"/>
                <w:color w:val="auto"/>
              </w:rPr>
              <w:t>(330.2)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tcPr>
          <w:p>
            <w:pPr>
              <w:spacing w:after="0" w:line="135" w:lineRule="exact"/>
              <w:rPr>
                <w:sz w:val="20"/>
                <w:szCs w:val="20"/>
                <w:color w:val="auto"/>
              </w:rPr>
            </w:pPr>
            <w:r>
              <w:rPr>
                <w:rFonts w:ascii="Arial" w:cs="Arial" w:eastAsia="Arial" w:hAnsi="Arial"/>
                <w:sz w:val="13"/>
                <w:szCs w:val="13"/>
                <w:color w:val="auto"/>
              </w:rPr>
              <w:t>Dividends to preferred stockholders</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ind w:left="48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1"/>
                <w:szCs w:val="11"/>
                <w:color w:val="auto"/>
              </w:rPr>
            </w:pPr>
          </w:p>
        </w:tc>
        <w:tc>
          <w:tcPr>
            <w:tcW w:w="52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760" w:type="dxa"/>
            <w:vAlign w:val="bottom"/>
            <w:gridSpan w:val="3"/>
          </w:tcPr>
          <w:p>
            <w:pPr>
              <w:jc w:val="right"/>
              <w:ind w:right="37"/>
              <w:spacing w:after="0" w:line="135" w:lineRule="exact"/>
              <w:rPr>
                <w:sz w:val="20"/>
                <w:szCs w:val="20"/>
                <w:color w:val="auto"/>
              </w:rPr>
            </w:pPr>
            <w:r>
              <w:rPr>
                <w:rFonts w:ascii="Arial" w:cs="Arial" w:eastAsia="Arial" w:hAnsi="Arial"/>
                <w:sz w:val="13"/>
                <w:szCs w:val="13"/>
                <w:b w:val="1"/>
                <w:bCs w:val="1"/>
                <w:color w:val="auto"/>
              </w:rPr>
              <w:t>(16.5)</w:t>
            </w: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gridSpan w:val="2"/>
          </w:tcPr>
          <w:p>
            <w:pPr>
              <w:jc w:val="right"/>
              <w:ind w:right="115"/>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3"/>
          </w:tcPr>
          <w:p>
            <w:pPr>
              <w:jc w:val="right"/>
              <w:ind w:right="60"/>
              <w:spacing w:after="0" w:line="135" w:lineRule="exact"/>
              <w:rPr>
                <w:sz w:val="20"/>
                <w:szCs w:val="20"/>
                <w:color w:val="auto"/>
              </w:rPr>
            </w:pPr>
            <w:r>
              <w:rPr>
                <w:rFonts w:ascii="Arial" w:cs="Arial" w:eastAsia="Arial" w:hAnsi="Arial"/>
                <w:sz w:val="13"/>
                <w:szCs w:val="13"/>
                <w:b w:val="1"/>
                <w:bCs w:val="1"/>
                <w:color w:val="auto"/>
              </w:rPr>
              <w:t>(16.5)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Preferred stock redemption</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gridSpan w:val="2"/>
            <w:shd w:val="clear" w:color="auto" w:fill="CCEEFF"/>
          </w:tcPr>
          <w:p>
            <w:pPr>
              <w:ind w:left="48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(0.1)</w:t>
            </w:r>
          </w:p>
        </w:tc>
        <w:tc>
          <w:tcPr>
            <w:tcW w:w="16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(541.7)</w:t>
            </w:r>
          </w:p>
        </w:tc>
        <w:tc>
          <w:tcPr>
            <w:tcW w:w="80" w:type="dxa"/>
            <w:vAlign w:val="bottom"/>
            <w:shd w:val="clear" w:color="auto" w:fill="CCEEFF"/>
          </w:tcPr>
          <w:p>
            <w:pPr>
              <w:spacing w:after="0"/>
              <w:rPr>
                <w:sz w:val="11"/>
                <w:szCs w:val="11"/>
                <w:color w:val="auto"/>
              </w:rPr>
            </w:pPr>
          </w:p>
        </w:tc>
        <w:tc>
          <w:tcPr>
            <w:tcW w:w="760" w:type="dxa"/>
            <w:vAlign w:val="bottom"/>
            <w:gridSpan w:val="3"/>
            <w:shd w:val="clear" w:color="auto" w:fill="CCEEFF"/>
          </w:tcPr>
          <w:p>
            <w:pPr>
              <w:jc w:val="right"/>
              <w:ind w:right="37"/>
              <w:spacing w:after="0" w:line="135" w:lineRule="exact"/>
              <w:rPr>
                <w:sz w:val="20"/>
                <w:szCs w:val="20"/>
                <w:color w:val="auto"/>
              </w:rPr>
            </w:pPr>
            <w:r>
              <w:rPr>
                <w:rFonts w:ascii="Arial" w:cs="Arial" w:eastAsia="Arial" w:hAnsi="Arial"/>
                <w:sz w:val="13"/>
                <w:szCs w:val="13"/>
                <w:b w:val="1"/>
                <w:bCs w:val="1"/>
                <w:color w:val="auto"/>
              </w:rPr>
              <w:t>(8.2)</w:t>
            </w: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gridSpan w:val="2"/>
            <w:shd w:val="clear" w:color="auto" w:fill="CCEEFF"/>
          </w:tcPr>
          <w:p>
            <w:pPr>
              <w:jc w:val="right"/>
              <w:ind w:right="115"/>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2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gridSpan w:val="3"/>
            <w:shd w:val="clear" w:color="auto" w:fill="CCEEFF"/>
          </w:tcPr>
          <w:p>
            <w:pPr>
              <w:jc w:val="right"/>
              <w:ind w:right="60"/>
              <w:spacing w:after="0" w:line="135" w:lineRule="exact"/>
              <w:rPr>
                <w:sz w:val="20"/>
                <w:szCs w:val="20"/>
                <w:color w:val="auto"/>
              </w:rPr>
            </w:pPr>
            <w:r>
              <w:rPr>
                <w:rFonts w:ascii="Arial" w:cs="Arial" w:eastAsia="Arial" w:hAnsi="Arial"/>
                <w:sz w:val="13"/>
                <w:szCs w:val="13"/>
                <w:b w:val="1"/>
                <w:bCs w:val="1"/>
                <w:color w:val="auto"/>
              </w:rPr>
              <w:t>(550.0)</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tcPr>
          <w:p>
            <w:pPr>
              <w:spacing w:after="0" w:line="135" w:lineRule="exact"/>
              <w:rPr>
                <w:sz w:val="20"/>
                <w:szCs w:val="20"/>
                <w:color w:val="auto"/>
              </w:rPr>
            </w:pPr>
            <w:r>
              <w:rPr>
                <w:rFonts w:ascii="Arial" w:cs="Arial" w:eastAsia="Arial" w:hAnsi="Arial"/>
                <w:sz w:val="13"/>
                <w:szCs w:val="13"/>
                <w:color w:val="auto"/>
              </w:rPr>
              <w:t>Distributions to noncontrolling interest</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ind w:left="48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1"/>
                <w:szCs w:val="11"/>
                <w:color w:val="auto"/>
              </w:rPr>
            </w:pPr>
          </w:p>
        </w:tc>
        <w:tc>
          <w:tcPr>
            <w:tcW w:w="52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20"/>
              <w:spacing w:after="0" w:line="135" w:lineRule="exact"/>
              <w:rPr>
                <w:sz w:val="20"/>
                <w:szCs w:val="20"/>
                <w:color w:val="auto"/>
              </w:rPr>
            </w:pPr>
            <w:r>
              <w:rPr>
                <w:rFonts w:ascii="Arial" w:cs="Arial" w:eastAsia="Arial" w:hAnsi="Arial"/>
                <w:sz w:val="13"/>
                <w:szCs w:val="13"/>
                <w:b w:val="1"/>
                <w:bCs w:val="1"/>
                <w:color w:val="auto"/>
              </w:rPr>
              <w:t>—</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gridSpan w:val="2"/>
          </w:tcPr>
          <w:p>
            <w:pPr>
              <w:jc w:val="right"/>
              <w:ind w:right="115"/>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1000" w:type="dxa"/>
            <w:vAlign w:val="bottom"/>
            <w:gridSpan w:val="3"/>
          </w:tcPr>
          <w:p>
            <w:pPr>
              <w:jc w:val="right"/>
              <w:ind w:right="40"/>
              <w:spacing w:after="0" w:line="135" w:lineRule="exact"/>
              <w:rPr>
                <w:sz w:val="20"/>
                <w:szCs w:val="20"/>
                <w:color w:val="auto"/>
              </w:rPr>
            </w:pPr>
            <w:r>
              <w:rPr>
                <w:rFonts w:ascii="Arial" w:cs="Arial" w:eastAsia="Arial" w:hAnsi="Arial"/>
                <w:sz w:val="13"/>
                <w:szCs w:val="13"/>
                <w:b w:val="1"/>
                <w:bCs w:val="1"/>
                <w:color w:val="auto"/>
              </w:rPr>
              <w:t>(13.7)</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3"/>
          </w:tcPr>
          <w:p>
            <w:pPr>
              <w:jc w:val="right"/>
              <w:ind w:right="60"/>
              <w:spacing w:after="0" w:line="135" w:lineRule="exact"/>
              <w:rPr>
                <w:sz w:val="20"/>
                <w:szCs w:val="20"/>
                <w:color w:val="auto"/>
              </w:rPr>
            </w:pPr>
            <w:r>
              <w:rPr>
                <w:rFonts w:ascii="Arial" w:cs="Arial" w:eastAsia="Arial" w:hAnsi="Arial"/>
                <w:sz w:val="13"/>
                <w:szCs w:val="13"/>
                <w:b w:val="1"/>
                <w:bCs w:val="1"/>
                <w:color w:val="auto"/>
              </w:rPr>
              <w:t>(13.7)</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94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Contributions from noncontrolling interest</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gridSpan w:val="2"/>
            <w:shd w:val="clear" w:color="auto" w:fill="CCEEFF"/>
          </w:tcPr>
          <w:p>
            <w:pPr>
              <w:ind w:left="48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w:t>
            </w:r>
          </w:p>
        </w:tc>
        <w:tc>
          <w:tcPr>
            <w:tcW w:w="16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20"/>
              <w:spacing w:after="0" w:line="135" w:lineRule="exact"/>
              <w:rPr>
                <w:sz w:val="20"/>
                <w:szCs w:val="20"/>
                <w:color w:val="auto"/>
              </w:rPr>
            </w:pPr>
            <w:r>
              <w:rPr>
                <w:rFonts w:ascii="Arial" w:cs="Arial" w:eastAsia="Arial" w:hAnsi="Arial"/>
                <w:sz w:val="13"/>
                <w:szCs w:val="13"/>
                <w:b w:val="1"/>
                <w:bCs w:val="1"/>
                <w:color w:val="auto"/>
              </w:rPr>
              <w:t>—</w:t>
            </w: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40" w:type="dxa"/>
            <w:vAlign w:val="bottom"/>
            <w:gridSpan w:val="2"/>
            <w:shd w:val="clear" w:color="auto" w:fill="CCEEFF"/>
          </w:tcPr>
          <w:p>
            <w:pPr>
              <w:jc w:val="right"/>
              <w:ind w:right="115"/>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92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6.7</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20"/>
              <w:spacing w:after="0" w:line="135" w:lineRule="exact"/>
              <w:rPr>
                <w:sz w:val="20"/>
                <w:szCs w:val="20"/>
                <w:color w:val="auto"/>
              </w:rPr>
            </w:pPr>
            <w:r>
              <w:rPr>
                <w:rFonts w:ascii="Arial" w:cs="Arial" w:eastAsia="Arial" w:hAnsi="Arial"/>
                <w:sz w:val="13"/>
                <w:szCs w:val="13"/>
                <w:b w:val="1"/>
                <w:bCs w:val="1"/>
                <w:color w:val="auto"/>
              </w:rPr>
              <w:t>6.7</w:t>
            </w:r>
          </w:p>
        </w:tc>
        <w:tc>
          <w:tcPr>
            <w:tcW w:w="8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tcPr>
          <w:p>
            <w:pPr>
              <w:spacing w:after="0" w:line="121" w:lineRule="exact"/>
              <w:rPr>
                <w:sz w:val="20"/>
                <w:szCs w:val="20"/>
                <w:color w:val="auto"/>
              </w:rPr>
            </w:pPr>
            <w:r>
              <w:rPr>
                <w:rFonts w:ascii="Arial" w:cs="Arial" w:eastAsia="Arial" w:hAnsi="Arial"/>
                <w:sz w:val="13"/>
                <w:szCs w:val="13"/>
                <w:color w:val="auto"/>
              </w:rPr>
              <w:t>Purchase of subsidiary shares from noncontrolling</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vMerge w:val="restart"/>
          </w:tcPr>
          <w:p>
            <w:pPr>
              <w:ind w:left="480"/>
              <w:spacing w:after="0"/>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0"/>
                <w:szCs w:val="10"/>
                <w:color w:val="auto"/>
              </w:rPr>
            </w:pPr>
          </w:p>
        </w:tc>
        <w:tc>
          <w:tcPr>
            <w:tcW w:w="520" w:type="dxa"/>
            <w:vAlign w:val="bottom"/>
            <w:gridSpan w:val="2"/>
            <w:vMerge w:val="restart"/>
          </w:tcPr>
          <w:p>
            <w:pPr>
              <w:jc w:val="right"/>
              <w:ind w:right="100"/>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20" w:type="dxa"/>
            <w:vAlign w:val="bottom"/>
            <w:gridSpan w:val="2"/>
            <w:vMerge w:val="restart"/>
          </w:tcPr>
          <w:p>
            <w:pPr>
              <w:jc w:val="right"/>
              <w:ind w:right="140"/>
              <w:spacing w:after="0"/>
              <w:rPr>
                <w:sz w:val="20"/>
                <w:szCs w:val="20"/>
                <w:color w:val="auto"/>
              </w:rPr>
            </w:pPr>
            <w:r>
              <w:rPr>
                <w:rFonts w:ascii="Arial" w:cs="Arial" w:eastAsia="Arial" w:hAnsi="Arial"/>
                <w:sz w:val="13"/>
                <w:szCs w:val="13"/>
                <w:b w:val="1"/>
                <w:bCs w:val="1"/>
                <w:color w:val="auto"/>
              </w:rPr>
              <w:t>(19.0)</w:t>
            </w:r>
          </w:p>
        </w:tc>
        <w:tc>
          <w:tcPr>
            <w:tcW w:w="80" w:type="dxa"/>
            <w:vAlign w:val="bottom"/>
          </w:tcPr>
          <w:p>
            <w:pPr>
              <w:spacing w:after="0"/>
              <w:rPr>
                <w:sz w:val="10"/>
                <w:szCs w:val="10"/>
                <w:color w:val="auto"/>
              </w:rPr>
            </w:pPr>
          </w:p>
        </w:tc>
        <w:tc>
          <w:tcPr>
            <w:tcW w:w="620" w:type="dxa"/>
            <w:vAlign w:val="bottom"/>
            <w:gridSpan w:val="2"/>
            <w:vMerge w:val="restart"/>
          </w:tcPr>
          <w:p>
            <w:pPr>
              <w:jc w:val="right"/>
              <w:ind w:right="20"/>
              <w:spacing w:after="0"/>
              <w:rPr>
                <w:sz w:val="20"/>
                <w:szCs w:val="20"/>
                <w:color w:val="auto"/>
              </w:rPr>
            </w:pPr>
            <w:r>
              <w:rPr>
                <w:rFonts w:ascii="Arial" w:cs="Arial" w:eastAsia="Arial" w:hAnsi="Arial"/>
                <w:sz w:val="13"/>
                <w:szCs w:val="13"/>
                <w:b w:val="1"/>
                <w:bCs w:val="1"/>
                <w:color w:val="auto"/>
              </w:rPr>
              <w:t>—</w:t>
            </w: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gridSpan w:val="3"/>
            <w:vMerge w:val="restart"/>
          </w:tcPr>
          <w:p>
            <w:pPr>
              <w:jc w:val="right"/>
              <w:spacing w:after="0"/>
              <w:rPr>
                <w:sz w:val="20"/>
                <w:szCs w:val="20"/>
                <w:color w:val="auto"/>
              </w:rPr>
            </w:pPr>
            <w:r>
              <w:rPr>
                <w:rFonts w:ascii="Arial" w:cs="Arial" w:eastAsia="Arial" w:hAnsi="Arial"/>
                <w:sz w:val="13"/>
                <w:szCs w:val="13"/>
                <w:b w:val="1"/>
                <w:bCs w:val="1"/>
                <w:color w:val="auto"/>
              </w:rPr>
              <w:t>(10.3)</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40" w:type="dxa"/>
            <w:vAlign w:val="bottom"/>
            <w:gridSpan w:val="2"/>
            <w:vMerge w:val="restart"/>
          </w:tcPr>
          <w:p>
            <w:pPr>
              <w:jc w:val="right"/>
              <w:ind w:right="115"/>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0"/>
                <w:szCs w:val="10"/>
                <w:color w:val="auto"/>
              </w:rPr>
            </w:pPr>
          </w:p>
        </w:tc>
        <w:tc>
          <w:tcPr>
            <w:tcW w:w="1000" w:type="dxa"/>
            <w:vAlign w:val="bottom"/>
            <w:gridSpan w:val="3"/>
            <w:vMerge w:val="restart"/>
          </w:tcPr>
          <w:p>
            <w:pPr>
              <w:jc w:val="right"/>
              <w:ind w:right="80"/>
              <w:spacing w:after="0"/>
              <w:rPr>
                <w:sz w:val="20"/>
                <w:szCs w:val="20"/>
                <w:color w:val="auto"/>
              </w:rPr>
            </w:pPr>
            <w:r>
              <w:rPr>
                <w:rFonts w:ascii="Arial" w:cs="Arial" w:eastAsia="Arial" w:hAnsi="Arial"/>
                <w:sz w:val="13"/>
                <w:szCs w:val="13"/>
                <w:b w:val="1"/>
                <w:bCs w:val="1"/>
                <w:color w:val="auto"/>
              </w:rPr>
              <w:t>12.8</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40" w:type="dxa"/>
            <w:vAlign w:val="bottom"/>
            <w:gridSpan w:val="3"/>
            <w:vMerge w:val="restart"/>
          </w:tcPr>
          <w:p>
            <w:pPr>
              <w:jc w:val="right"/>
              <w:ind w:right="60"/>
              <w:spacing w:after="0"/>
              <w:rPr>
                <w:sz w:val="20"/>
                <w:szCs w:val="20"/>
                <w:color w:val="auto"/>
              </w:rPr>
            </w:pPr>
            <w:r>
              <w:rPr>
                <w:rFonts w:ascii="Arial" w:cs="Arial" w:eastAsia="Arial" w:hAnsi="Arial"/>
                <w:sz w:val="13"/>
                <w:szCs w:val="13"/>
                <w:b w:val="1"/>
                <w:bCs w:val="1"/>
                <w:color w:val="auto"/>
              </w:rPr>
              <w:t>(16.5)</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tcPr>
          <w:p>
            <w:pPr>
              <w:ind w:left="160"/>
              <w:spacing w:after="0"/>
              <w:rPr>
                <w:sz w:val="20"/>
                <w:szCs w:val="20"/>
                <w:color w:val="auto"/>
              </w:rPr>
            </w:pPr>
            <w:r>
              <w:rPr>
                <w:rFonts w:ascii="Arial" w:cs="Arial" w:eastAsia="Arial" w:hAnsi="Arial"/>
                <w:sz w:val="13"/>
                <w:szCs w:val="13"/>
                <w:color w:val="auto"/>
              </w:rPr>
              <w:t>interest</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shd w:val="clear" w:color="auto" w:fill="CCEEFF"/>
          </w:tcPr>
          <w:p>
            <w:pPr>
              <w:spacing w:after="0" w:line="121" w:lineRule="exact"/>
              <w:rPr>
                <w:sz w:val="20"/>
                <w:szCs w:val="20"/>
                <w:color w:val="auto"/>
              </w:rPr>
            </w:pPr>
            <w:r>
              <w:rPr>
                <w:rFonts w:ascii="Arial" w:cs="Arial" w:eastAsia="Arial" w:hAnsi="Arial"/>
                <w:sz w:val="13"/>
                <w:szCs w:val="13"/>
                <w:color w:val="auto"/>
              </w:rPr>
              <w:t>Adjustments to redemption amount of redeemable</w:t>
            </w: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vMerge w:val="restart"/>
            <w:shd w:val="clear" w:color="auto" w:fill="CCEEFF"/>
          </w:tcPr>
          <w:p>
            <w:pPr>
              <w:ind w:left="480"/>
              <w:spacing w:after="0"/>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3"/>
                <w:szCs w:val="13"/>
                <w:b w:val="1"/>
                <w:bCs w:val="1"/>
                <w:color w:val="auto"/>
              </w:rPr>
              <w:t>—</w:t>
            </w:r>
          </w:p>
        </w:tc>
        <w:tc>
          <w:tcPr>
            <w:tcW w:w="160" w:type="dxa"/>
            <w:vAlign w:val="bottom"/>
            <w:shd w:val="clear" w:color="auto" w:fill="CCEEFF"/>
          </w:tcPr>
          <w:p>
            <w:pPr>
              <w:spacing w:after="0"/>
              <w:rPr>
                <w:sz w:val="10"/>
                <w:szCs w:val="10"/>
                <w:color w:val="auto"/>
              </w:rPr>
            </w:pPr>
          </w:p>
        </w:tc>
        <w:tc>
          <w:tcPr>
            <w:tcW w:w="5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3"/>
                <w:szCs w:val="13"/>
                <w:b w:val="1"/>
                <w:bCs w:val="1"/>
                <w:color w:val="auto"/>
              </w:rPr>
              <w:t>(3.6)</w:t>
            </w:r>
          </w:p>
        </w:tc>
        <w:tc>
          <w:tcPr>
            <w:tcW w:w="80" w:type="dxa"/>
            <w:vAlign w:val="bottom"/>
            <w:shd w:val="clear" w:color="auto" w:fill="CCEEFF"/>
          </w:tcPr>
          <w:p>
            <w:pPr>
              <w:spacing w:after="0"/>
              <w:rPr>
                <w:sz w:val="10"/>
                <w:szCs w:val="10"/>
                <w:color w:val="auto"/>
              </w:rPr>
            </w:pPr>
          </w:p>
        </w:tc>
        <w:tc>
          <w:tcPr>
            <w:tcW w:w="62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3"/>
                <w:szCs w:val="13"/>
                <w:b w:val="1"/>
                <w:bCs w:val="1"/>
                <w:color w:val="auto"/>
              </w:rPr>
              <w:t>—</w:t>
            </w: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520" w:type="dxa"/>
            <w:vAlign w:val="bottom"/>
            <w:gridSpan w:val="2"/>
            <w:vMerge w:val="restart"/>
            <w:shd w:val="clear" w:color="auto" w:fill="CCEEFF"/>
          </w:tcPr>
          <w:p>
            <w:pPr>
              <w:jc w:val="right"/>
              <w:ind w:right="18"/>
              <w:spacing w:after="0"/>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340" w:type="dxa"/>
            <w:vAlign w:val="bottom"/>
            <w:gridSpan w:val="2"/>
            <w:vMerge w:val="restart"/>
            <w:shd w:val="clear" w:color="auto" w:fill="CCEEFF"/>
          </w:tcPr>
          <w:p>
            <w:pPr>
              <w:jc w:val="right"/>
              <w:ind w:right="115"/>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28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940" w:type="dxa"/>
            <w:vAlign w:val="bottom"/>
            <w:gridSpan w:val="3"/>
            <w:vMerge w:val="restart"/>
            <w:shd w:val="clear" w:color="auto" w:fill="CCEEFF"/>
          </w:tcPr>
          <w:p>
            <w:pPr>
              <w:jc w:val="right"/>
              <w:ind w:right="60"/>
              <w:spacing w:after="0"/>
              <w:rPr>
                <w:sz w:val="20"/>
                <w:szCs w:val="20"/>
                <w:color w:val="auto"/>
              </w:rPr>
            </w:pPr>
            <w:r>
              <w:rPr>
                <w:rFonts w:ascii="Arial" w:cs="Arial" w:eastAsia="Arial" w:hAnsi="Arial"/>
                <w:sz w:val="13"/>
                <w:szCs w:val="13"/>
                <w:b w:val="1"/>
                <w:bCs w:val="1"/>
                <w:color w:val="auto"/>
              </w:rPr>
              <w:t>(3.6)</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noncontrolling interest</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vMerge w:val="continue"/>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gridSpan w:val="2"/>
            <w:vMerge w:val="continue"/>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vMerge w:val="continue"/>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20" w:type="dxa"/>
            <w:vAlign w:val="bottom"/>
            <w:gridSpan w:val="2"/>
            <w:vMerge w:val="continue"/>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28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gridSpan w:val="3"/>
            <w:vMerge w:val="continue"/>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tcPr>
          <w:p>
            <w:pPr>
              <w:spacing w:after="0" w:line="121" w:lineRule="exact"/>
              <w:rPr>
                <w:sz w:val="20"/>
                <w:szCs w:val="20"/>
                <w:color w:val="auto"/>
              </w:rPr>
            </w:pPr>
            <w:r>
              <w:rPr>
                <w:rFonts w:ascii="Arial" w:cs="Arial" w:eastAsia="Arial" w:hAnsi="Arial"/>
                <w:sz w:val="13"/>
                <w:szCs w:val="13"/>
                <w:color w:val="auto"/>
              </w:rPr>
              <w:t>Net income (excludes $1.5 million attributable to</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vMerge w:val="restart"/>
          </w:tcPr>
          <w:p>
            <w:pPr>
              <w:ind w:left="480"/>
              <w:spacing w:after="0"/>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0"/>
                <w:szCs w:val="10"/>
                <w:color w:val="auto"/>
              </w:rPr>
            </w:pPr>
          </w:p>
        </w:tc>
        <w:tc>
          <w:tcPr>
            <w:tcW w:w="520" w:type="dxa"/>
            <w:vAlign w:val="bottom"/>
            <w:gridSpan w:val="2"/>
            <w:vMerge w:val="restart"/>
          </w:tcPr>
          <w:p>
            <w:pPr>
              <w:jc w:val="right"/>
              <w:ind w:right="100"/>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20" w:type="dxa"/>
            <w:vAlign w:val="bottom"/>
            <w:gridSpan w:val="2"/>
            <w:vMerge w:val="restart"/>
          </w:tcPr>
          <w:p>
            <w:pPr>
              <w:jc w:val="right"/>
              <w:ind w:right="180"/>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0"/>
                <w:szCs w:val="10"/>
                <w:color w:val="auto"/>
              </w:rPr>
            </w:pPr>
          </w:p>
        </w:tc>
        <w:tc>
          <w:tcPr>
            <w:tcW w:w="620" w:type="dxa"/>
            <w:vAlign w:val="bottom"/>
            <w:gridSpan w:val="2"/>
            <w:vMerge w:val="restart"/>
          </w:tcPr>
          <w:p>
            <w:pPr>
              <w:jc w:val="right"/>
              <w:ind w:right="20"/>
              <w:spacing w:after="0"/>
              <w:rPr>
                <w:sz w:val="20"/>
                <w:szCs w:val="20"/>
                <w:color w:val="auto"/>
              </w:rPr>
            </w:pPr>
            <w:r>
              <w:rPr>
                <w:rFonts w:ascii="Arial" w:cs="Arial" w:eastAsia="Arial" w:hAnsi="Arial"/>
                <w:sz w:val="13"/>
                <w:szCs w:val="13"/>
                <w:b w:val="1"/>
                <w:bCs w:val="1"/>
                <w:color w:val="auto"/>
              </w:rPr>
              <w:t>980.4</w:t>
            </w: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520" w:type="dxa"/>
            <w:vAlign w:val="bottom"/>
            <w:gridSpan w:val="2"/>
            <w:vMerge w:val="restart"/>
          </w:tcPr>
          <w:p>
            <w:pPr>
              <w:jc w:val="right"/>
              <w:ind w:right="18"/>
              <w:spacing w:after="0"/>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40" w:type="dxa"/>
            <w:vAlign w:val="bottom"/>
            <w:gridSpan w:val="2"/>
            <w:vMerge w:val="restart"/>
          </w:tcPr>
          <w:p>
            <w:pPr>
              <w:jc w:val="right"/>
              <w:ind w:right="115"/>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0"/>
                <w:szCs w:val="10"/>
                <w:color w:val="auto"/>
              </w:rPr>
            </w:pPr>
          </w:p>
        </w:tc>
        <w:tc>
          <w:tcPr>
            <w:tcW w:w="1000" w:type="dxa"/>
            <w:vAlign w:val="bottom"/>
            <w:gridSpan w:val="3"/>
            <w:vMerge w:val="restart"/>
          </w:tcPr>
          <w:p>
            <w:pPr>
              <w:jc w:val="right"/>
              <w:ind w:right="80"/>
              <w:spacing w:after="0"/>
              <w:rPr>
                <w:sz w:val="20"/>
                <w:szCs w:val="20"/>
                <w:color w:val="auto"/>
              </w:rPr>
            </w:pPr>
            <w:r>
              <w:rPr>
                <w:rFonts w:ascii="Arial" w:cs="Arial" w:eastAsia="Arial" w:hAnsi="Arial"/>
                <w:sz w:val="13"/>
                <w:szCs w:val="13"/>
                <w:b w:val="1"/>
                <w:bCs w:val="1"/>
                <w:color w:val="auto"/>
              </w:rPr>
              <w:t>13.0</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60" w:type="dxa"/>
            <w:vAlign w:val="bottom"/>
            <w:gridSpan w:val="2"/>
            <w:vMerge w:val="restart"/>
          </w:tcPr>
          <w:p>
            <w:pPr>
              <w:jc w:val="right"/>
              <w:ind w:right="20"/>
              <w:spacing w:after="0"/>
              <w:rPr>
                <w:sz w:val="20"/>
                <w:szCs w:val="20"/>
                <w:color w:val="auto"/>
              </w:rPr>
            </w:pPr>
            <w:r>
              <w:rPr>
                <w:rFonts w:ascii="Arial" w:cs="Arial" w:eastAsia="Arial" w:hAnsi="Arial"/>
                <w:sz w:val="13"/>
                <w:szCs w:val="13"/>
                <w:b w:val="1"/>
                <w:bCs w:val="1"/>
                <w:color w:val="auto"/>
              </w:rPr>
              <w:t>993.4</w:t>
            </w: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tcPr>
          <w:p>
            <w:pPr>
              <w:ind w:left="160"/>
              <w:spacing w:after="0"/>
              <w:rPr>
                <w:sz w:val="20"/>
                <w:szCs w:val="20"/>
                <w:color w:val="auto"/>
              </w:rPr>
            </w:pPr>
            <w:r>
              <w:rPr>
                <w:rFonts w:ascii="Arial" w:cs="Arial" w:eastAsia="Arial" w:hAnsi="Arial"/>
                <w:sz w:val="13"/>
                <w:szCs w:val="13"/>
                <w:color w:val="auto"/>
              </w:rPr>
              <w:t>redeemable noncontrolling interest)</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2940" w:type="dxa"/>
            <w:vAlign w:val="bottom"/>
            <w:gridSpan w:val="2"/>
            <w:shd w:val="clear" w:color="auto" w:fill="CCEEFF"/>
          </w:tcPr>
          <w:p>
            <w:pPr>
              <w:spacing w:after="0" w:line="121" w:lineRule="exact"/>
              <w:rPr>
                <w:sz w:val="20"/>
                <w:szCs w:val="20"/>
                <w:color w:val="auto"/>
              </w:rPr>
            </w:pPr>
            <w:r>
              <w:rPr>
                <w:rFonts w:ascii="Arial" w:cs="Arial" w:eastAsia="Arial" w:hAnsi="Arial"/>
                <w:sz w:val="13"/>
                <w:szCs w:val="13"/>
                <w:color w:val="auto"/>
                <w:w w:val="98"/>
              </w:rPr>
              <w:t>Other comprehensive loss (excludes $(17.7) million</w:t>
            </w: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vMerge w:val="restart"/>
            <w:shd w:val="clear" w:color="auto" w:fill="CCEEFF"/>
          </w:tcPr>
          <w:p>
            <w:pPr>
              <w:ind w:left="480"/>
              <w:spacing w:after="0"/>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3"/>
                <w:szCs w:val="13"/>
                <w:b w:val="1"/>
                <w:bCs w:val="1"/>
                <w:color w:val="auto"/>
              </w:rPr>
              <w:t>—</w:t>
            </w:r>
          </w:p>
        </w:tc>
        <w:tc>
          <w:tcPr>
            <w:tcW w:w="160" w:type="dxa"/>
            <w:vAlign w:val="bottom"/>
            <w:shd w:val="clear" w:color="auto" w:fill="CCEEFF"/>
          </w:tcPr>
          <w:p>
            <w:pPr>
              <w:spacing w:after="0"/>
              <w:rPr>
                <w:sz w:val="10"/>
                <w:szCs w:val="10"/>
                <w:color w:val="auto"/>
              </w:rPr>
            </w:pPr>
          </w:p>
        </w:tc>
        <w:tc>
          <w:tcPr>
            <w:tcW w:w="5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0"/>
                <w:szCs w:val="10"/>
                <w:color w:val="auto"/>
              </w:rPr>
            </w:pPr>
          </w:p>
        </w:tc>
        <w:tc>
          <w:tcPr>
            <w:tcW w:w="62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3"/>
                <w:szCs w:val="13"/>
                <w:b w:val="1"/>
                <w:bCs w:val="1"/>
                <w:color w:val="auto"/>
              </w:rPr>
              <w:t>—</w:t>
            </w: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40" w:type="dxa"/>
            <w:vAlign w:val="bottom"/>
            <w:gridSpan w:val="3"/>
            <w:vMerge w:val="restart"/>
            <w:shd w:val="clear" w:color="auto" w:fill="CCEEFF"/>
          </w:tcPr>
          <w:p>
            <w:pPr>
              <w:jc w:val="right"/>
              <w:spacing w:after="0"/>
              <w:rPr>
                <w:sz w:val="20"/>
                <w:szCs w:val="20"/>
                <w:color w:val="auto"/>
              </w:rPr>
            </w:pPr>
            <w:r>
              <w:rPr>
                <w:rFonts w:ascii="Arial" w:cs="Arial" w:eastAsia="Arial" w:hAnsi="Arial"/>
                <w:sz w:val="13"/>
                <w:szCs w:val="13"/>
                <w:b w:val="1"/>
                <w:bCs w:val="1"/>
                <w:color w:val="auto"/>
              </w:rPr>
              <w:t>(564.5)</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340" w:type="dxa"/>
            <w:vAlign w:val="bottom"/>
            <w:gridSpan w:val="2"/>
            <w:vMerge w:val="restart"/>
            <w:shd w:val="clear" w:color="auto" w:fill="CCEEFF"/>
          </w:tcPr>
          <w:p>
            <w:pPr>
              <w:jc w:val="right"/>
              <w:ind w:right="115"/>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0"/>
                <w:szCs w:val="10"/>
                <w:color w:val="auto"/>
              </w:rPr>
            </w:pPr>
          </w:p>
        </w:tc>
        <w:tc>
          <w:tcPr>
            <w:tcW w:w="1000" w:type="dxa"/>
            <w:vAlign w:val="bottom"/>
            <w:gridSpan w:val="3"/>
            <w:vMerge w:val="restart"/>
            <w:shd w:val="clear" w:color="auto" w:fill="CCEEFF"/>
          </w:tcPr>
          <w:p>
            <w:pPr>
              <w:jc w:val="right"/>
              <w:ind w:right="40"/>
              <w:spacing w:after="0"/>
              <w:rPr>
                <w:sz w:val="20"/>
                <w:szCs w:val="20"/>
                <w:color w:val="auto"/>
              </w:rPr>
            </w:pPr>
            <w:r>
              <w:rPr>
                <w:rFonts w:ascii="Arial" w:cs="Arial" w:eastAsia="Arial" w:hAnsi="Arial"/>
                <w:sz w:val="13"/>
                <w:szCs w:val="13"/>
                <w:b w:val="1"/>
                <w:bCs w:val="1"/>
                <w:color w:val="auto"/>
              </w:rPr>
              <w:t>(1.3)</w:t>
            </w:r>
          </w:p>
        </w:tc>
        <w:tc>
          <w:tcPr>
            <w:tcW w:w="8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940" w:type="dxa"/>
            <w:vAlign w:val="bottom"/>
            <w:gridSpan w:val="3"/>
            <w:vMerge w:val="restart"/>
            <w:shd w:val="clear" w:color="auto" w:fill="CCEEFF"/>
          </w:tcPr>
          <w:p>
            <w:pPr>
              <w:jc w:val="right"/>
              <w:ind w:right="60"/>
              <w:spacing w:after="0"/>
              <w:rPr>
                <w:sz w:val="20"/>
                <w:szCs w:val="20"/>
                <w:color w:val="auto"/>
              </w:rPr>
            </w:pPr>
            <w:r>
              <w:rPr>
                <w:rFonts w:ascii="Arial" w:cs="Arial" w:eastAsia="Arial" w:hAnsi="Arial"/>
                <w:sz w:val="13"/>
                <w:szCs w:val="13"/>
                <w:b w:val="1"/>
                <w:bCs w:val="1"/>
                <w:color w:val="auto"/>
              </w:rPr>
              <w:t>(565.8)</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w w:val="96"/>
              </w:rPr>
              <w:t>attributable to redeemable noncontrolling interest)</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vMerge w:val="continue"/>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0" w:type="dxa"/>
            <w:vAlign w:val="bottom"/>
            <w:gridSpan w:val="2"/>
            <w:vMerge w:val="continue"/>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2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vMerge w:val="continue"/>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vMerge w:val="continue"/>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gridSpan w:val="2"/>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3"/>
            <w:vMerge w:val="continue"/>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gridSpan w:val="3"/>
            <w:vMerge w:val="continue"/>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940" w:type="dxa"/>
            <w:vAlign w:val="bottom"/>
            <w:gridSpan w:val="2"/>
          </w:tcPr>
          <w:p>
            <w:pPr>
              <w:spacing w:after="0" w:line="143" w:lineRule="exact"/>
              <w:rPr>
                <w:sz w:val="20"/>
                <w:szCs w:val="20"/>
                <w:color w:val="auto"/>
              </w:rPr>
            </w:pPr>
            <w:r>
              <w:rPr>
                <w:rFonts w:ascii="Arial" w:cs="Arial" w:eastAsia="Arial" w:hAnsi="Arial"/>
                <w:sz w:val="13"/>
                <w:szCs w:val="13"/>
                <w:b w:val="1"/>
                <w:bCs w:val="1"/>
                <w:color w:val="auto"/>
              </w:rPr>
              <w:t>Balances at September 30, 2015</w:t>
            </w:r>
          </w:p>
        </w:tc>
        <w:tc>
          <w:tcPr>
            <w:tcW w:w="40" w:type="dxa"/>
            <w:vAlign w:val="bottom"/>
          </w:tcPr>
          <w:p>
            <w:pPr>
              <w:spacing w:after="0"/>
              <w:rPr>
                <w:sz w:val="12"/>
                <w:szCs w:val="12"/>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9"/>
                <w:szCs w:val="9"/>
                <w:b w:val="1"/>
                <w:bCs w:val="1"/>
                <w:color w:val="auto"/>
                <w:w w:val="78"/>
              </w:rPr>
              <w:t>$</w:t>
            </w:r>
          </w:p>
        </w:tc>
        <w:tc>
          <w:tcPr>
            <w:tcW w:w="620" w:type="dxa"/>
            <w:vAlign w:val="bottom"/>
            <w:tcBorders>
              <w:top w:val="single" w:sz="8" w:color="auto"/>
            </w:tcBorders>
          </w:tcPr>
          <w:p>
            <w:pPr>
              <w:ind w:left="480"/>
              <w:spacing w:after="0" w:line="143" w:lineRule="exact"/>
              <w:rPr>
                <w:sz w:val="20"/>
                <w:szCs w:val="20"/>
                <w:color w:val="auto"/>
              </w:rPr>
            </w:pPr>
            <w:r>
              <w:rPr>
                <w:rFonts w:ascii="Arial" w:cs="Arial" w:eastAsia="Arial" w:hAnsi="Arial"/>
                <w:sz w:val="13"/>
                <w:szCs w:val="13"/>
                <w:b w:val="1"/>
                <w:bCs w:val="1"/>
                <w:color w:val="auto"/>
                <w:w w:val="91"/>
              </w:rPr>
              <w:t>—</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Borders>
              <w:top w:val="single" w:sz="8" w:color="auto"/>
            </w:tcBorders>
          </w:tcPr>
          <w:p>
            <w:pPr>
              <w:jc w:val="right"/>
              <w:spacing w:after="0"/>
              <w:rPr>
                <w:sz w:val="20"/>
                <w:szCs w:val="20"/>
                <w:color w:val="auto"/>
              </w:rPr>
            </w:pPr>
            <w:r>
              <w:rPr>
                <w:rFonts w:ascii="Arial" w:cs="Arial" w:eastAsia="Arial" w:hAnsi="Arial"/>
                <w:sz w:val="9"/>
                <w:szCs w:val="9"/>
                <w:b w:val="1"/>
                <w:bCs w:val="1"/>
                <w:color w:val="auto"/>
                <w:w w:val="78"/>
              </w:rPr>
              <w:t>$</w:t>
            </w:r>
          </w:p>
        </w:tc>
        <w:tc>
          <w:tcPr>
            <w:tcW w:w="640" w:type="dxa"/>
            <w:vAlign w:val="bottom"/>
            <w:tcBorders>
              <w:top w:val="single" w:sz="8" w:color="auto"/>
            </w:tcBorders>
          </w:tcPr>
          <w:p>
            <w:pPr>
              <w:jc w:val="right"/>
              <w:spacing w:after="0" w:line="143" w:lineRule="exact"/>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2"/>
                <w:szCs w:val="12"/>
                <w:color w:val="auto"/>
              </w:rPr>
            </w:pPr>
          </w:p>
        </w:tc>
        <w:tc>
          <w:tcPr>
            <w:tcW w:w="160" w:type="dxa"/>
            <w:vAlign w:val="bottom"/>
            <w:tcBorders>
              <w:top w:val="single" w:sz="8" w:color="auto"/>
            </w:tcBorders>
          </w:tcPr>
          <w:p>
            <w:pPr>
              <w:jc w:val="right"/>
              <w:ind w:right="17"/>
              <w:spacing w:after="0" w:line="143" w:lineRule="exact"/>
              <w:rPr>
                <w:sz w:val="20"/>
                <w:szCs w:val="20"/>
                <w:color w:val="auto"/>
              </w:rPr>
            </w:pPr>
            <w:r>
              <w:rPr>
                <w:rFonts w:ascii="Arial" w:cs="Arial" w:eastAsia="Arial" w:hAnsi="Arial"/>
                <w:sz w:val="13"/>
                <w:szCs w:val="13"/>
                <w:b w:val="1"/>
                <w:bCs w:val="1"/>
                <w:color w:val="auto"/>
                <w:w w:val="82"/>
              </w:rPr>
              <w:t>$</w:t>
            </w:r>
          </w:p>
        </w:tc>
        <w:tc>
          <w:tcPr>
            <w:tcW w:w="420" w:type="dxa"/>
            <w:vAlign w:val="bottom"/>
            <w:tcBorders>
              <w:top w:val="single" w:sz="8" w:color="auto"/>
            </w:tcBorders>
          </w:tcPr>
          <w:p>
            <w:pPr>
              <w:jc w:val="right"/>
              <w:spacing w:after="0" w:line="143" w:lineRule="exact"/>
              <w:rPr>
                <w:sz w:val="20"/>
                <w:szCs w:val="20"/>
                <w:color w:val="auto"/>
              </w:rPr>
            </w:pPr>
            <w:r>
              <w:rPr>
                <w:rFonts w:ascii="Arial" w:cs="Arial" w:eastAsia="Arial" w:hAnsi="Arial"/>
                <w:sz w:val="13"/>
                <w:szCs w:val="13"/>
                <w:b w:val="1"/>
                <w:bCs w:val="1"/>
                <w:color w:val="auto"/>
              </w:rPr>
              <w:t>4.7</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top w:val="single" w:sz="8" w:color="auto"/>
            </w:tcBorders>
          </w:tcPr>
          <w:p>
            <w:pPr>
              <w:jc w:val="right"/>
              <w:spacing w:after="0"/>
              <w:rPr>
                <w:sz w:val="20"/>
                <w:szCs w:val="20"/>
                <w:color w:val="auto"/>
              </w:rPr>
            </w:pPr>
            <w:r>
              <w:rPr>
                <w:rFonts w:ascii="Arial" w:cs="Arial" w:eastAsia="Arial" w:hAnsi="Arial"/>
                <w:sz w:val="9"/>
                <w:szCs w:val="9"/>
                <w:b w:val="1"/>
                <w:bCs w:val="1"/>
                <w:color w:val="auto"/>
                <w:w w:val="78"/>
              </w:rPr>
              <w:t>$</w:t>
            </w:r>
          </w:p>
        </w:tc>
        <w:tc>
          <w:tcPr>
            <w:tcW w:w="640" w:type="dxa"/>
            <w:vAlign w:val="bottom"/>
            <w:tcBorders>
              <w:top w:val="single" w:sz="8" w:color="auto"/>
            </w:tcBorders>
          </w:tcPr>
          <w:p>
            <w:pPr>
              <w:jc w:val="right"/>
              <w:spacing w:after="0" w:line="143" w:lineRule="exact"/>
              <w:rPr>
                <w:sz w:val="20"/>
                <w:szCs w:val="20"/>
                <w:color w:val="auto"/>
              </w:rPr>
            </w:pPr>
            <w:r>
              <w:rPr>
                <w:rFonts w:ascii="Arial" w:cs="Arial" w:eastAsia="Arial" w:hAnsi="Arial"/>
                <w:sz w:val="13"/>
                <w:szCs w:val="13"/>
                <w:b w:val="1"/>
                <w:bCs w:val="1"/>
                <w:color w:val="auto"/>
              </w:rPr>
              <w:t>9,524.2</w:t>
            </w:r>
          </w:p>
        </w:tc>
        <w:tc>
          <w:tcPr>
            <w:tcW w:w="180" w:type="dxa"/>
            <w:vAlign w:val="bottom"/>
          </w:tcPr>
          <w:p>
            <w:pPr>
              <w:spacing w:after="0"/>
              <w:rPr>
                <w:sz w:val="12"/>
                <w:szCs w:val="12"/>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9"/>
                <w:szCs w:val="9"/>
                <w:b w:val="1"/>
                <w:bCs w:val="1"/>
                <w:color w:val="auto"/>
                <w:w w:val="78"/>
              </w:rPr>
              <w:t>$</w:t>
            </w:r>
          </w:p>
        </w:tc>
        <w:tc>
          <w:tcPr>
            <w:tcW w:w="600" w:type="dxa"/>
            <w:vAlign w:val="bottom"/>
            <w:tcBorders>
              <w:top w:val="single" w:sz="8" w:color="auto"/>
            </w:tcBorders>
          </w:tcPr>
          <w:p>
            <w:pPr>
              <w:jc w:val="right"/>
              <w:spacing w:after="0" w:line="143" w:lineRule="exact"/>
              <w:rPr>
                <w:sz w:val="20"/>
                <w:szCs w:val="20"/>
                <w:color w:val="auto"/>
              </w:rPr>
            </w:pPr>
            <w:r>
              <w:rPr>
                <w:rFonts w:ascii="Arial" w:cs="Arial" w:eastAsia="Arial" w:hAnsi="Arial"/>
                <w:sz w:val="13"/>
                <w:szCs w:val="13"/>
                <w:b w:val="1"/>
                <w:bCs w:val="1"/>
                <w:color w:val="auto"/>
              </w:rPr>
              <w:t>6,734.7</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Borders>
              <w:top w:val="single" w:sz="8" w:color="auto"/>
            </w:tcBorders>
          </w:tcPr>
          <w:p>
            <w:pPr>
              <w:jc w:val="right"/>
              <w:ind w:right="143"/>
              <w:spacing w:after="0"/>
              <w:rPr>
                <w:sz w:val="20"/>
                <w:szCs w:val="20"/>
                <w:color w:val="auto"/>
              </w:rPr>
            </w:pPr>
            <w:r>
              <w:rPr>
                <w:rFonts w:ascii="Arial" w:cs="Arial" w:eastAsia="Arial" w:hAnsi="Arial"/>
                <w:sz w:val="9"/>
                <w:szCs w:val="9"/>
                <w:b w:val="1"/>
                <w:bCs w:val="1"/>
                <w:color w:val="auto"/>
                <w:w w:val="78"/>
              </w:rPr>
              <w:t>$</w:t>
            </w:r>
          </w:p>
        </w:tc>
        <w:tc>
          <w:tcPr>
            <w:tcW w:w="8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gridSpan w:val="2"/>
          </w:tcPr>
          <w:p>
            <w:pPr>
              <w:jc w:val="right"/>
              <w:spacing w:after="0" w:line="143" w:lineRule="exact"/>
              <w:rPr>
                <w:sz w:val="20"/>
                <w:szCs w:val="20"/>
                <w:color w:val="auto"/>
              </w:rPr>
            </w:pPr>
            <w:r>
              <w:rPr>
                <w:rFonts w:ascii="Arial" w:cs="Arial" w:eastAsia="Arial" w:hAnsi="Arial"/>
                <w:sz w:val="13"/>
                <w:szCs w:val="13"/>
                <w:b w:val="1"/>
                <w:bCs w:val="1"/>
                <w:color w:val="auto"/>
              </w:rPr>
              <w:t>(524.4</w:t>
            </w:r>
          </w:p>
        </w:tc>
        <w:tc>
          <w:tcPr>
            <w:tcW w:w="60" w:type="dxa"/>
            <w:vAlign w:val="bottom"/>
          </w:tcPr>
          <w:p>
            <w:pPr>
              <w:jc w:val="right"/>
              <w:spacing w:after="0"/>
              <w:rPr>
                <w:sz w:val="20"/>
                <w:szCs w:val="20"/>
                <w:color w:val="auto"/>
              </w:rPr>
            </w:pPr>
            <w:r>
              <w:rPr>
                <w:rFonts w:ascii="Arial" w:cs="Arial" w:eastAsia="Arial" w:hAnsi="Arial"/>
                <w:sz w:val="8"/>
                <w:szCs w:val="8"/>
                <w:b w:val="1"/>
                <w:bCs w:val="1"/>
                <w:color w:val="auto"/>
                <w:w w:val="73"/>
              </w:rPr>
              <w:t>)</w:t>
            </w:r>
          </w:p>
        </w:tc>
        <w:tc>
          <w:tcPr>
            <w:tcW w:w="100" w:type="dxa"/>
            <w:vAlign w:val="bottom"/>
          </w:tcPr>
          <w:p>
            <w:pPr>
              <w:spacing w:after="0"/>
              <w:rPr>
                <w:sz w:val="12"/>
                <w:szCs w:val="12"/>
                <w:color w:val="auto"/>
              </w:rPr>
            </w:pPr>
          </w:p>
        </w:tc>
        <w:tc>
          <w:tcPr>
            <w:tcW w:w="60" w:type="dxa"/>
            <w:vAlign w:val="bottom"/>
            <w:tcBorders>
              <w:top w:val="single" w:sz="8" w:color="auto"/>
            </w:tcBorders>
          </w:tcPr>
          <w:p>
            <w:pPr>
              <w:jc w:val="right"/>
              <w:spacing w:after="0"/>
              <w:rPr>
                <w:sz w:val="20"/>
                <w:szCs w:val="20"/>
                <w:color w:val="auto"/>
              </w:rPr>
            </w:pPr>
            <w:r>
              <w:rPr>
                <w:rFonts w:ascii="Arial" w:cs="Arial" w:eastAsia="Arial" w:hAnsi="Arial"/>
                <w:sz w:val="9"/>
                <w:szCs w:val="9"/>
                <w:b w:val="1"/>
                <w:bCs w:val="1"/>
                <w:color w:val="auto"/>
                <w:w w:val="78"/>
              </w:rPr>
              <w:t>$</w:t>
            </w:r>
          </w:p>
        </w:tc>
        <w:tc>
          <w:tcPr>
            <w:tcW w:w="620" w:type="dxa"/>
            <w:vAlign w:val="bottom"/>
            <w:tcBorders>
              <w:top w:val="single" w:sz="8" w:color="auto"/>
            </w:tcBorders>
            <w:gridSpan w:val="3"/>
          </w:tcPr>
          <w:p>
            <w:pPr>
              <w:jc w:val="right"/>
              <w:spacing w:after="0" w:line="143" w:lineRule="exact"/>
              <w:rPr>
                <w:sz w:val="20"/>
                <w:szCs w:val="20"/>
                <w:color w:val="auto"/>
              </w:rPr>
            </w:pPr>
            <w:r>
              <w:rPr>
                <w:rFonts w:ascii="Arial" w:cs="Arial" w:eastAsia="Arial" w:hAnsi="Arial"/>
                <w:sz w:val="13"/>
                <w:szCs w:val="13"/>
                <w:b w:val="1"/>
                <w:bCs w:val="1"/>
                <w:color w:val="auto"/>
              </w:rPr>
              <w:t>(6,118.</w:t>
            </w:r>
            <w:r>
              <w:rPr>
                <w:rFonts w:ascii="Arial" w:cs="Arial" w:eastAsia="Arial" w:hAnsi="Arial"/>
                <w:sz w:val="13"/>
                <w:szCs w:val="13"/>
                <w:b w:val="1"/>
                <w:bCs w:val="1"/>
                <w:u w:val="single" w:color="auto"/>
                <w:color w:val="auto"/>
              </w:rPr>
              <w:t>9</w:t>
            </w:r>
          </w:p>
        </w:tc>
        <w:tc>
          <w:tcPr>
            <w:tcW w:w="160" w:type="dxa"/>
            <w:vAlign w:val="bottom"/>
          </w:tcPr>
          <w:p>
            <w:pPr>
              <w:jc w:val="right"/>
              <w:ind w:right="75"/>
              <w:spacing w:after="0"/>
              <w:rPr>
                <w:sz w:val="20"/>
                <w:szCs w:val="20"/>
                <w:color w:val="auto"/>
              </w:rPr>
            </w:pPr>
            <w:r>
              <w:rPr>
                <w:rFonts w:ascii="Arial" w:cs="Arial" w:eastAsia="Arial" w:hAnsi="Arial"/>
                <w:sz w:val="8"/>
                <w:szCs w:val="8"/>
                <w:b w:val="1"/>
                <w:bCs w:val="1"/>
                <w:color w:val="auto"/>
                <w:w w:val="73"/>
              </w:rPr>
              <w:t>)</w:t>
            </w: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9"/>
                <w:szCs w:val="9"/>
                <w:b w:val="1"/>
                <w:bCs w:val="1"/>
                <w:color w:val="auto"/>
                <w:w w:val="78"/>
              </w:rPr>
              <w:t>$</w:t>
            </w:r>
          </w:p>
        </w:tc>
        <w:tc>
          <w:tcPr>
            <w:tcW w:w="920" w:type="dxa"/>
            <w:vAlign w:val="bottom"/>
            <w:tcBorders>
              <w:top w:val="single" w:sz="8" w:color="auto"/>
            </w:tcBorders>
            <w:gridSpan w:val="2"/>
          </w:tcPr>
          <w:p>
            <w:pPr>
              <w:jc w:val="right"/>
              <w:spacing w:after="0" w:line="143" w:lineRule="exact"/>
              <w:rPr>
                <w:sz w:val="20"/>
                <w:szCs w:val="20"/>
                <w:color w:val="auto"/>
              </w:rPr>
            </w:pPr>
            <w:r>
              <w:rPr>
                <w:rFonts w:ascii="Arial" w:cs="Arial" w:eastAsia="Arial" w:hAnsi="Arial"/>
                <w:sz w:val="13"/>
                <w:szCs w:val="13"/>
                <w:b w:val="1"/>
                <w:bCs w:val="1"/>
                <w:color w:val="auto"/>
              </w:rPr>
              <w:t>65.5</w:t>
            </w:r>
          </w:p>
        </w:tc>
        <w:tc>
          <w:tcPr>
            <w:tcW w:w="80" w:type="dxa"/>
            <w:vAlign w:val="bottom"/>
          </w:tcPr>
          <w:p>
            <w:pPr>
              <w:spacing w:after="0"/>
              <w:rPr>
                <w:sz w:val="12"/>
                <w:szCs w:val="12"/>
                <w:color w:val="auto"/>
              </w:rPr>
            </w:pPr>
          </w:p>
        </w:tc>
        <w:tc>
          <w:tcPr>
            <w:tcW w:w="100" w:type="dxa"/>
            <w:vAlign w:val="bottom"/>
            <w:gridSpan w:val="2"/>
          </w:tcPr>
          <w:p>
            <w:pPr>
              <w:spacing w:after="0"/>
              <w:rPr>
                <w:sz w:val="12"/>
                <w:szCs w:val="12"/>
                <w:color w:val="auto"/>
              </w:rPr>
            </w:pPr>
          </w:p>
        </w:tc>
        <w:tc>
          <w:tcPr>
            <w:tcW w:w="60" w:type="dxa"/>
            <w:vAlign w:val="bottom"/>
            <w:tcBorders>
              <w:top w:val="single" w:sz="8" w:color="auto"/>
            </w:tcBorders>
          </w:tcPr>
          <w:p>
            <w:pPr>
              <w:jc w:val="right"/>
              <w:spacing w:after="0"/>
              <w:rPr>
                <w:sz w:val="20"/>
                <w:szCs w:val="20"/>
                <w:color w:val="auto"/>
              </w:rPr>
            </w:pPr>
            <w:r>
              <w:rPr>
                <w:rFonts w:ascii="Arial" w:cs="Arial" w:eastAsia="Arial" w:hAnsi="Arial"/>
                <w:sz w:val="9"/>
                <w:szCs w:val="9"/>
                <w:b w:val="1"/>
                <w:bCs w:val="1"/>
                <w:color w:val="auto"/>
                <w:w w:val="78"/>
              </w:rPr>
              <w:t>$</w:t>
            </w:r>
          </w:p>
        </w:tc>
        <w:tc>
          <w:tcPr>
            <w:tcW w:w="840" w:type="dxa"/>
            <w:vAlign w:val="bottom"/>
            <w:tcBorders>
              <w:top w:val="single" w:sz="8" w:color="auto"/>
            </w:tcBorders>
          </w:tcPr>
          <w:p>
            <w:pPr>
              <w:jc w:val="right"/>
              <w:spacing w:after="0" w:line="143" w:lineRule="exact"/>
              <w:rPr>
                <w:sz w:val="20"/>
                <w:szCs w:val="20"/>
                <w:color w:val="auto"/>
              </w:rPr>
            </w:pPr>
            <w:r>
              <w:rPr>
                <w:rFonts w:ascii="Arial" w:cs="Arial" w:eastAsia="Arial" w:hAnsi="Arial"/>
                <w:sz w:val="13"/>
                <w:szCs w:val="13"/>
                <w:b w:val="1"/>
                <w:bCs w:val="1"/>
                <w:color w:val="auto"/>
              </w:rPr>
              <w:t>9,685.8</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-4846955</wp:posOffset>
            </wp:positionV>
            <wp:extent cx="12700"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-4846955</wp:posOffset>
            </wp:positionV>
            <wp:extent cx="12700"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ectPr>
          <w:pgSz w:w="11900" w:h="16838" w:orient="portrait"/>
          <w:cols w:equalWidth="0" w:num="1">
            <w:col w:w="11460"/>
          </w:cols>
          <w:pgMar w:left="240" w:top="121" w:right="199" w:bottom="5"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p>
      <w:pPr>
        <w:jc w:val="center"/>
        <w:ind w:left="8200"/>
        <w:spacing w:after="0"/>
        <w:rPr>
          <w:sz w:val="20"/>
          <w:szCs w:val="20"/>
          <w:color w:val="auto"/>
        </w:rPr>
      </w:pPr>
      <w:r>
        <w:rPr>
          <w:rFonts w:ascii="Arial" w:cs="Arial" w:eastAsia="Arial" w:hAnsi="Arial"/>
          <w:sz w:val="14"/>
          <w:szCs w:val="14"/>
          <w:b w:val="1"/>
          <w:bCs w:val="1"/>
          <w:color w:val="auto"/>
        </w:rPr>
        <w:t>For the nine months ended</w:t>
      </w:r>
    </w:p>
    <w:p>
      <w:pPr>
        <w:jc w:val="center"/>
        <w:ind w:left="8200"/>
        <w:spacing w:after="0" w:line="236" w:lineRule="auto"/>
        <w:rPr>
          <w:sz w:val="20"/>
          <w:szCs w:val="20"/>
          <w:color w:val="auto"/>
        </w:rPr>
      </w:pPr>
      <w:r>
        <w:rPr>
          <w:rFonts w:ascii="Arial" w:cs="Arial" w:eastAsia="Arial" w:hAnsi="Arial"/>
          <w:sz w:val="14"/>
          <w:szCs w:val="14"/>
          <w:b w:val="1"/>
          <w:bCs w:val="1"/>
          <w:color w:val="auto"/>
        </w:rPr>
        <w:t>September 30,</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708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2015</w:t>
            </w:r>
          </w:p>
        </w:tc>
        <w:tc>
          <w:tcPr>
            <w:tcW w:w="280" w:type="dxa"/>
            <w:vAlign w:val="bottom"/>
            <w:tcBorders>
              <w:top w:val="single" w:sz="8" w:color="auto"/>
              <w:bottom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ind w:right="450"/>
              <w:spacing w:after="0" w:line="142" w:lineRule="exact"/>
              <w:rPr>
                <w:sz w:val="20"/>
                <w:szCs w:val="20"/>
                <w:color w:val="auto"/>
              </w:rPr>
            </w:pPr>
            <w:r>
              <w:rPr>
                <w:rFonts w:ascii="Arial" w:cs="Arial" w:eastAsia="Arial" w:hAnsi="Arial"/>
                <w:sz w:val="14"/>
                <w:szCs w:val="14"/>
                <w:b w:val="1"/>
                <w:bCs w:val="1"/>
                <w:color w:val="auto"/>
              </w:rPr>
              <w:t>2014</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708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720" w:type="dxa"/>
            <w:vAlign w:val="bottom"/>
            <w:gridSpan w:val="3"/>
          </w:tcPr>
          <w:p>
            <w:pPr>
              <w:jc w:val="right"/>
              <w:ind w:right="70"/>
              <w:spacing w:after="0" w:line="142" w:lineRule="exact"/>
              <w:rPr>
                <w:sz w:val="20"/>
                <w:szCs w:val="20"/>
                <w:color w:val="auto"/>
              </w:rPr>
            </w:pPr>
            <w:r>
              <w:rPr>
                <w:rFonts w:ascii="Arial" w:cs="Arial" w:eastAsia="Arial" w:hAnsi="Arial"/>
                <w:sz w:val="14"/>
                <w:szCs w:val="14"/>
                <w:b w:val="1"/>
                <w:bCs w:val="1"/>
                <w:color w:val="auto"/>
              </w:rPr>
              <w:t>(in millions)</w:t>
            </w:r>
          </w:p>
        </w:tc>
        <w:tc>
          <w:tcPr>
            <w:tcW w:w="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Net income</w:t>
            </w:r>
          </w:p>
        </w:tc>
        <w:tc>
          <w:tcPr>
            <w:tcW w:w="154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994.9</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896.1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Amortization of deferred acquisition costs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223.2</w:t>
            </w: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282.8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Additions to deferred acquisition costs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(289.4)</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(291.8)</w:t>
            </w: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rPr>
                <w:sz w:val="20"/>
                <w:szCs w:val="20"/>
                <w:color w:val="auto"/>
              </w:rPr>
            </w:pPr>
            <w:r>
              <w:rPr>
                <w:rFonts w:ascii="Arial" w:cs="Arial" w:eastAsia="Arial" w:hAnsi="Arial"/>
                <w:sz w:val="18"/>
                <w:szCs w:val="18"/>
                <w:color w:val="auto"/>
              </w:rPr>
              <w:t>Accrued investment income</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(60.9)</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cash flows for trading securities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(177.5)</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(47.8)</w:t>
            </w: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rPr>
                <w:sz w:val="20"/>
                <w:szCs w:val="20"/>
                <w:color w:val="auto"/>
              </w:rPr>
            </w:pPr>
            <w:r>
              <w:rPr>
                <w:rFonts w:ascii="Arial" w:cs="Arial" w:eastAsia="Arial" w:hAnsi="Arial"/>
                <w:sz w:val="18"/>
                <w:szCs w:val="18"/>
                <w:color w:val="auto"/>
              </w:rPr>
              <w:t>Premiums due and other receivables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(165.4)</w:t>
            </w: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85.0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Contractholder and policyholder liabilities and dividends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2,660.2</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1,211.4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rPr>
                <w:sz w:val="20"/>
                <w:szCs w:val="20"/>
                <w:color w:val="auto"/>
              </w:rPr>
            </w:pPr>
            <w:r>
              <w:rPr>
                <w:rFonts w:ascii="Arial" w:cs="Arial" w:eastAsia="Arial" w:hAnsi="Arial"/>
                <w:sz w:val="18"/>
                <w:szCs w:val="18"/>
                <w:color w:val="auto"/>
              </w:rPr>
              <w:t>Current and deferred income taxes (benefits)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(95.3)</w:t>
            </w: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204.3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realized capital (gains) losses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10.0</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(41.0)</w:t>
            </w: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rPr>
                <w:sz w:val="20"/>
                <w:szCs w:val="20"/>
                <w:color w:val="auto"/>
              </w:rPr>
            </w:pPr>
            <w:r>
              <w:rPr>
                <w:rFonts w:ascii="Arial" w:cs="Arial" w:eastAsia="Arial" w:hAnsi="Arial"/>
                <w:sz w:val="18"/>
                <w:szCs w:val="18"/>
                <w:color w:val="auto"/>
              </w:rPr>
              <w:t>Depreciation and amortization expense</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149.3</w:t>
            </w: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122.8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Mortgage loans held for sale, sold or repaid, net of gain</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rPr>
                <w:sz w:val="20"/>
                <w:szCs w:val="20"/>
                <w:color w:val="auto"/>
              </w:rPr>
            </w:pPr>
            <w:r>
              <w:rPr>
                <w:rFonts w:ascii="Arial" w:cs="Arial" w:eastAsia="Arial" w:hAnsi="Arial"/>
                <w:sz w:val="18"/>
                <w:szCs w:val="18"/>
                <w:color w:val="auto"/>
              </w:rPr>
              <w:t>Real estate acquired through operating activities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(32.4)</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(43.6)</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sold through operating activities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53.3</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146.1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rPr>
                <w:sz w:val="20"/>
                <w:szCs w:val="20"/>
                <w:color w:val="auto"/>
              </w:rPr>
            </w:pPr>
            <w:r>
              <w:rPr>
                <w:rFonts w:ascii="Arial" w:cs="Arial" w:eastAsia="Arial" w:hAnsi="Arial"/>
                <w:sz w:val="18"/>
                <w:szCs w:val="18"/>
                <w:color w:val="auto"/>
              </w:rPr>
              <w:t>Stock-based compensation</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66.7</w:t>
            </w: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58.4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(13.7)</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(380.5)</w:t>
            </w:r>
          </w:p>
        </w:tc>
        <w:tc>
          <w:tcPr>
            <w:tcW w:w="0" w:type="dxa"/>
            <w:vAlign w:val="bottom"/>
          </w:tcPr>
          <w:p>
            <w:pPr>
              <w:spacing w:after="0"/>
              <w:rPr>
                <w:sz w:val="1"/>
                <w:szCs w:val="1"/>
                <w:color w:val="auto"/>
              </w:rPr>
            </w:pPr>
          </w:p>
        </w:tc>
      </w:tr>
      <w:tr>
        <w:trPr>
          <w:trHeight w:val="210"/>
        </w:trPr>
        <w:tc>
          <w:tcPr>
            <w:tcW w:w="70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adjustments</w:t>
            </w:r>
          </w:p>
        </w:tc>
        <w:tc>
          <w:tcPr>
            <w:tcW w:w="1220" w:type="dxa"/>
            <w:vAlign w:val="bottom"/>
            <w:tcBorders>
              <w:bottom w:val="single" w:sz="8" w:color="CCEEFF"/>
            </w:tcBorders>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2,328.1</w:t>
            </w:r>
          </w:p>
        </w:tc>
        <w:tc>
          <w:tcPr>
            <w:tcW w:w="280" w:type="dxa"/>
            <w:vAlign w:val="bottom"/>
            <w:tcBorders>
              <w:bottom w:val="single" w:sz="8" w:color="CCEEFF"/>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1,301.5</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3,323.0</w:t>
            </w:r>
          </w:p>
        </w:tc>
        <w:tc>
          <w:tcPr>
            <w:tcW w:w="2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2,197.6</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b w:val="1"/>
                <w:bCs w:val="1"/>
                <w:color w:val="auto"/>
              </w:rPr>
              <w:t>Investing activities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rPr>
                <w:sz w:val="20"/>
                <w:szCs w:val="20"/>
                <w:color w:val="auto"/>
              </w:rPr>
            </w:pPr>
            <w:r>
              <w:rPr>
                <w:rFonts w:ascii="Arial" w:cs="Arial" w:eastAsia="Arial" w:hAnsi="Arial"/>
                <w:sz w:val="18"/>
                <w:szCs w:val="18"/>
                <w:color w:val="auto"/>
              </w:rPr>
              <w:t>Purchases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(7,052.6)</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(6,596.0)</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Sales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1,410.8</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1,871.5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rPr>
                <w:sz w:val="20"/>
                <w:szCs w:val="20"/>
                <w:color w:val="auto"/>
              </w:rPr>
            </w:pPr>
            <w:r>
              <w:rPr>
                <w:rFonts w:ascii="Arial" w:cs="Arial" w:eastAsia="Arial" w:hAnsi="Arial"/>
                <w:sz w:val="18"/>
                <w:szCs w:val="18"/>
                <w:color w:val="auto"/>
              </w:rPr>
              <w:t>Maturities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5,020.5</w:t>
            </w: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4,499.3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acquired or originated</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(1,658.0)</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(1,614.2)</w:t>
            </w: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Mortgage loans sold or repaid</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1,175.3</w:t>
            </w: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1,319.8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Real estate acquired</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(255.8)</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(246.8)</w:t>
            </w: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Net purchases of property and equipment</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(96.3)</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(117.5)</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Purchase of interests in subsidiaries, net of cash acquired</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(293.7)</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Net change in other investments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(17.0)</w:t>
            </w: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56.6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08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12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gridSpan w:val="2"/>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080" w:type="dxa"/>
            <w:vAlign w:val="bottom"/>
            <w:vMerge w:val="continue"/>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(1,766.8)</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(827.3)</w:t>
            </w: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Issuance of common stock</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71.5</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69.6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Acquisition of treasury stock</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(188.2)</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(222.5)</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Proceeds from financing element derivatives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0.2</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Payments for financing element derivatives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(60.9)</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(41.5)</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Excess tax benefits from share-based payment arrangements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15.2</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Purchase of subsidiary shares from noncontrolling interest</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(22.5)</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(222.4)</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Dividends to common stockholders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(330.2)</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(276.7)</w:t>
            </w: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Dividends to preferred stockholders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(16.5)</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(24.7)</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redemption</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(550.0)</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Issuance of long-term debt</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800.4</w:t>
            </w: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36.5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Principal repayments of long-term debt</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(52.6)</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(100.3)</w:t>
            </w: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Net proceeds from (repayments of) short-term borrowings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197.2</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(20.5)</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deposits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4,190.3</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4,184.3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Investment contract withdrawals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(4,974.3)</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(5,864.3)</w:t>
            </w: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Net increase (decrease) in banking operation deposits</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24.9</w:t>
            </w:r>
          </w:p>
        </w:tc>
        <w:tc>
          <w:tcPr>
            <w:tcW w:w="3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Other</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(10.4)</w:t>
            </w:r>
          </w:p>
        </w:tc>
        <w:tc>
          <w:tcPr>
            <w:tcW w:w="38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0"/>
        </w:trPr>
        <w:tc>
          <w:tcPr>
            <w:tcW w:w="70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cash used in financing activities</w:t>
            </w:r>
          </w:p>
        </w:tc>
        <w:tc>
          <w:tcPr>
            <w:tcW w:w="12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(905.9)</w:t>
            </w:r>
          </w:p>
        </w:tc>
        <w:tc>
          <w:tcPr>
            <w:tcW w:w="28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(2,471.3)</w:t>
            </w:r>
          </w:p>
        </w:tc>
        <w:tc>
          <w:tcPr>
            <w:tcW w:w="100" w:type="dxa"/>
            <w:vAlign w:val="bottom"/>
            <w:tcBorders>
              <w:top w:val="single" w:sz="8" w:color="CCEEFF"/>
            </w:tcBorders>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80" w:type="dxa"/>
            <w:vAlign w:val="bottom"/>
          </w:tcPr>
          <w:p>
            <w:pPr>
              <w:spacing w:after="0"/>
              <w:rPr>
                <w:sz w:val="20"/>
                <w:szCs w:val="20"/>
                <w:color w:val="auto"/>
              </w:rPr>
            </w:pPr>
            <w:r>
              <w:rPr>
                <w:rFonts w:ascii="Arial" w:cs="Arial" w:eastAsia="Arial" w:hAnsi="Arial"/>
                <w:sz w:val="18"/>
                <w:szCs w:val="18"/>
                <w:color w:val="auto"/>
              </w:rPr>
              <w:t>Net increase (decrease) in cash and cash equivalents</w:t>
            </w:r>
          </w:p>
        </w:tc>
        <w:tc>
          <w:tcPr>
            <w:tcW w:w="1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650.3</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(1,101.0)</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1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1,863.9</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2,371.8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8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220" w:type="dxa"/>
            <w:vAlign w:val="bottom"/>
          </w:tcPr>
          <w:p>
            <w:pPr>
              <w:spacing w:after="0"/>
              <w:rPr>
                <w:sz w:val="18"/>
                <w:szCs w:val="18"/>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2,514.2</w:t>
            </w:r>
          </w:p>
        </w:tc>
        <w:tc>
          <w:tcPr>
            <w:tcW w:w="280" w:type="dxa"/>
            <w:vAlign w:val="bottom"/>
          </w:tcPr>
          <w:p>
            <w:pPr>
              <w:spacing w:after="0"/>
              <w:rPr>
                <w:sz w:val="18"/>
                <w:szCs w:val="18"/>
                <w:color w:val="auto"/>
              </w:rPr>
            </w:pPr>
          </w:p>
        </w:tc>
        <w:tc>
          <w:tcPr>
            <w:tcW w:w="38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1,270.8</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ectPr>
          <w:pgSz w:w="11900" w:h="16838" w:orient="portrait"/>
          <w:cols w:equalWidth="0" w:num="1">
            <w:col w:w="11420"/>
          </w:cols>
          <w:pgMar w:left="240" w:top="121" w:right="239" w:bottom="0" w:gutter="0" w:footer="0" w:header="0"/>
        </w:sectPr>
      </w:pPr>
    </w:p>
    <w:bookmarkStart w:id="5" w:name="page6"/>
    <w:bookmarkEnd w:id="5"/>
    <w:p>
      <w:pPr>
        <w:spacing w:after="0" w:line="123" w:lineRule="exact"/>
        <w:rPr>
          <w:sz w:val="20"/>
          <w:szCs w:val="20"/>
          <w:color w:val="auto"/>
        </w:rPr>
      </w:pPr>
    </w:p>
    <w:p>
      <w:pPr>
        <w:ind w:right="60" w:firstLine="648"/>
        <w:spacing w:after="0" w:line="284" w:lineRule="auto"/>
        <w:rPr>
          <w:sz w:val="20"/>
          <w:szCs w:val="20"/>
          <w:color w:val="auto"/>
        </w:rPr>
      </w:pPr>
      <w:r>
        <w:rPr>
          <w:rFonts w:ascii="Arial" w:cs="Arial" w:eastAsia="Arial" w:hAnsi="Arial"/>
          <w:sz w:val="17"/>
          <w:szCs w:val="17"/>
          <w:color w:val="auto"/>
        </w:rPr>
        <w:t xml:space="preserve">The accompanying unaudited consolidated financial statements of Principal Financial Group, Inc. (“PFG”), its </w:t>
      </w:r>
      <w:r>
        <w:rPr>
          <w:rFonts w:ascii="Arial" w:cs="Arial" w:eastAsia="Arial" w:hAnsi="Arial"/>
          <w:sz w:val="16"/>
          <w:szCs w:val="16"/>
          <w:color w:val="auto"/>
        </w:rPr>
        <w:t>majority-owned subsidiaries and its</w:t>
      </w:r>
      <w:r>
        <w:rPr>
          <w:rFonts w:ascii="Arial" w:cs="Arial" w:eastAsia="Arial" w:hAnsi="Arial"/>
          <w:sz w:val="17"/>
          <w:szCs w:val="17"/>
          <w:color w:val="auto"/>
        </w:rPr>
        <w:t xml:space="preserve"> </w:t>
      </w:r>
      <w:r>
        <w:rPr>
          <w:rFonts w:ascii="Arial" w:cs="Arial" w:eastAsia="Arial" w:hAnsi="Arial"/>
          <w:sz w:val="16"/>
          <w:szCs w:val="16"/>
          <w:color w:val="auto"/>
        </w:rPr>
        <w:t>consolidated variable interest entities (“VIEs”), have been prepared in conformity with accounting principles generally accepted in the U.S. (“U.S. GAAP”) for interim financial statements and with the instructions to Form 10-Q and Article 10 of Regulation S-X. In the opinion of management, all adjustments (consisting of normal recurring accruals) considered necessary for a fair presentation have been included. Operating results for the three and nine months ended September 30, 2015, are not necessarily indicative of the results that may be expected for the year ended December 31, 2015. These interim unaudited consolidated financial statements should be read in conjunction with our annual audited financial statements as of December 31, 2014, included in our Form 10-K for the year ended December 31, 2014, filed with the United States Securities and Exchange Commission (“SEC”). The accompanying consolidated statement of financial position as of December 31, 2014, has been derived from the audited consolidated statement of financial position but does not include all of the information and footnotes required by U.S. GAAP for complete financial statements.</w:t>
      </w:r>
    </w:p>
    <w:p>
      <w:pPr>
        <w:spacing w:after="0" w:line="174"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In February 2015, we announced planned changes to our organizational structure to better align businesses, distribution teams and product offerings for future growth. We plan to implement these changes during 2015 and will report our consolidated financial statements under the new structure in our December 31, 2015, Form 10-K. The changes are not expected to have a material impact on our consolidated financial statements.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8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2"/>
              </w:rPr>
              <w:t>Date of</w:t>
            </w:r>
          </w:p>
        </w:tc>
        <w:tc>
          <w:tcPr>
            <w:tcW w:w="3420" w:type="dxa"/>
            <w:vAlign w:val="bottom"/>
          </w:tcPr>
          <w:p>
            <w:pPr>
              <w:jc w:val="center"/>
              <w:spacing w:after="0"/>
              <w:rPr>
                <w:sz w:val="20"/>
                <w:szCs w:val="20"/>
                <w:color w:val="auto"/>
              </w:rPr>
            </w:pPr>
            <w:r>
              <w:rPr>
                <w:rFonts w:ascii="Arial" w:cs="Arial" w:eastAsia="Arial" w:hAnsi="Arial"/>
                <w:sz w:val="14"/>
                <w:szCs w:val="14"/>
                <w:b w:val="1"/>
                <w:bCs w:val="1"/>
                <w:color w:val="auto"/>
                <w:w w:val="91"/>
              </w:rPr>
              <w:t>Effect on our 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61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Description</w:t>
            </w:r>
          </w:p>
        </w:tc>
        <w:tc>
          <w:tcPr>
            <w:tcW w:w="1820" w:type="dxa"/>
            <w:vAlign w:val="bottom"/>
            <w:gridSpan w:val="2"/>
            <w:vMerge w:val="continue"/>
          </w:tcPr>
          <w:p>
            <w:pPr>
              <w:spacing w:after="0"/>
              <w:rPr>
                <w:sz w:val="12"/>
                <w:szCs w:val="12"/>
                <w:color w:val="auto"/>
              </w:rPr>
            </w:pPr>
          </w:p>
        </w:tc>
        <w:tc>
          <w:tcPr>
            <w:tcW w:w="3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financial statements or</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6180" w:type="dxa"/>
            <w:vAlign w:val="bottom"/>
            <w:gridSpan w:val="3"/>
            <w:vMerge w:val="continue"/>
          </w:tcPr>
          <w:p>
            <w:pPr>
              <w:spacing w:after="0"/>
              <w:rPr>
                <w:sz w:val="14"/>
                <w:szCs w:val="14"/>
                <w:color w:val="auto"/>
              </w:rPr>
            </w:pPr>
          </w:p>
        </w:tc>
        <w:tc>
          <w:tcPr>
            <w:tcW w:w="18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adoption</w:t>
            </w:r>
          </w:p>
        </w:tc>
        <w:tc>
          <w:tcPr>
            <w:tcW w:w="3420" w:type="dxa"/>
            <w:vAlign w:val="bottom"/>
          </w:tcPr>
          <w:p>
            <w:pPr>
              <w:jc w:val="center"/>
              <w:spacing w:after="0"/>
              <w:rPr>
                <w:sz w:val="20"/>
                <w:szCs w:val="20"/>
                <w:color w:val="auto"/>
              </w:rPr>
            </w:pPr>
            <w:r>
              <w:rPr>
                <w:rFonts w:ascii="Arial" w:cs="Arial" w:eastAsia="Arial" w:hAnsi="Arial"/>
                <w:sz w:val="14"/>
                <w:szCs w:val="14"/>
                <w:b w:val="1"/>
                <w:bCs w:val="1"/>
                <w:color w:val="auto"/>
                <w:w w:val="91"/>
              </w:rPr>
              <w:t>other significant matters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96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b w:val="1"/>
                <w:bCs w:val="1"/>
                <w:i w:val="1"/>
                <w:iCs w:val="1"/>
                <w:color w:val="auto"/>
              </w:rPr>
              <w:t>Standards not yet adopted:</w:t>
            </w:r>
          </w:p>
        </w:tc>
        <w:tc>
          <w:tcPr>
            <w:tcW w:w="220" w:type="dxa"/>
            <w:vAlign w:val="bottom"/>
            <w:tcBorders>
              <w:top w:val="single" w:sz="8" w:color="CCEEFF"/>
            </w:tcBorders>
            <w:shd w:val="clear" w:color="auto" w:fill="CCEEFF"/>
          </w:tcPr>
          <w:p>
            <w:pPr>
              <w:spacing w:after="0"/>
              <w:rPr>
                <w:sz w:val="18"/>
                <w:szCs w:val="18"/>
                <w:color w:val="auto"/>
              </w:rPr>
            </w:pPr>
          </w:p>
        </w:tc>
        <w:tc>
          <w:tcPr>
            <w:tcW w:w="160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3420" w:type="dxa"/>
            <w:vAlign w:val="bottom"/>
            <w:tcBorders>
              <w:top w:val="single" w:sz="8" w:color="auto"/>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180" w:type="dxa"/>
            <w:vAlign w:val="bottom"/>
            <w:gridSpan w:val="3"/>
          </w:tcPr>
          <w:p>
            <w:pPr>
              <w:spacing w:after="0" w:line="201" w:lineRule="exact"/>
              <w:rPr>
                <w:sz w:val="20"/>
                <w:szCs w:val="20"/>
                <w:color w:val="auto"/>
              </w:rPr>
            </w:pPr>
            <w:r>
              <w:rPr>
                <w:rFonts w:ascii="Arial" w:cs="Arial" w:eastAsia="Arial" w:hAnsi="Arial"/>
                <w:sz w:val="18"/>
                <w:szCs w:val="18"/>
                <w:b w:val="1"/>
                <w:bCs w:val="1"/>
                <w:color w:val="auto"/>
              </w:rPr>
              <w:t>Revenue recognition</w:t>
            </w:r>
          </w:p>
        </w:tc>
        <w:tc>
          <w:tcPr>
            <w:tcW w:w="1820" w:type="dxa"/>
            <w:vAlign w:val="bottom"/>
            <w:gridSpan w:val="2"/>
          </w:tcPr>
          <w:p>
            <w:pPr>
              <w:spacing w:after="0" w:line="201" w:lineRule="exact"/>
              <w:rPr>
                <w:sz w:val="20"/>
                <w:szCs w:val="20"/>
                <w:color w:val="auto"/>
              </w:rPr>
            </w:pPr>
            <w:r>
              <w:rPr>
                <w:rFonts w:ascii="Arial" w:cs="Arial" w:eastAsia="Arial" w:hAnsi="Arial"/>
                <w:sz w:val="18"/>
                <w:szCs w:val="18"/>
                <w:color w:val="auto"/>
              </w:rPr>
              <w:t>January 1, 2018</w:t>
            </w:r>
          </w:p>
        </w:tc>
        <w:tc>
          <w:tcPr>
            <w:tcW w:w="3420" w:type="dxa"/>
            <w:vAlign w:val="bottom"/>
          </w:tcPr>
          <w:p>
            <w:pPr>
              <w:spacing w:after="0" w:line="201" w:lineRule="exact"/>
              <w:rPr>
                <w:sz w:val="20"/>
                <w:szCs w:val="20"/>
                <w:color w:val="auto"/>
              </w:rPr>
            </w:pPr>
            <w:r>
              <w:rPr>
                <w:rFonts w:ascii="Arial" w:cs="Arial" w:eastAsia="Arial" w:hAnsi="Arial"/>
                <w:sz w:val="18"/>
                <w:szCs w:val="18"/>
                <w:color w:val="auto"/>
                <w:w w:val="99"/>
              </w:rPr>
              <w:t>We are currently evaluating the impact this</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80" w:type="dxa"/>
            <w:vAlign w:val="bottom"/>
            <w:gridSpan w:val="3"/>
          </w:tcPr>
          <w:p>
            <w:pPr>
              <w:spacing w:after="0"/>
              <w:rPr>
                <w:sz w:val="20"/>
                <w:szCs w:val="20"/>
                <w:color w:val="auto"/>
              </w:rPr>
            </w:pPr>
            <w:r>
              <w:rPr>
                <w:rFonts w:ascii="Arial" w:cs="Arial" w:eastAsia="Arial" w:hAnsi="Arial"/>
                <w:sz w:val="18"/>
                <w:szCs w:val="18"/>
                <w:color w:val="auto"/>
              </w:rPr>
              <w:t>This authoritative guidance replaces all general and most industry specific</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guidance will have on our consolidated</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tcPr>
          <w:p>
            <w:pPr>
              <w:spacing w:after="0"/>
              <w:rPr>
                <w:sz w:val="20"/>
                <w:szCs w:val="20"/>
                <w:color w:val="auto"/>
              </w:rPr>
            </w:pPr>
            <w:r>
              <w:rPr>
                <w:rFonts w:ascii="Arial" w:cs="Arial" w:eastAsia="Arial" w:hAnsi="Arial"/>
                <w:sz w:val="18"/>
                <w:szCs w:val="18"/>
                <w:color w:val="auto"/>
              </w:rPr>
              <w:t>revenue recognition guidance currently prescribed by U.S. GAAP. The core</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financial statements.</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tcPr>
          <w:p>
            <w:pPr>
              <w:spacing w:after="0"/>
              <w:rPr>
                <w:sz w:val="20"/>
                <w:szCs w:val="20"/>
                <w:color w:val="auto"/>
              </w:rPr>
            </w:pPr>
            <w:r>
              <w:rPr>
                <w:rFonts w:ascii="Arial" w:cs="Arial" w:eastAsia="Arial" w:hAnsi="Arial"/>
                <w:sz w:val="18"/>
                <w:szCs w:val="18"/>
                <w:color w:val="auto"/>
                <w:w w:val="96"/>
              </w:rPr>
              <w:t>principle is that an entity recognizes revenue to reflect the transfer of a promised</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tcPr>
          <w:p>
            <w:pPr>
              <w:spacing w:after="0"/>
              <w:rPr>
                <w:sz w:val="20"/>
                <w:szCs w:val="20"/>
                <w:color w:val="auto"/>
              </w:rPr>
            </w:pPr>
            <w:r>
              <w:rPr>
                <w:rFonts w:ascii="Arial" w:cs="Arial" w:eastAsia="Arial" w:hAnsi="Arial"/>
                <w:sz w:val="18"/>
                <w:szCs w:val="18"/>
                <w:color w:val="auto"/>
                <w:w w:val="94"/>
              </w:rPr>
              <w:t>good or service to customers in an amount that reflects the consideration to which</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80" w:type="dxa"/>
            <w:vAlign w:val="bottom"/>
            <w:gridSpan w:val="3"/>
          </w:tcPr>
          <w:p>
            <w:pPr>
              <w:spacing w:after="0"/>
              <w:rPr>
                <w:sz w:val="20"/>
                <w:szCs w:val="20"/>
                <w:color w:val="auto"/>
              </w:rPr>
            </w:pPr>
            <w:r>
              <w:rPr>
                <w:rFonts w:ascii="Arial" w:cs="Arial" w:eastAsia="Arial" w:hAnsi="Arial"/>
                <w:sz w:val="18"/>
                <w:szCs w:val="18"/>
                <w:color w:val="auto"/>
              </w:rPr>
              <w:t>the entity expects to be entitled in exchange for that good or service.</w:t>
            </w:r>
          </w:p>
        </w:tc>
        <w:tc>
          <w:tcPr>
            <w:tcW w:w="1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18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b w:val="1"/>
                <w:bCs w:val="1"/>
                <w:color w:val="auto"/>
              </w:rPr>
              <w:t>Short-duration insurance contracts</w:t>
            </w:r>
          </w:p>
        </w:tc>
        <w:tc>
          <w:tcPr>
            <w:tcW w:w="182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December 31, 2016</w:t>
            </w:r>
          </w:p>
        </w:tc>
        <w:tc>
          <w:tcPr>
            <w:tcW w:w="34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9"/>
              </w:rPr>
              <w:t>We are currently evaluating the impact this</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This authoritative guidance requires additional disclosures related to short-</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guidance will have on our consolidated</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duration insurance contracts.</w:t>
            </w:r>
          </w:p>
        </w:tc>
        <w:tc>
          <w:tcPr>
            <w:tcW w:w="16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financial statements.</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180" w:type="dxa"/>
            <w:vAlign w:val="bottom"/>
            <w:gridSpan w:val="3"/>
          </w:tcPr>
          <w:p>
            <w:pPr>
              <w:spacing w:after="0" w:line="201" w:lineRule="exact"/>
              <w:rPr>
                <w:sz w:val="20"/>
                <w:szCs w:val="20"/>
                <w:color w:val="auto"/>
              </w:rPr>
            </w:pPr>
            <w:r>
              <w:rPr>
                <w:rFonts w:ascii="Arial" w:cs="Arial" w:eastAsia="Arial" w:hAnsi="Arial"/>
                <w:sz w:val="18"/>
                <w:szCs w:val="18"/>
                <w:b w:val="1"/>
                <w:bCs w:val="1"/>
                <w:color w:val="auto"/>
              </w:rPr>
              <w:t>Net asset value per share as a practical expedient for fair value</w:t>
            </w:r>
          </w:p>
        </w:tc>
        <w:tc>
          <w:tcPr>
            <w:tcW w:w="1820" w:type="dxa"/>
            <w:vAlign w:val="bottom"/>
            <w:gridSpan w:val="2"/>
          </w:tcPr>
          <w:p>
            <w:pPr>
              <w:spacing w:after="0" w:line="201" w:lineRule="exact"/>
              <w:rPr>
                <w:sz w:val="20"/>
                <w:szCs w:val="20"/>
                <w:color w:val="auto"/>
              </w:rPr>
            </w:pPr>
            <w:r>
              <w:rPr>
                <w:rFonts w:ascii="Arial" w:cs="Arial" w:eastAsia="Arial" w:hAnsi="Arial"/>
                <w:sz w:val="18"/>
                <w:szCs w:val="18"/>
                <w:color w:val="auto"/>
              </w:rPr>
              <w:t>January 1, 2016</w:t>
            </w:r>
          </w:p>
        </w:tc>
        <w:tc>
          <w:tcPr>
            <w:tcW w:w="3420" w:type="dxa"/>
            <w:vAlign w:val="bottom"/>
          </w:tcPr>
          <w:p>
            <w:pPr>
              <w:spacing w:after="0" w:line="201" w:lineRule="exact"/>
              <w:rPr>
                <w:sz w:val="20"/>
                <w:szCs w:val="20"/>
                <w:color w:val="auto"/>
              </w:rPr>
            </w:pPr>
            <w:r>
              <w:rPr>
                <w:rFonts w:ascii="Arial" w:cs="Arial" w:eastAsia="Arial" w:hAnsi="Arial"/>
                <w:sz w:val="18"/>
                <w:szCs w:val="18"/>
                <w:color w:val="auto"/>
              </w:rPr>
              <w:t>The guidance is not expected to have a</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80" w:type="dxa"/>
            <w:vAlign w:val="bottom"/>
            <w:gridSpan w:val="3"/>
          </w:tcPr>
          <w:p>
            <w:pPr>
              <w:spacing w:after="0"/>
              <w:rPr>
                <w:sz w:val="20"/>
                <w:szCs w:val="20"/>
                <w:color w:val="auto"/>
              </w:rPr>
            </w:pPr>
            <w:r>
              <w:rPr>
                <w:rFonts w:ascii="Arial" w:cs="Arial" w:eastAsia="Arial" w:hAnsi="Arial"/>
                <w:sz w:val="18"/>
                <w:szCs w:val="18"/>
                <w:color w:val="auto"/>
                <w:w w:val="96"/>
              </w:rPr>
              <w:t>This authoritative guidance removes the requirement to categorize within the fair</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w w:val="95"/>
              </w:rPr>
              <w:t>material impact on our consolidated financial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tcPr>
          <w:p>
            <w:pPr>
              <w:spacing w:after="0"/>
              <w:rPr>
                <w:sz w:val="20"/>
                <w:szCs w:val="20"/>
                <w:color w:val="auto"/>
              </w:rPr>
            </w:pPr>
            <w:r>
              <w:rPr>
                <w:rFonts w:ascii="Arial" w:cs="Arial" w:eastAsia="Arial" w:hAnsi="Arial"/>
                <w:sz w:val="18"/>
                <w:szCs w:val="18"/>
                <w:color w:val="auto"/>
              </w:rPr>
              <w:t>value hierarchy all investments for which fair value is measured using the net</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statements.</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80" w:type="dxa"/>
            <w:vAlign w:val="bottom"/>
            <w:gridSpan w:val="3"/>
          </w:tcPr>
          <w:p>
            <w:pPr>
              <w:spacing w:after="0"/>
              <w:rPr>
                <w:sz w:val="20"/>
                <w:szCs w:val="20"/>
                <w:color w:val="auto"/>
              </w:rPr>
            </w:pPr>
            <w:r>
              <w:rPr>
                <w:rFonts w:ascii="Arial" w:cs="Arial" w:eastAsia="Arial" w:hAnsi="Arial"/>
                <w:sz w:val="18"/>
                <w:szCs w:val="18"/>
                <w:color w:val="auto"/>
              </w:rPr>
              <w:t>asset value per share practical expedient.</w:t>
            </w:r>
          </w:p>
        </w:tc>
        <w:tc>
          <w:tcPr>
            <w:tcW w:w="1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18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b w:val="1"/>
                <w:bCs w:val="1"/>
                <w:color w:val="auto"/>
              </w:rPr>
              <w:t>Simplifying the presentation of debt issuance costs</w:t>
            </w:r>
          </w:p>
        </w:tc>
        <w:tc>
          <w:tcPr>
            <w:tcW w:w="182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January 1, 2016</w:t>
            </w:r>
          </w:p>
        </w:tc>
        <w:tc>
          <w:tcPr>
            <w:tcW w:w="34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The guidance is not expected to have a</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6"/>
              </w:rPr>
              <w:t>This authoritative guidance requires debt issuance costs related to a recognized</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w w:val="95"/>
              </w:rPr>
              <w:t>material impact on our consolidated financial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7"/>
              </w:rPr>
              <w:t>debt liability to be presented in the balance sheet as a direct deduction from the</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statements.</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carrying amount of that debt liability, consistent with debt discounts.</w:t>
            </w:r>
          </w:p>
        </w:tc>
        <w:tc>
          <w:tcPr>
            <w:tcW w:w="16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420" w:type="dxa"/>
            <w:vAlign w:val="bottom"/>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960" w:type="dxa"/>
            <w:vAlign w:val="bottom"/>
            <w:gridSpan w:val="2"/>
          </w:tcPr>
          <w:p>
            <w:pPr>
              <w:jc w:val="center"/>
              <w:ind w:left="5371"/>
              <w:spacing w:after="0"/>
              <w:rPr>
                <w:sz w:val="20"/>
                <w:szCs w:val="20"/>
                <w:color w:val="auto"/>
              </w:rPr>
            </w:pPr>
            <w:r>
              <w:rPr>
                <w:rFonts w:ascii="Arial" w:cs="Arial" w:eastAsia="Arial" w:hAnsi="Arial"/>
                <w:sz w:val="18"/>
                <w:szCs w:val="18"/>
                <w:color w:val="auto"/>
                <w:w w:val="99"/>
              </w:rPr>
              <w:t>8</w:t>
            </w:r>
          </w:p>
        </w:tc>
        <w:tc>
          <w:tcPr>
            <w:tcW w:w="2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4900" w:type="dxa"/>
            <w:vAlign w:val="bottom"/>
            <w:tcBorders>
              <w:bottom w:val="single" w:sz="8" w:color="808080"/>
            </w:tcBorders>
            <w:gridSpan w:val="2"/>
          </w:tcPr>
          <w:p>
            <w:pPr>
              <w:spacing w:after="0"/>
              <w:rPr>
                <w:sz w:val="11"/>
                <w:szCs w:val="11"/>
                <w:color w:val="auto"/>
              </w:rPr>
            </w:pPr>
          </w:p>
        </w:tc>
        <w:tc>
          <w:tcPr>
            <w:tcW w:w="16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34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618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1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1280" w:type="dxa"/>
            <w:vAlign w:val="bottom"/>
            <w:tcBorders>
              <w:top w:val="single" w:sz="8" w:color="0000EE"/>
            </w:tcBorders>
          </w:tcPr>
          <w:p>
            <w:pPr>
              <w:spacing w:after="0"/>
              <w:rPr>
                <w:sz w:val="24"/>
                <w:szCs w:val="24"/>
                <w:color w:val="auto"/>
              </w:rPr>
            </w:pPr>
          </w:p>
        </w:tc>
        <w:tc>
          <w:tcPr>
            <w:tcW w:w="6720" w:type="dxa"/>
            <w:vAlign w:val="bottom"/>
            <w:gridSpan w:val="4"/>
          </w:tcPr>
          <w:p>
            <w:pPr>
              <w:jc w:val="center"/>
              <w:ind w:left="2050"/>
              <w:spacing w:after="0"/>
              <w:rPr>
                <w:sz w:val="20"/>
                <w:szCs w:val="20"/>
                <w:color w:val="auto"/>
              </w:rPr>
            </w:pPr>
            <w:r>
              <w:rPr>
                <w:rFonts w:ascii="Arial" w:cs="Arial" w:eastAsia="Arial" w:hAnsi="Arial"/>
                <w:sz w:val="18"/>
                <w:szCs w:val="18"/>
                <w:b w:val="1"/>
                <w:bCs w:val="1"/>
                <w:color w:val="auto"/>
                <w:w w:val="93"/>
              </w:rPr>
              <w:t>Principal Financial Group, Inc.</w:t>
            </w:r>
          </w:p>
        </w:tc>
        <w:tc>
          <w:tcPr>
            <w:tcW w:w="3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6720" w:type="dxa"/>
            <w:vAlign w:val="bottom"/>
            <w:gridSpan w:val="4"/>
          </w:tcPr>
          <w:p>
            <w:pPr>
              <w:jc w:val="center"/>
              <w:ind w:left="205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3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6720" w:type="dxa"/>
            <w:vAlign w:val="bottom"/>
            <w:gridSpan w:val="4"/>
          </w:tcPr>
          <w:p>
            <w:pPr>
              <w:jc w:val="center"/>
              <w:ind w:left="2050"/>
              <w:spacing w:after="0"/>
              <w:rPr>
                <w:sz w:val="20"/>
                <w:szCs w:val="20"/>
                <w:color w:val="auto"/>
              </w:rPr>
            </w:pPr>
            <w:r>
              <w:rPr>
                <w:rFonts w:ascii="Arial" w:cs="Arial" w:eastAsia="Arial" w:hAnsi="Arial"/>
                <w:sz w:val="18"/>
                <w:szCs w:val="18"/>
                <w:b w:val="1"/>
                <w:bCs w:val="1"/>
                <w:color w:val="auto"/>
                <w:w w:val="89"/>
              </w:rPr>
              <w:t>September 30, 2015</w:t>
            </w:r>
          </w:p>
        </w:tc>
        <w:tc>
          <w:tcPr>
            <w:tcW w:w="3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280" w:type="dxa"/>
            <w:vAlign w:val="bottom"/>
          </w:tcPr>
          <w:p>
            <w:pPr>
              <w:spacing w:after="0"/>
              <w:rPr>
                <w:sz w:val="20"/>
                <w:szCs w:val="20"/>
                <w:color w:val="auto"/>
              </w:rPr>
            </w:pPr>
          </w:p>
        </w:tc>
        <w:tc>
          <w:tcPr>
            <w:tcW w:w="4900" w:type="dxa"/>
            <w:vAlign w:val="bottom"/>
            <w:gridSpan w:val="2"/>
          </w:tcPr>
          <w:p>
            <w:pPr>
              <w:jc w:val="center"/>
              <w:ind w:left="3870"/>
              <w:spacing w:after="0"/>
              <w:rPr>
                <w:sz w:val="20"/>
                <w:szCs w:val="20"/>
                <w:color w:val="auto"/>
              </w:rPr>
            </w:pPr>
            <w:r>
              <w:rPr>
                <w:rFonts w:ascii="Arial" w:cs="Arial" w:eastAsia="Arial" w:hAnsi="Arial"/>
                <w:sz w:val="18"/>
                <w:szCs w:val="18"/>
                <w:b w:val="1"/>
                <w:bCs w:val="1"/>
                <w:color w:val="auto"/>
                <w:w w:val="93"/>
              </w:rPr>
              <w:t>(Unaudited)</w:t>
            </w:r>
          </w:p>
        </w:tc>
        <w:tc>
          <w:tcPr>
            <w:tcW w:w="1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128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2"/>
              </w:rPr>
              <w:t>Date of</w:t>
            </w:r>
          </w:p>
        </w:tc>
        <w:tc>
          <w:tcPr>
            <w:tcW w:w="3420" w:type="dxa"/>
            <w:vAlign w:val="bottom"/>
          </w:tcPr>
          <w:p>
            <w:pPr>
              <w:jc w:val="center"/>
              <w:spacing w:after="0"/>
              <w:rPr>
                <w:sz w:val="20"/>
                <w:szCs w:val="20"/>
                <w:color w:val="auto"/>
              </w:rPr>
            </w:pPr>
            <w:r>
              <w:rPr>
                <w:rFonts w:ascii="Arial" w:cs="Arial" w:eastAsia="Arial" w:hAnsi="Arial"/>
                <w:sz w:val="14"/>
                <w:szCs w:val="14"/>
                <w:b w:val="1"/>
                <w:bCs w:val="1"/>
                <w:color w:val="auto"/>
                <w:w w:val="91"/>
              </w:rPr>
              <w:t>Effect on our consolidated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61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Description</w:t>
            </w:r>
          </w:p>
        </w:tc>
        <w:tc>
          <w:tcPr>
            <w:tcW w:w="1820" w:type="dxa"/>
            <w:vAlign w:val="bottom"/>
            <w:gridSpan w:val="2"/>
            <w:vMerge w:val="continue"/>
          </w:tcPr>
          <w:p>
            <w:pPr>
              <w:spacing w:after="0"/>
              <w:rPr>
                <w:sz w:val="12"/>
                <w:szCs w:val="12"/>
                <w:color w:val="auto"/>
              </w:rPr>
            </w:pPr>
          </w:p>
        </w:tc>
        <w:tc>
          <w:tcPr>
            <w:tcW w:w="3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financial statements or</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6180" w:type="dxa"/>
            <w:vAlign w:val="bottom"/>
            <w:gridSpan w:val="3"/>
            <w:vMerge w:val="continue"/>
          </w:tcPr>
          <w:p>
            <w:pPr>
              <w:spacing w:after="0"/>
              <w:rPr>
                <w:sz w:val="14"/>
                <w:szCs w:val="14"/>
                <w:color w:val="auto"/>
              </w:rPr>
            </w:pPr>
          </w:p>
        </w:tc>
        <w:tc>
          <w:tcPr>
            <w:tcW w:w="18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adoption</w:t>
            </w:r>
          </w:p>
        </w:tc>
        <w:tc>
          <w:tcPr>
            <w:tcW w:w="3420" w:type="dxa"/>
            <w:vAlign w:val="bottom"/>
          </w:tcPr>
          <w:p>
            <w:pPr>
              <w:jc w:val="center"/>
              <w:spacing w:after="0"/>
              <w:rPr>
                <w:sz w:val="20"/>
                <w:szCs w:val="20"/>
                <w:color w:val="auto"/>
              </w:rPr>
            </w:pPr>
            <w:r>
              <w:rPr>
                <w:rFonts w:ascii="Arial" w:cs="Arial" w:eastAsia="Arial" w:hAnsi="Arial"/>
                <w:sz w:val="14"/>
                <w:szCs w:val="14"/>
                <w:b w:val="1"/>
                <w:bCs w:val="1"/>
                <w:color w:val="auto"/>
                <w:w w:val="91"/>
              </w:rPr>
              <w:t>other significant matters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5960" w:type="dxa"/>
            <w:vAlign w:val="bottom"/>
            <w:tcBorders>
              <w:top w:val="single" w:sz="8" w:color="auto"/>
            </w:tcBorders>
            <w:gridSpan w:val="2"/>
            <w:shd w:val="clear" w:color="auto" w:fill="CCEEFF"/>
          </w:tcPr>
          <w:p>
            <w:pPr>
              <w:spacing w:after="0" w:line="195" w:lineRule="exact"/>
              <w:rPr>
                <w:sz w:val="20"/>
                <w:szCs w:val="20"/>
                <w:color w:val="auto"/>
              </w:rPr>
            </w:pPr>
            <w:r>
              <w:rPr>
                <w:rFonts w:ascii="Arial" w:cs="Arial" w:eastAsia="Arial" w:hAnsi="Arial"/>
                <w:sz w:val="18"/>
                <w:szCs w:val="18"/>
                <w:b w:val="1"/>
                <w:bCs w:val="1"/>
                <w:color w:val="auto"/>
              </w:rPr>
              <w:t>Consolidations</w:t>
            </w:r>
          </w:p>
        </w:tc>
        <w:tc>
          <w:tcPr>
            <w:tcW w:w="220" w:type="dxa"/>
            <w:vAlign w:val="bottom"/>
            <w:tcBorders>
              <w:top w:val="single" w:sz="8" w:color="CCEEFF"/>
            </w:tcBorders>
            <w:shd w:val="clear" w:color="auto" w:fill="CCEEFF"/>
          </w:tcPr>
          <w:p>
            <w:pPr>
              <w:spacing w:after="0"/>
              <w:rPr>
                <w:sz w:val="16"/>
                <w:szCs w:val="16"/>
                <w:color w:val="auto"/>
              </w:rPr>
            </w:pPr>
          </w:p>
        </w:tc>
        <w:tc>
          <w:tcPr>
            <w:tcW w:w="160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rPr>
              <w:t>January 1, 2016</w:t>
            </w:r>
          </w:p>
        </w:tc>
        <w:tc>
          <w:tcPr>
            <w:tcW w:w="220" w:type="dxa"/>
            <w:vAlign w:val="bottom"/>
            <w:tcBorders>
              <w:top w:val="single" w:sz="8" w:color="CCEEFF"/>
            </w:tcBorders>
            <w:shd w:val="clear" w:color="auto" w:fill="CCEEFF"/>
          </w:tcPr>
          <w:p>
            <w:pPr>
              <w:spacing w:after="0"/>
              <w:rPr>
                <w:sz w:val="16"/>
                <w:szCs w:val="16"/>
                <w:color w:val="auto"/>
              </w:rPr>
            </w:pPr>
          </w:p>
        </w:tc>
        <w:tc>
          <w:tcPr>
            <w:tcW w:w="342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w w:val="99"/>
              </w:rPr>
              <w:t>We are currently evaluating the impact this</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3"/>
              </w:rPr>
              <w:t>This authoritative guidance makes changes to both the variable interest and voting</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guidance will have on our consolidated</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5"/>
              </w:rPr>
              <w:t>interest consolidation models and eliminates the investment company deferral for</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financial statements.</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7"/>
              </w:rPr>
              <w:t>portions of the variable interest model. The amendments in the standard impact</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the consolidation analysis for interests in investment companies and limited</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partnerships and similar entities.</w:t>
            </w:r>
          </w:p>
        </w:tc>
        <w:tc>
          <w:tcPr>
            <w:tcW w:w="16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420" w:type="dxa"/>
            <w:vAlign w:val="bottom"/>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180" w:type="dxa"/>
            <w:vAlign w:val="bottom"/>
            <w:gridSpan w:val="3"/>
          </w:tcPr>
          <w:p>
            <w:pPr>
              <w:spacing w:after="0"/>
              <w:rPr>
                <w:sz w:val="20"/>
                <w:szCs w:val="20"/>
                <w:color w:val="auto"/>
              </w:rPr>
            </w:pPr>
            <w:r>
              <w:rPr>
                <w:rFonts w:ascii="Arial" w:cs="Arial" w:eastAsia="Arial" w:hAnsi="Arial"/>
                <w:sz w:val="18"/>
                <w:szCs w:val="18"/>
                <w:b w:val="1"/>
                <w:bCs w:val="1"/>
                <w:i w:val="1"/>
                <w:iCs w:val="1"/>
                <w:color w:val="auto"/>
              </w:rPr>
              <w:t>Standards adopted:</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18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b w:val="1"/>
                <w:bCs w:val="1"/>
                <w:color w:val="auto"/>
              </w:rPr>
              <w:t>Discontinued operations</w:t>
            </w:r>
          </w:p>
        </w:tc>
        <w:tc>
          <w:tcPr>
            <w:tcW w:w="182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January 1, 2015</w:t>
            </w:r>
          </w:p>
        </w:tc>
        <w:tc>
          <w:tcPr>
            <w:tcW w:w="34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This guidance was adopted prospectively and</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6"/>
              </w:rPr>
              <w:t>This authoritative guidance amends the definition of discontinued operations and</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did not have a material impact on our</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8"/>
              </w:rPr>
              <w:t>requires entities to provide additional disclosures associated with discontinued</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consolidated financial statements.</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9"/>
              </w:rPr>
              <w:t>operations, as well as disposal transactions that do not meet the discontinued</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7"/>
              </w:rPr>
              <w:t>operations criteria. The guidance requires discontinued operations treatment for</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7"/>
              </w:rPr>
              <w:t>disposals of a component or group of components of an entity that represents a</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strategic shift that has or will have a major impact on an entity’s operations or</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financial results. The guidance also expands the scope to disposals of equity</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6"/>
              </w:rPr>
              <w:t>method investments and businesses that, upon initial acquisition, qualify as held</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for sale.</w:t>
            </w:r>
          </w:p>
        </w:tc>
        <w:tc>
          <w:tcPr>
            <w:tcW w:w="16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420" w:type="dxa"/>
            <w:vAlign w:val="bottom"/>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180" w:type="dxa"/>
            <w:vAlign w:val="bottom"/>
            <w:gridSpan w:val="3"/>
          </w:tcPr>
          <w:p>
            <w:pPr>
              <w:spacing w:after="0" w:line="201" w:lineRule="exact"/>
              <w:rPr>
                <w:sz w:val="20"/>
                <w:szCs w:val="20"/>
                <w:color w:val="auto"/>
              </w:rPr>
            </w:pPr>
            <w:r>
              <w:rPr>
                <w:rFonts w:ascii="Arial" w:cs="Arial" w:eastAsia="Arial" w:hAnsi="Arial"/>
                <w:sz w:val="18"/>
                <w:szCs w:val="18"/>
                <w:b w:val="1"/>
                <w:bCs w:val="1"/>
                <w:color w:val="auto"/>
              </w:rPr>
              <w:t>Foreign currency cumulative translation adjustment</w:t>
            </w:r>
          </w:p>
        </w:tc>
        <w:tc>
          <w:tcPr>
            <w:tcW w:w="1820" w:type="dxa"/>
            <w:vAlign w:val="bottom"/>
            <w:gridSpan w:val="2"/>
          </w:tcPr>
          <w:p>
            <w:pPr>
              <w:spacing w:after="0" w:line="201" w:lineRule="exact"/>
              <w:rPr>
                <w:sz w:val="20"/>
                <w:szCs w:val="20"/>
                <w:color w:val="auto"/>
              </w:rPr>
            </w:pPr>
            <w:r>
              <w:rPr>
                <w:rFonts w:ascii="Arial" w:cs="Arial" w:eastAsia="Arial" w:hAnsi="Arial"/>
                <w:sz w:val="18"/>
                <w:szCs w:val="18"/>
                <w:color w:val="auto"/>
              </w:rPr>
              <w:t>January 1, 2014</w:t>
            </w:r>
          </w:p>
        </w:tc>
        <w:tc>
          <w:tcPr>
            <w:tcW w:w="3420" w:type="dxa"/>
            <w:vAlign w:val="bottom"/>
          </w:tcPr>
          <w:p>
            <w:pPr>
              <w:spacing w:after="0" w:line="201" w:lineRule="exact"/>
              <w:rPr>
                <w:sz w:val="20"/>
                <w:szCs w:val="20"/>
                <w:color w:val="auto"/>
              </w:rPr>
            </w:pPr>
            <w:r>
              <w:rPr>
                <w:rFonts w:ascii="Arial" w:cs="Arial" w:eastAsia="Arial" w:hAnsi="Arial"/>
                <w:sz w:val="18"/>
                <w:szCs w:val="18"/>
                <w:color w:val="auto"/>
                <w:w w:val="94"/>
              </w:rPr>
              <w:t>The guidance was adopted prospectively and</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80" w:type="dxa"/>
            <w:vAlign w:val="bottom"/>
            <w:gridSpan w:val="3"/>
          </w:tcPr>
          <w:p>
            <w:pPr>
              <w:spacing w:after="0"/>
              <w:rPr>
                <w:sz w:val="20"/>
                <w:szCs w:val="20"/>
                <w:color w:val="auto"/>
              </w:rPr>
            </w:pPr>
            <w:r>
              <w:rPr>
                <w:rFonts w:ascii="Arial" w:cs="Arial" w:eastAsia="Arial" w:hAnsi="Arial"/>
                <w:sz w:val="18"/>
                <w:szCs w:val="18"/>
                <w:color w:val="auto"/>
                <w:w w:val="99"/>
              </w:rPr>
              <w:t>This authoritative guidance clarifies how the cumulative translation adjustment</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did not have a material impact on our</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3"/>
          </w:tcPr>
          <w:p>
            <w:pPr>
              <w:spacing w:after="0"/>
              <w:rPr>
                <w:sz w:val="20"/>
                <w:szCs w:val="20"/>
                <w:color w:val="auto"/>
              </w:rPr>
            </w:pPr>
            <w:r>
              <w:rPr>
                <w:rFonts w:ascii="Arial" w:cs="Arial" w:eastAsia="Arial" w:hAnsi="Arial"/>
                <w:sz w:val="18"/>
                <w:szCs w:val="18"/>
                <w:color w:val="auto"/>
                <w:w w:val="93"/>
              </w:rPr>
              <w:t>related to a parent’s investment in a foreign entity should be released when certain</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consolidated financial statements.</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80" w:type="dxa"/>
            <w:vAlign w:val="bottom"/>
            <w:gridSpan w:val="3"/>
          </w:tcPr>
          <w:p>
            <w:pPr>
              <w:spacing w:after="0"/>
              <w:rPr>
                <w:sz w:val="20"/>
                <w:szCs w:val="20"/>
                <w:color w:val="auto"/>
              </w:rPr>
            </w:pPr>
            <w:r>
              <w:rPr>
                <w:rFonts w:ascii="Arial" w:cs="Arial" w:eastAsia="Arial" w:hAnsi="Arial"/>
                <w:sz w:val="18"/>
                <w:szCs w:val="18"/>
                <w:color w:val="auto"/>
              </w:rPr>
              <w:t>transactions related to the foreign entity occur.</w:t>
            </w:r>
          </w:p>
        </w:tc>
        <w:tc>
          <w:tcPr>
            <w:tcW w:w="1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-4383405</wp:posOffset>
            </wp:positionV>
            <wp:extent cx="12700"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-4383405</wp:posOffset>
            </wp:positionV>
            <wp:extent cx="12700"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Separate Accounts</w:t>
      </w:r>
    </w:p>
    <w:p>
      <w:pPr>
        <w:spacing w:after="0" w:line="229" w:lineRule="exact"/>
        <w:rPr>
          <w:sz w:val="20"/>
          <w:szCs w:val="20"/>
          <w:color w:val="auto"/>
        </w:rPr>
      </w:pPr>
    </w:p>
    <w:p>
      <w:pPr>
        <w:ind w:right="260" w:firstLine="675"/>
        <w:spacing w:after="0" w:line="342" w:lineRule="auto"/>
        <w:rPr>
          <w:sz w:val="20"/>
          <w:szCs w:val="20"/>
          <w:color w:val="auto"/>
        </w:rPr>
      </w:pPr>
      <w:r>
        <w:rPr>
          <w:rFonts w:ascii="Arial" w:cs="Arial" w:eastAsia="Arial" w:hAnsi="Arial"/>
          <w:sz w:val="16"/>
          <w:szCs w:val="16"/>
          <w:color w:val="auto"/>
        </w:rPr>
        <w:t>The separate accounts are legally segregated and are not subject to the claims that arise out of any of our other business. The client, rather than us, directs the investments and bears the investment risk of these funds. The separate account assets represent the fair value of funds that are separately</w:t>
      </w:r>
    </w:p>
    <w:p>
      <w:pPr>
        <w:sectPr>
          <w:pgSz w:w="11900" w:h="16962" w:orient="portrait"/>
          <w:cols w:equalWidth="0" w:num="1">
            <w:col w:w="11460"/>
          </w:cols>
          <w:pgMar w:left="240" w:top="341" w:right="199" w:bottom="0" w:gutter="0" w:footer="0" w:header="0"/>
        </w:sectPr>
      </w:pPr>
    </w:p>
    <w:bookmarkStart w:id="6" w:name="page7"/>
    <w:bookmarkEnd w:id="6"/>
    <w:p>
      <w:pPr>
        <w:spacing w:after="0" w:line="257" w:lineRule="auto"/>
        <w:rPr>
          <w:sz w:val="20"/>
          <w:szCs w:val="20"/>
          <w:color w:val="auto"/>
        </w:rPr>
      </w:pPr>
      <w:r>
        <w:rPr>
          <w:rFonts w:ascii="Arial" w:cs="Arial" w:eastAsia="Arial" w:hAnsi="Arial"/>
          <w:sz w:val="18"/>
          <w:szCs w:val="18"/>
          <w:color w:val="auto"/>
        </w:rPr>
        <w:t>administered by us for contracts with equity, real estate and fixed income investments and are presented as a summary total within the consolidated statements of financial position. An equivalent amount is reported as separate account liabilities, which represent the obligation to return the monies to the client. We receive fees for mortality, withdrawal and expense risks, as well as administrative, maintenance and investment advisory services that are included in the consolidated statements of operations. Net deposits, net investment income and realized and unrealized capital gains and losses of the separate accounts are not reflected in the consolidated statements of operations.</w:t>
      </w:r>
    </w:p>
    <w:p>
      <w:pPr>
        <w:spacing w:after="0" w:line="188" w:lineRule="exact"/>
        <w:rPr>
          <w:sz w:val="20"/>
          <w:szCs w:val="20"/>
          <w:color w:val="auto"/>
        </w:rPr>
      </w:pPr>
    </w:p>
    <w:p>
      <w:pPr>
        <w:ind w:right="220" w:firstLine="716"/>
        <w:spacing w:after="0" w:line="264" w:lineRule="auto"/>
        <w:rPr>
          <w:sz w:val="20"/>
          <w:szCs w:val="20"/>
          <w:color w:val="auto"/>
        </w:rPr>
      </w:pPr>
      <w:r>
        <w:rPr>
          <w:rFonts w:ascii="Arial" w:cs="Arial" w:eastAsia="Arial" w:hAnsi="Arial"/>
          <w:sz w:val="18"/>
          <w:szCs w:val="18"/>
          <w:color w:val="auto"/>
        </w:rPr>
        <w:t>Separate account assets and separate account liabilities include certain international retirement accumulation products where the segregated funds and associated obligation to the client are consolidated within our financial statements. We have determined that summary totals are the most meaningful presentation for these funds.</w:t>
      </w:r>
    </w:p>
    <w:p>
      <w:pPr>
        <w:spacing w:after="0" w:line="181" w:lineRule="exact"/>
        <w:rPr>
          <w:sz w:val="20"/>
          <w:szCs w:val="20"/>
          <w:color w:val="auto"/>
        </w:rPr>
      </w:pPr>
    </w:p>
    <w:p>
      <w:pPr>
        <w:ind w:right="100" w:firstLine="648"/>
        <w:spacing w:after="0" w:line="286" w:lineRule="auto"/>
        <w:rPr>
          <w:sz w:val="20"/>
          <w:szCs w:val="20"/>
          <w:color w:val="auto"/>
        </w:rPr>
      </w:pPr>
      <w:r>
        <w:rPr>
          <w:rFonts w:ascii="Arial" w:cs="Arial" w:eastAsia="Arial" w:hAnsi="Arial"/>
          <w:sz w:val="17"/>
          <w:szCs w:val="17"/>
          <w:color w:val="auto"/>
        </w:rPr>
        <w:t xml:space="preserve">At September 30, 2015 and December 31, 2014, the separate account assets include a separate account valued at </w:t>
      </w:r>
      <w:r>
        <w:rPr>
          <w:rFonts w:ascii="Arial" w:cs="Arial" w:eastAsia="Arial" w:hAnsi="Arial"/>
          <w:sz w:val="16"/>
          <w:szCs w:val="16"/>
          <w:color w:val="auto"/>
        </w:rPr>
        <w:t>$173.3 million and $205.4 million,</w:t>
      </w:r>
      <w:r>
        <w:rPr>
          <w:rFonts w:ascii="Arial" w:cs="Arial" w:eastAsia="Arial" w:hAnsi="Arial"/>
          <w:sz w:val="17"/>
          <w:szCs w:val="17"/>
          <w:color w:val="auto"/>
        </w:rPr>
        <w:t xml:space="preserve"> </w:t>
      </w:r>
      <w:r>
        <w:rPr>
          <w:rFonts w:ascii="Arial" w:cs="Arial" w:eastAsia="Arial" w:hAnsi="Arial"/>
          <w:sz w:val="16"/>
          <w:szCs w:val="16"/>
          <w:color w:val="auto"/>
        </w:rPr>
        <w:t>respectively, which primarily includes shares of our stock that were allocated and issued to eligible participants of qualified employee benefit plans administered by us as part of the policy credits issued under our 2001 demutualization. These shares are included in both basic and diluted earnings per share calculations. In the consolidated statements of financial position, the separate account shares are recorded at fair value and are reported as separate account assets with a corresponding separate account liability to eligible participants of the qualified plan. Changes in fair value of the separate account shares are reflected in both the separate account assets and separate account liabilities and do not impact our results of operations.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and Other Intangibles</w:t>
      </w:r>
    </w:p>
    <w:p>
      <w:pPr>
        <w:spacing w:after="0" w:line="229"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On September 1, 2015, we completed our purchase of AXA’s Mandatory Provident Fund (“MPF”) and Occupational Retirement Schemes Ordinance (“ORSO”) pension business in Hong Kong for $335.5 million. As part of the transaction, we entered into an exclusive 15-year distribution agreement with AXA to provide co-branded pension products through AXA’s agency network in Hong Kong. AXA’s MPF and ORSO pension business is consolidated within our Principal International segment. The purchase price resulted in intangible assets and goodwill.</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Variable Interest Entities</w:t>
      </w:r>
    </w:p>
    <w:p>
      <w:pPr>
        <w:spacing w:after="0" w:line="229"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We have relationships with and may have a variable interest in various types of special purpose entities. Following is a discussion of our interest in entities that meet the definition of a VIE. When we are the primary beneficiary, we are required to consolidate the entity in our financial statements. The primary beneficiary of a VIE is defined as the enterprise with (1) the power to direct the activities of a VIE that most significantly impact the entity’s economic performance and (2) the obligation to absorb losses of the entity or the right to receive benefits from the entity that could potentially be significant to the VIE. For VIEs that are investment companies, the primary beneficiary is the enterprise who absorbs the majority of the entity’s expected losses, receives a majority of the expected residual returns or both. On an ongoing basis, we assess whether we are the primary beneficiary of VIEs in which we have a relationship.</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Variable Interest Entities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Grantor Trusts</w:t>
      </w:r>
    </w:p>
    <w:p>
      <w:pPr>
        <w:spacing w:after="0" w:line="225" w:lineRule="exact"/>
        <w:rPr>
          <w:sz w:val="20"/>
          <w:szCs w:val="20"/>
          <w:color w:val="auto"/>
        </w:rPr>
      </w:pPr>
    </w:p>
    <w:p>
      <w:pPr>
        <w:ind w:right="180" w:firstLine="648"/>
        <w:spacing w:after="0" w:line="255" w:lineRule="auto"/>
        <w:rPr>
          <w:sz w:val="20"/>
          <w:szCs w:val="20"/>
          <w:color w:val="auto"/>
        </w:rPr>
      </w:pPr>
      <w:r>
        <w:rPr>
          <w:rFonts w:ascii="Arial" w:cs="Arial" w:eastAsia="Arial" w:hAnsi="Arial"/>
          <w:sz w:val="18"/>
          <w:szCs w:val="18"/>
          <w:color w:val="auto"/>
        </w:rPr>
        <w:t>We contributed undated subordinated floating rate notes to three grantor trusts. The trusts separated the cash flows by issuing an interest-only certificate and a residual certificate related to each note contributed. Each interest-only certificate entitles the holder to interest on the stated note for a specified term, while the residual certificate entitles the holder to interest payments subsequent to the term of the interest-only certificate and to all principal payments. We retained the interest-only certificates and the residual certificates were subsequently sold to third parties. We have determined these grantor trusts are VIEs due to insufficient equity to sustain them. We determined we are the primary beneficiary as a result of our contribution of securities into the trusts and our continuing interest in the trusts.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Collateralized Private Investment Vehicles</w:t>
      </w:r>
    </w:p>
    <w:p>
      <w:pPr>
        <w:spacing w:after="0" w:line="225" w:lineRule="exact"/>
        <w:rPr>
          <w:sz w:val="20"/>
          <w:szCs w:val="20"/>
          <w:color w:val="auto"/>
        </w:rPr>
      </w:pPr>
    </w:p>
    <w:p>
      <w:pPr>
        <w:ind w:right="20" w:firstLine="648"/>
        <w:spacing w:after="0" w:line="293" w:lineRule="auto"/>
        <w:rPr>
          <w:sz w:val="20"/>
          <w:szCs w:val="20"/>
          <w:color w:val="auto"/>
        </w:rPr>
      </w:pPr>
      <w:r>
        <w:rPr>
          <w:rFonts w:ascii="Arial" w:cs="Arial" w:eastAsia="Arial" w:hAnsi="Arial"/>
          <w:sz w:val="16"/>
          <w:szCs w:val="16"/>
          <w:color w:val="auto"/>
        </w:rPr>
        <w:t>We invest in synthetic collateralized debt obligations, collateralized bond obligations, collateralized loan obligations and other collateralized structures, which are VIEs due to insufficient equity to sustain the entities (collectively known as “collateralized private investment vehicles”). The performance of the notes of these structures is primarily linked to a synthetic portfolio by derivatives; each note has a specific loss attachment and detachment point. The notes and related derivatives are collateralized by a pool of permitted investments. The investments are held by a trustee and can only be liquidated to settle obligations of the trusts. These obligations primarily include derivatives and the notes due at maturity or termination of the trusts. We determined we are the primary beneficiary for one of these entities because we act as the investment manager of the underlying portfolio and we have an ownership interest.</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Commercial Mortgage-Backed Securities</w:t>
      </w:r>
    </w:p>
    <w:p>
      <w:pPr>
        <w:spacing w:after="0" w:line="225" w:lineRule="exact"/>
        <w:rPr>
          <w:sz w:val="20"/>
          <w:szCs w:val="20"/>
          <w:color w:val="auto"/>
        </w:rPr>
      </w:pPr>
    </w:p>
    <w:p>
      <w:pPr>
        <w:ind w:right="240" w:firstLine="648"/>
        <w:spacing w:after="0" w:line="279" w:lineRule="auto"/>
        <w:rPr>
          <w:sz w:val="20"/>
          <w:szCs w:val="20"/>
          <w:color w:val="auto"/>
        </w:rPr>
      </w:pPr>
      <w:r>
        <w:rPr>
          <w:rFonts w:ascii="Arial" w:cs="Arial" w:eastAsia="Arial" w:hAnsi="Arial"/>
          <w:sz w:val="17"/>
          <w:szCs w:val="17"/>
          <w:color w:val="auto"/>
        </w:rPr>
        <w:t>We sold commercial mortgage loans to a real estate mortgage investment conduit trust. The trust issued various commercial mortgage-backed securities (“CMBS”) certificates using the cash flows of the underlying commercial mortgages it purchased. This is considered a VIE due to insufficient equity to sustain itself. We have determined we are the primary beneficiary as we retained the special servicing role for the assets within the trust as well as the ownership of the bond class that controls the unilateral kick out rights of the special servicer.</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ectPr>
          <w:pgSz w:w="11900" w:h="16838" w:orient="portrait"/>
          <w:cols w:equalWidth="0" w:num="1">
            <w:col w:w="11420"/>
          </w:cols>
          <w:pgMar w:left="240" w:top="125" w:right="239" w:bottom="0" w:gutter="0" w:footer="0" w:header="0"/>
        </w:sectPr>
      </w:pPr>
    </w:p>
    <w:bookmarkStart w:id="7" w:name="page8"/>
    <w:bookmarkEnd w:id="7"/>
    <w:p>
      <w:pPr>
        <w:spacing w:after="0" w:line="62"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Mandatory Retirement Savings</w:t>
      </w:r>
    </w:p>
    <w:p>
      <w:pPr>
        <w:spacing w:after="0" w:line="225" w:lineRule="exact"/>
        <w:rPr>
          <w:sz w:val="20"/>
          <w:szCs w:val="20"/>
          <w:color w:val="auto"/>
        </w:rPr>
      </w:pPr>
    </w:p>
    <w:p>
      <w:pPr>
        <w:ind w:right="100" w:firstLine="648"/>
        <w:spacing w:after="0" w:line="290" w:lineRule="auto"/>
        <w:rPr>
          <w:sz w:val="20"/>
          <w:szCs w:val="20"/>
          <w:color w:val="auto"/>
        </w:rPr>
      </w:pPr>
      <w:r>
        <w:rPr>
          <w:rFonts w:ascii="Arial" w:cs="Arial" w:eastAsia="Arial" w:hAnsi="Arial"/>
          <w:sz w:val="16"/>
          <w:szCs w:val="16"/>
          <w:color w:val="auto"/>
        </w:rPr>
        <w:t>We hold an equity interest in Chilean mandatory privatized social security funds in which we provide asset management services. We determined that the mandatory privatized social security funds, which also include contributions for voluntary pension savings, voluntary non-pension savings and compensation savings accounts, are VIEs. This is because the equity holders as a group lack the power, due to voting rights or similar rights, to direct the activities of the entity that most significantly impact the entity’s economic performance and also because equity investors are protected from below-average market investment returns relative to the industry’s return, due to a regulatory guarantee that we provide. Further we concluded that we are the primary beneficiary through our power to make decisions and our variable interest in the funds. The purpose of the funds, which reside in legally segregated entities, is to provide long-term retirement savings. The obligation to the client is directly related to the assets held in the funds and, as such, we present the assets as separate account assets and the obligation as separate account liabilities within our consolidated statements of financial position.</w:t>
      </w:r>
    </w:p>
    <w:p>
      <w:pPr>
        <w:spacing w:after="0" w:line="166"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Principal International Hong Kong offers retirement pension schemes in which we provide trustee, administration and asset management services to employers and employees under the Hong Kong MPF and ORSO pension schemes. Each pension scheme has various guaranteed and non-guaranteed constituent funds, or investment options, in which customers can invest their money. The guaranteed funds provide either a guaranteed rate of return to the customer or a minimum guarantee on withdrawals under certain qualifying events. We have determined the guaranteed funds are VIEs due to the fact the equity holders, as a group, lack the obligation to absorb expected losses due to the guarantee we provide. We concluded that we are the primary beneficiary because we have the obligation to absorb losses that could be potentially significant to the VIE. Therefore, we consolidate the underlying assets and liabilities of the funds and present as separate accounts or within the general account, depending on the terms of the guarantee.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Real Estate</w:t>
      </w:r>
    </w:p>
    <w:p>
      <w:pPr>
        <w:spacing w:after="0" w:line="225" w:lineRule="exact"/>
        <w:rPr>
          <w:sz w:val="20"/>
          <w:szCs w:val="20"/>
          <w:color w:val="auto"/>
        </w:rPr>
      </w:pPr>
    </w:p>
    <w:p>
      <w:pPr>
        <w:ind w:right="100" w:firstLine="648"/>
        <w:spacing w:after="0" w:line="302" w:lineRule="auto"/>
        <w:rPr>
          <w:sz w:val="20"/>
          <w:szCs w:val="20"/>
          <w:color w:val="auto"/>
        </w:rPr>
      </w:pPr>
      <w:r>
        <w:rPr>
          <w:rFonts w:ascii="Arial" w:cs="Arial" w:eastAsia="Arial" w:hAnsi="Arial"/>
          <w:sz w:val="16"/>
          <w:szCs w:val="16"/>
          <w:color w:val="auto"/>
        </w:rPr>
        <w:t>We invest in several real estate limited partnerships and limited liability companies. The entities invest in real estate properties. Certain of these entities are VIEs based on the combination of our significant economic interest and related voting rights. We determined we are the primary beneficiary as a result of our power to control the entities through our significant ownership. Due to the nature of these real estate investments, the investment balance will fluctuate as we purchase and sell interests in the entities and as capital expenditures are made to improve the underlying real estate.</w:t>
      </w:r>
    </w:p>
    <w:p>
      <w:pPr>
        <w:spacing w:after="0" w:line="15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820" w:firstLine="648"/>
        <w:spacing w:after="0" w:line="277" w:lineRule="auto"/>
        <w:rPr>
          <w:sz w:val="20"/>
          <w:szCs w:val="20"/>
          <w:color w:val="auto"/>
        </w:rPr>
      </w:pPr>
      <w:r>
        <w:rPr>
          <w:rFonts w:ascii="Arial" w:cs="Arial" w:eastAsia="Arial" w:hAnsi="Arial"/>
          <w:sz w:val="18"/>
          <w:szCs w:val="18"/>
          <w:color w:val="auto"/>
        </w:rPr>
        <w:t>The carrying amounts of our consolidated VIE assets, which can only be used to settle obligations of consolidated VIEs, and liabilities of consolidated VIEs for which creditors do not have recourse are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Collateralized</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8"/>
              </w:rPr>
              <w:t>Mandatory</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rPr>
              <w:t>Grantor</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private</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investment</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CMBS</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retirement</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4"/>
              </w:rPr>
              <w:t>Real estate</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60" w:type="dxa"/>
            <w:vAlign w:val="bottom"/>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3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trusts</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vehicles</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4"/>
              </w:rPr>
              <w:t>savings</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44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320" w:type="dxa"/>
            <w:vAlign w:val="bottom"/>
            <w:tcBorders>
              <w:top w:val="single" w:sz="8" w:color="auto"/>
            </w:tcBorders>
            <w:gridSpan w:val="6"/>
          </w:tcPr>
          <w:p>
            <w:pPr>
              <w:ind w:left="580"/>
              <w:spacing w:after="0" w:line="142" w:lineRule="exact"/>
              <w:rPr>
                <w:sz w:val="20"/>
                <w:szCs w:val="20"/>
                <w:color w:val="auto"/>
              </w:rPr>
            </w:pPr>
            <w:r>
              <w:rPr>
                <w:rFonts w:ascii="Arial" w:cs="Arial" w:eastAsia="Arial" w:hAnsi="Arial"/>
                <w:sz w:val="14"/>
                <w:szCs w:val="14"/>
                <w:b w:val="1"/>
                <w:bCs w:val="1"/>
                <w:color w:val="auto"/>
              </w:rPr>
              <w:t>(in millions)</w:t>
            </w:r>
          </w:p>
        </w:tc>
        <w:tc>
          <w:tcPr>
            <w:tcW w:w="10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September 30, 2015</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261.1</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340" w:type="dxa"/>
            <w:vAlign w:val="bottom"/>
            <w:gridSpan w:val="2"/>
          </w:tcPr>
          <w:p>
            <w:pPr>
              <w:jc w:val="right"/>
              <w:ind w:right="65"/>
              <w:spacing w:after="0"/>
              <w:rPr>
                <w:sz w:val="20"/>
                <w:szCs w:val="20"/>
                <w:color w:val="auto"/>
              </w:rPr>
            </w:pPr>
            <w:r>
              <w:rPr>
                <w:rFonts w:ascii="Arial" w:cs="Arial" w:eastAsia="Arial" w:hAnsi="Arial"/>
                <w:sz w:val="18"/>
                <w:szCs w:val="18"/>
                <w:b w:val="1"/>
                <w:bCs w:val="1"/>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320" w:type="dxa"/>
            <w:vAlign w:val="bottom"/>
            <w:gridSpan w:val="2"/>
          </w:tcPr>
          <w:p>
            <w:pPr>
              <w:jc w:val="right"/>
              <w:ind w:right="85"/>
              <w:spacing w:after="0"/>
              <w:rPr>
                <w:sz w:val="20"/>
                <w:szCs w:val="20"/>
                <w:color w:val="auto"/>
              </w:rPr>
            </w:pPr>
            <w:r>
              <w:rPr>
                <w:rFonts w:ascii="Arial" w:cs="Arial" w:eastAsia="Arial" w:hAnsi="Arial"/>
                <w:sz w:val="18"/>
                <w:szCs w:val="18"/>
                <w:b w:val="1"/>
                <w:bCs w:val="1"/>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261.1</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100.4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100.4</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315.8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315.8</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321.2</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321.2</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Real estate</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298.9</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298.9</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25.1</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11.7</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36.8</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Cash</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7.8</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7.8</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Accrued investment income</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0.4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1.9</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2.5</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Premiums due and other receivables</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2.0</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assets</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32,827.6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32,827.6</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Other assets</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(0.9)</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(0.9)</w:t>
            </w:r>
          </w:p>
        </w:tc>
        <w:tc>
          <w:tcPr>
            <w:tcW w:w="0" w:type="dxa"/>
            <w:vAlign w:val="bottom"/>
          </w:tcPr>
          <w:p>
            <w:pPr>
              <w:spacing w:after="0"/>
              <w:rPr>
                <w:sz w:val="1"/>
                <w:szCs w:val="1"/>
                <w:color w:val="auto"/>
              </w:rPr>
            </w:pPr>
          </w:p>
        </w:tc>
      </w:tr>
      <w:tr>
        <w:trPr>
          <w:trHeight w:val="210"/>
        </w:trPr>
        <w:tc>
          <w:tcPr>
            <w:tcW w:w="344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assets</w:t>
            </w: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261.5</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100.4</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33,464.6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321.4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34,173.2</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40" w:type="dxa"/>
            <w:vAlign w:val="bottom"/>
            <w:vMerge w:val="restart"/>
          </w:tcPr>
          <w:p>
            <w:pPr>
              <w:spacing w:after="0"/>
              <w:rPr>
                <w:sz w:val="20"/>
                <w:szCs w:val="20"/>
                <w:color w:val="auto"/>
              </w:rPr>
            </w:pPr>
            <w:r>
              <w:rPr>
                <w:rFonts w:ascii="Arial" w:cs="Arial" w:eastAsia="Arial" w:hAnsi="Arial"/>
                <w:sz w:val="18"/>
                <w:szCs w:val="18"/>
                <w:color w:val="auto"/>
              </w:rPr>
              <w:t>Contractholder funds</w:t>
            </w: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440" w:type="dxa"/>
            <w:vAlign w:val="bottom"/>
            <w:vMerge w:val="continue"/>
          </w:tcPr>
          <w:p>
            <w:pPr>
              <w:spacing w:after="0"/>
              <w:rPr>
                <w:sz w:val="17"/>
                <w:szCs w:val="17"/>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92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20" w:type="dxa"/>
            <w:vAlign w:val="bottom"/>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120" w:type="dxa"/>
            <w:vAlign w:val="bottom"/>
          </w:tcPr>
          <w:p>
            <w:pPr>
              <w:jc w:val="right"/>
              <w:spacing w:after="0" w:line="196" w:lineRule="exact"/>
              <w:rPr>
                <w:sz w:val="20"/>
                <w:szCs w:val="20"/>
                <w:color w:val="auto"/>
              </w:rPr>
            </w:pPr>
            <w:r>
              <w:rPr>
                <w:rFonts w:ascii="Arial" w:cs="Arial" w:eastAsia="Arial" w:hAnsi="Arial"/>
                <w:sz w:val="18"/>
                <w:szCs w:val="18"/>
                <w:b w:val="1"/>
                <w:bCs w:val="1"/>
                <w:color w:val="auto"/>
                <w:w w:val="79"/>
              </w:rPr>
              <w:t>$</w:t>
            </w:r>
          </w:p>
        </w:tc>
        <w:tc>
          <w:tcPr>
            <w:tcW w:w="100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2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220" w:type="dxa"/>
            <w:vAlign w:val="bottom"/>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96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329.2</w:t>
            </w:r>
          </w:p>
        </w:tc>
        <w:tc>
          <w:tcPr>
            <w:tcW w:w="100" w:type="dxa"/>
            <w:vAlign w:val="bottom"/>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160" w:type="dxa"/>
            <w:vAlign w:val="bottom"/>
          </w:tcPr>
          <w:p>
            <w:pPr>
              <w:jc w:val="right"/>
              <w:spacing w:after="0" w:line="196" w:lineRule="exact"/>
              <w:rPr>
                <w:sz w:val="20"/>
                <w:szCs w:val="20"/>
                <w:color w:val="auto"/>
              </w:rPr>
            </w:pPr>
            <w:r>
              <w:rPr>
                <w:rFonts w:ascii="Arial" w:cs="Arial" w:eastAsia="Arial" w:hAnsi="Arial"/>
                <w:sz w:val="18"/>
                <w:szCs w:val="18"/>
                <w:b w:val="1"/>
                <w:bCs w:val="1"/>
                <w:color w:val="auto"/>
                <w:w w:val="79"/>
              </w:rPr>
              <w:t>$</w:t>
            </w:r>
          </w:p>
        </w:tc>
        <w:tc>
          <w:tcPr>
            <w:tcW w:w="94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40" w:type="dxa"/>
            <w:vAlign w:val="bottom"/>
            <w:vMerge w:val="continue"/>
          </w:tcPr>
          <w:p>
            <w:pPr>
              <w:spacing w:after="0"/>
              <w:rPr>
                <w:sz w:val="17"/>
                <w:szCs w:val="17"/>
                <w:color w:val="auto"/>
              </w:rPr>
            </w:pPr>
          </w:p>
        </w:tc>
        <w:tc>
          <w:tcPr>
            <w:tcW w:w="80" w:type="dxa"/>
            <w:vAlign w:val="bottom"/>
            <w:vMerge w:val="continue"/>
          </w:tcPr>
          <w:p>
            <w:pPr>
              <w:spacing w:after="0"/>
              <w:rPr>
                <w:sz w:val="17"/>
                <w:szCs w:val="17"/>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6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329.2</w:t>
            </w:r>
          </w:p>
        </w:tc>
        <w:tc>
          <w:tcPr>
            <w:tcW w:w="1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38.2</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38.2</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Income taxes currently payable</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(0.1)</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(0.1)</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(1.0)</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0.6</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Separate account liabilities</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32,827.6</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32,827.6</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 (1)</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236.7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87.2</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16.8</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340.7</w:t>
            </w:r>
          </w:p>
        </w:tc>
        <w:tc>
          <w:tcPr>
            <w:tcW w:w="0" w:type="dxa"/>
            <w:vAlign w:val="bottom"/>
          </w:tcPr>
          <w:p>
            <w:pPr>
              <w:spacing w:after="0"/>
              <w:rPr>
                <w:sz w:val="1"/>
                <w:szCs w:val="1"/>
                <w:color w:val="auto"/>
              </w:rPr>
            </w:pPr>
          </w:p>
        </w:tc>
      </w:tr>
      <w:tr>
        <w:trPr>
          <w:trHeight w:val="250"/>
        </w:trPr>
        <w:tc>
          <w:tcPr>
            <w:tcW w:w="34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liabilities</w:t>
            </w: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238.3</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87.2</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33,156.8</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53.9</w:t>
            </w:r>
          </w:p>
        </w:tc>
        <w:tc>
          <w:tcPr>
            <w:tcW w:w="14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33,536.2</w:t>
            </w:r>
          </w:p>
        </w:tc>
        <w:tc>
          <w:tcPr>
            <w:tcW w:w="1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3440" w:type="dxa"/>
            <w:vAlign w:val="bottom"/>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December 31, 2014</w:t>
            </w:r>
          </w:p>
        </w:tc>
        <w:tc>
          <w:tcPr>
            <w:tcW w:w="20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278.2</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34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ind w:right="8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278.2</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100.4</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Equity securities, trading</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345.3</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345.3</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284.9</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284.9</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Other investments</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35.0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5.6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40.6</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Cash</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4.7</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Accrued investment income</w:t>
            </w:r>
          </w:p>
        </w:tc>
        <w:tc>
          <w:tcPr>
            <w:tcW w:w="20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1.4</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97"/>
        </w:trPr>
        <w:tc>
          <w:tcPr>
            <w:tcW w:w="344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00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9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9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94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bl>
    <w:p>
      <w:pPr>
        <w:sectPr>
          <w:pgSz w:w="11900" w:h="16900" w:orient="portrait"/>
          <w:cols w:equalWidth="0" w:num="1">
            <w:col w:w="11360"/>
          </w:cols>
          <w:pgMar w:left="240" w:top="121" w:right="299" w:bottom="0" w:gutter="0" w:footer="0" w:header="0"/>
        </w:sectPr>
      </w:pPr>
    </w:p>
    <w:bookmarkStart w:id="8" w:name="page9"/>
    <w:bookmarkEnd w:id="8"/>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assets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34,655.4</w:t>
            </w:r>
          </w:p>
        </w:tc>
        <w:tc>
          <w:tcPr>
            <w:tcW w:w="4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34,655.4</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Other assets</w:t>
            </w:r>
          </w:p>
        </w:tc>
        <w:tc>
          <w:tcPr>
            <w:tcW w:w="4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0.3</w:t>
            </w:r>
          </w:p>
        </w:tc>
        <w:tc>
          <w:tcPr>
            <w:tcW w:w="2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0"/>
        </w:trPr>
        <w:tc>
          <w:tcPr>
            <w:tcW w:w="344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assets</w:t>
            </w:r>
          </w:p>
        </w:tc>
        <w:tc>
          <w:tcPr>
            <w:tcW w:w="400" w:type="dxa"/>
            <w:vAlign w:val="bottom"/>
            <w:tcBorders>
              <w:top w:val="single" w:sz="8" w:color="auto"/>
              <w:bottom w:val="single" w:sz="8" w:color="auto"/>
            </w:tcBorders>
            <w:shd w:val="clear" w:color="auto" w:fill="CCEEFF"/>
          </w:tcPr>
          <w:p>
            <w:pPr>
              <w:jc w:val="right"/>
              <w:ind w:right="245"/>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278.6</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100.4</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285"/>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35.2</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35,000.7</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296.9</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35,711.8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40" w:type="dxa"/>
            <w:vAlign w:val="bottom"/>
            <w:vMerge w:val="restart"/>
          </w:tcPr>
          <w:p>
            <w:pPr>
              <w:spacing w:after="0"/>
              <w:rPr>
                <w:sz w:val="20"/>
                <w:szCs w:val="20"/>
                <w:color w:val="auto"/>
              </w:rPr>
            </w:pPr>
            <w:r>
              <w:rPr>
                <w:rFonts w:ascii="Arial" w:cs="Arial" w:eastAsia="Arial" w:hAnsi="Arial"/>
                <w:sz w:val="18"/>
                <w:szCs w:val="18"/>
                <w:color w:val="auto"/>
              </w:rPr>
              <w:t>Long-term debt</w:t>
            </w: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440" w:type="dxa"/>
            <w:vAlign w:val="bottom"/>
            <w:vMerge w:val="continue"/>
          </w:tcPr>
          <w:p>
            <w:pPr>
              <w:spacing w:after="0"/>
              <w:rPr>
                <w:sz w:val="17"/>
                <w:szCs w:val="17"/>
                <w:color w:val="auto"/>
              </w:rPr>
            </w:pPr>
          </w:p>
        </w:tc>
        <w:tc>
          <w:tcPr>
            <w:tcW w:w="400" w:type="dxa"/>
            <w:vAlign w:val="bottom"/>
          </w:tcPr>
          <w:p>
            <w:pPr>
              <w:jc w:val="right"/>
              <w:ind w:right="245"/>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20" w:type="dxa"/>
            <w:vAlign w:val="bottom"/>
            <w:vMerge w:val="continue"/>
          </w:tcPr>
          <w:p>
            <w:pPr>
              <w:spacing w:after="0"/>
              <w:rPr>
                <w:sz w:val="17"/>
                <w:szCs w:val="17"/>
                <w:color w:val="auto"/>
              </w:rPr>
            </w:pPr>
          </w:p>
        </w:tc>
        <w:tc>
          <w:tcPr>
            <w:tcW w:w="420" w:type="dxa"/>
            <w:vAlign w:val="bottom"/>
          </w:tcPr>
          <w:p>
            <w:pPr>
              <w:jc w:val="right"/>
              <w:ind w:right="230"/>
              <w:spacing w:after="0" w:line="196" w:lineRule="exact"/>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12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440" w:type="dxa"/>
            <w:vAlign w:val="bottom"/>
          </w:tcPr>
          <w:p>
            <w:pPr>
              <w:jc w:val="right"/>
              <w:ind w:right="285"/>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20" w:type="dxa"/>
            <w:vAlign w:val="bottom"/>
            <w:vMerge w:val="continue"/>
          </w:tcPr>
          <w:p>
            <w:pPr>
              <w:spacing w:after="0"/>
              <w:rPr>
                <w:sz w:val="17"/>
                <w:szCs w:val="17"/>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00" w:type="dxa"/>
            <w:vAlign w:val="bottom"/>
            <w:vMerge w:val="continue"/>
          </w:tcPr>
          <w:p>
            <w:pPr>
              <w:spacing w:after="0"/>
              <w:rPr>
                <w:sz w:val="17"/>
                <w:szCs w:val="17"/>
                <w:color w:val="auto"/>
              </w:rPr>
            </w:pPr>
          </w:p>
        </w:tc>
        <w:tc>
          <w:tcPr>
            <w:tcW w:w="400" w:type="dxa"/>
            <w:vAlign w:val="bottom"/>
          </w:tcPr>
          <w:p>
            <w:pPr>
              <w:jc w:val="right"/>
              <w:ind w:right="210"/>
              <w:spacing w:after="0" w:line="196" w:lineRule="exact"/>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82.3</w:t>
            </w:r>
          </w:p>
        </w:tc>
        <w:tc>
          <w:tcPr>
            <w:tcW w:w="220" w:type="dxa"/>
            <w:vAlign w:val="bottom"/>
            <w:vMerge w:val="continue"/>
          </w:tcPr>
          <w:p>
            <w:pPr>
              <w:spacing w:after="0"/>
              <w:rPr>
                <w:sz w:val="17"/>
                <w:szCs w:val="17"/>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line="196" w:lineRule="exact"/>
              <w:rPr>
                <w:sz w:val="20"/>
                <w:szCs w:val="20"/>
                <w:color w:val="auto"/>
              </w:rPr>
            </w:pPr>
            <w:r>
              <w:rPr>
                <w:rFonts w:ascii="Arial" w:cs="Arial" w:eastAsia="Arial" w:hAnsi="Arial"/>
                <w:sz w:val="18"/>
                <w:szCs w:val="18"/>
                <w:color w:val="auto"/>
              </w:rPr>
              <w:t>82.3</w:t>
            </w:r>
          </w:p>
        </w:tc>
        <w:tc>
          <w:tcPr>
            <w:tcW w:w="1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10.6</w:t>
            </w:r>
          </w:p>
        </w:tc>
        <w:tc>
          <w:tcPr>
            <w:tcW w:w="2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Deferred income taxes</w:t>
            </w:r>
          </w:p>
        </w:tc>
        <w:tc>
          <w:tcPr>
            <w:tcW w:w="4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1.5</w:t>
            </w:r>
          </w:p>
        </w:tc>
        <w:tc>
          <w:tcPr>
            <w:tcW w:w="42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(0.4)</w:t>
            </w:r>
          </w:p>
        </w:tc>
        <w:tc>
          <w:tcPr>
            <w:tcW w:w="2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34,655.4</w:t>
            </w:r>
          </w:p>
        </w:tc>
        <w:tc>
          <w:tcPr>
            <w:tcW w:w="4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34,655.4</w:t>
            </w:r>
          </w:p>
        </w:tc>
        <w:tc>
          <w:tcPr>
            <w:tcW w:w="0" w:type="dxa"/>
            <w:vAlign w:val="bottom"/>
          </w:tcPr>
          <w:p>
            <w:pPr>
              <w:spacing w:after="0"/>
              <w:rPr>
                <w:sz w:val="1"/>
                <w:szCs w:val="1"/>
                <w:color w:val="auto"/>
              </w:rPr>
            </w:pP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Other liabilities (1)</w:t>
            </w:r>
          </w:p>
        </w:tc>
        <w:tc>
          <w:tcPr>
            <w:tcW w:w="4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239.1</w:t>
            </w:r>
          </w:p>
        </w:tc>
        <w:tc>
          <w:tcPr>
            <w:tcW w:w="42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85.6</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4.8</w:t>
            </w:r>
          </w:p>
        </w:tc>
        <w:tc>
          <w:tcPr>
            <w:tcW w:w="280" w:type="dxa"/>
            <w:vAlign w:val="bottom"/>
          </w:tcPr>
          <w:p>
            <w:pPr>
              <w:spacing w:after="0"/>
              <w:rPr>
                <w:sz w:val="18"/>
                <w:szCs w:val="18"/>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14.5</w:t>
            </w:r>
          </w:p>
        </w:tc>
        <w:tc>
          <w:tcPr>
            <w:tcW w:w="2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344.0</w:t>
            </w:r>
          </w:p>
        </w:tc>
        <w:tc>
          <w:tcPr>
            <w:tcW w:w="0" w:type="dxa"/>
            <w:vAlign w:val="bottom"/>
          </w:tcPr>
          <w:p>
            <w:pPr>
              <w:spacing w:after="0"/>
              <w:rPr>
                <w:sz w:val="1"/>
                <w:szCs w:val="1"/>
                <w:color w:val="auto"/>
              </w:rPr>
            </w:pPr>
          </w:p>
        </w:tc>
      </w:tr>
      <w:tr>
        <w:trPr>
          <w:trHeight w:val="210"/>
        </w:trPr>
        <w:tc>
          <w:tcPr>
            <w:tcW w:w="344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400" w:type="dxa"/>
            <w:vAlign w:val="bottom"/>
            <w:tcBorders>
              <w:top w:val="single" w:sz="8" w:color="auto"/>
              <w:bottom w:val="single" w:sz="8" w:color="auto"/>
            </w:tcBorders>
            <w:shd w:val="clear" w:color="auto" w:fill="CCEEFF"/>
          </w:tcPr>
          <w:p>
            <w:pPr>
              <w:jc w:val="right"/>
              <w:ind w:right="245"/>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240.6</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85.6</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285"/>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34,655.4</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107.0</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35,093.4</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80" w:right="520" w:hanging="372"/>
        <w:spacing w:after="0" w:line="277" w:lineRule="auto"/>
        <w:tabs>
          <w:tab w:leader="none" w:pos="387" w:val="left"/>
        </w:tabs>
        <w:numPr>
          <w:ilvl w:val="0"/>
          <w:numId w:val="3"/>
        </w:numPr>
        <w:rPr>
          <w:rFonts w:ascii="Arial" w:cs="Arial" w:eastAsia="Arial" w:hAnsi="Arial"/>
          <w:sz w:val="18"/>
          <w:szCs w:val="18"/>
          <w:color w:val="auto"/>
        </w:rPr>
      </w:pPr>
      <w:r>
        <w:rPr>
          <w:rFonts w:ascii="Arial" w:cs="Arial" w:eastAsia="Arial" w:hAnsi="Arial"/>
          <w:sz w:val="18"/>
          <w:szCs w:val="18"/>
          <w:color w:val="auto"/>
        </w:rPr>
        <w:t>Grantor trusts contain an embedded derivative of a forecasted transaction to deliver the underlying securities; the collateralized private investment vehicle includes derivative liabilities and an obligation to redeem notes at maturity or termination of the trusts.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did not provide financial or other support to investees designated as VIEs for the periods ended September 30, 2015 and December 31, 2014.</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Unconsolidated Variable Interest Entities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Invested Securities</w:t>
      </w:r>
    </w:p>
    <w:p>
      <w:pPr>
        <w:spacing w:after="0" w:line="225" w:lineRule="exact"/>
        <w:rPr>
          <w:sz w:val="20"/>
          <w:szCs w:val="20"/>
          <w:color w:val="auto"/>
        </w:rPr>
      </w:pPr>
    </w:p>
    <w:p>
      <w:pPr>
        <w:ind w:right="360" w:firstLine="648"/>
        <w:spacing w:after="0" w:line="342" w:lineRule="auto"/>
        <w:rPr>
          <w:sz w:val="20"/>
          <w:szCs w:val="20"/>
          <w:color w:val="auto"/>
        </w:rPr>
      </w:pPr>
      <w:r>
        <w:rPr>
          <w:rFonts w:ascii="Arial" w:cs="Arial" w:eastAsia="Arial" w:hAnsi="Arial"/>
          <w:sz w:val="16"/>
          <w:szCs w:val="16"/>
          <w:color w:val="auto"/>
        </w:rPr>
        <w:t>We hold a variable interest in a number of VIEs where we are not the primary beneficiary. Our investments in these VIEs are reported in fixed maturities, available-for-sale; fixed maturities, trading and other investments in the consolidated statements of financial position and are described below.</w:t>
      </w:r>
    </w:p>
    <w:p>
      <w:pPr>
        <w:spacing w:after="0" w:line="124"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Unconsolidated VIEs include CMBS, residential mortgage-backed pass-through securities (“RMBS”) and other asset-backed securities (“ABS”). All of these entities were deemed VIEs because the equity within these entities is insufficient to sustain them. We determined we are not the primary beneficiary in the entities within these categories of investments. This determination was based primarily on the fact we do not own the class of security that controls the unilateral right to replace the special servicer or equivalent function.</w:t>
      </w:r>
    </w:p>
    <w:p>
      <w:pPr>
        <w:spacing w:after="0" w:line="187" w:lineRule="exact"/>
        <w:rPr>
          <w:sz w:val="20"/>
          <w:szCs w:val="20"/>
          <w:color w:val="auto"/>
        </w:rPr>
      </w:pPr>
    </w:p>
    <w:p>
      <w:pPr>
        <w:ind w:right="200" w:firstLine="648"/>
        <w:spacing w:after="0" w:line="286" w:lineRule="auto"/>
        <w:rPr>
          <w:sz w:val="20"/>
          <w:szCs w:val="20"/>
          <w:color w:val="auto"/>
        </w:rPr>
      </w:pPr>
      <w:r>
        <w:rPr>
          <w:rFonts w:ascii="Arial" w:cs="Arial" w:eastAsia="Arial" w:hAnsi="Arial"/>
          <w:sz w:val="17"/>
          <w:szCs w:val="17"/>
          <w:color w:val="auto"/>
        </w:rPr>
        <w:t>As previously discussed, we invest in several types of collateralized private investment vehicles, which are VIEs. These include cash and synthetic structures that we do not manage. We have determined we are not the primary beneficiary of these collateralized private investment vehicles primarily because we do not control the economic performance of the entities and were not involved with the design of the entities.</w:t>
      </w:r>
    </w:p>
    <w:p>
      <w:pPr>
        <w:spacing w:after="0" w:line="166"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We have invested in various VIE trusts as a debt holder. All of these entities are classified as VIEs due to insufficient equity to sustain them. We have determined we are not the primary beneficiary primarily because we do not control the economic performance of the entities and were not involved with the design of the entities.</w:t>
      </w:r>
    </w:p>
    <w:p>
      <w:pPr>
        <w:spacing w:after="0" w:line="181" w:lineRule="exact"/>
        <w:rPr>
          <w:sz w:val="20"/>
          <w:szCs w:val="20"/>
          <w:color w:val="auto"/>
        </w:rPr>
      </w:pPr>
    </w:p>
    <w:p>
      <w:pPr>
        <w:ind w:right="80" w:firstLine="648"/>
        <w:spacing w:after="0" w:line="273" w:lineRule="auto"/>
        <w:rPr>
          <w:sz w:val="20"/>
          <w:szCs w:val="20"/>
          <w:color w:val="auto"/>
        </w:rPr>
      </w:pPr>
      <w:r>
        <w:rPr>
          <w:rFonts w:ascii="Arial" w:cs="Arial" w:eastAsia="Arial" w:hAnsi="Arial"/>
          <w:sz w:val="17"/>
          <w:szCs w:val="17"/>
          <w:color w:val="auto"/>
        </w:rPr>
        <w:t>We have invested in partnerships and other funds, some of which are classified as VIEs. Some of these entities have returns in the form of income tax credits. These entities are classified as VIEs as the general partners do not have equity investments at risk in the entities. We have determined we are not the primary beneficiary because we are not the general partner, who makes all the significant decisions for the entities. Other limited partnerships and fund interests have returns from investment income. These entities are classified as VIEs as the decision makers do not have equity investments at risk in the entities. We have determined we are not the primary beneficiary because we do not make the significant decisions for the entities or our variable interest does not absorb the majority of the variability of the entities’ net assets.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carrying value and maximum loss exposure for our unconsolidated VIEs were as follows: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8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vMerge w:val="restart"/>
          </w:tcPr>
          <w:p>
            <w:pPr>
              <w:jc w:val="right"/>
              <w:ind w:right="355"/>
              <w:spacing w:after="0"/>
              <w:rPr>
                <w:sz w:val="20"/>
                <w:szCs w:val="20"/>
                <w:color w:val="auto"/>
              </w:rPr>
            </w:pPr>
            <w:r>
              <w:rPr>
                <w:rFonts w:ascii="Arial" w:cs="Arial" w:eastAsia="Arial" w:hAnsi="Arial"/>
                <w:sz w:val="14"/>
                <w:szCs w:val="14"/>
                <w:b w:val="1"/>
                <w:bCs w:val="1"/>
                <w:color w:val="auto"/>
                <w:w w:val="96"/>
              </w:rPr>
              <w:t>Asset carrying value</w:t>
            </w:r>
          </w:p>
        </w:tc>
        <w:tc>
          <w:tcPr>
            <w:tcW w:w="360" w:type="dxa"/>
            <w:vAlign w:val="bottom"/>
          </w:tcPr>
          <w:p>
            <w:pPr>
              <w:spacing w:after="0"/>
              <w:rPr>
                <w:sz w:val="14"/>
                <w:szCs w:val="14"/>
                <w:color w:val="auto"/>
              </w:rPr>
            </w:pPr>
          </w:p>
        </w:tc>
        <w:tc>
          <w:tcPr>
            <w:tcW w:w="17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Maximum exposure to</w:t>
            </w:r>
          </w:p>
        </w:tc>
        <w:tc>
          <w:tcPr>
            <w:tcW w:w="0" w:type="dxa"/>
            <w:vAlign w:val="bottom"/>
          </w:tcPr>
          <w:p>
            <w:pPr>
              <w:spacing w:after="0"/>
              <w:rPr>
                <w:sz w:val="1"/>
                <w:szCs w:val="1"/>
                <w:color w:val="auto"/>
              </w:rPr>
            </w:pPr>
          </w:p>
        </w:tc>
      </w:tr>
      <w:tr>
        <w:trPr>
          <w:trHeight w:val="171"/>
        </w:trPr>
        <w:tc>
          <w:tcPr>
            <w:tcW w:w="568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17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5"/>
              </w:rPr>
              <w:t>loss (1)</w:t>
            </w:r>
          </w:p>
        </w:tc>
        <w:tc>
          <w:tcPr>
            <w:tcW w:w="0" w:type="dxa"/>
            <w:vAlign w:val="bottom"/>
          </w:tcPr>
          <w:p>
            <w:pPr>
              <w:spacing w:after="0"/>
              <w:rPr>
                <w:sz w:val="1"/>
                <w:szCs w:val="1"/>
                <w:color w:val="auto"/>
              </w:rPr>
            </w:pPr>
          </w:p>
        </w:tc>
      </w:tr>
      <w:tr>
        <w:trPr>
          <w:trHeight w:val="142"/>
        </w:trPr>
        <w:tc>
          <w:tcPr>
            <w:tcW w:w="56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214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16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September 30, 2015</w:t>
            </w:r>
          </w:p>
        </w:tc>
        <w:tc>
          <w:tcPr>
            <w:tcW w:w="1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8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Corporate</w:t>
            </w:r>
          </w:p>
        </w:tc>
        <w:tc>
          <w:tcPr>
            <w:tcW w:w="1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780" w:type="dxa"/>
            <w:vAlign w:val="bottom"/>
            <w:shd w:val="clear" w:color="auto" w:fill="CCEEFF"/>
          </w:tcPr>
          <w:p>
            <w:pPr>
              <w:jc w:val="right"/>
              <w:ind w:right="55"/>
              <w:spacing w:after="0"/>
              <w:rPr>
                <w:sz w:val="20"/>
                <w:szCs w:val="20"/>
                <w:color w:val="auto"/>
              </w:rPr>
            </w:pPr>
            <w:r>
              <w:rPr>
                <w:rFonts w:ascii="Arial" w:cs="Arial" w:eastAsia="Arial" w:hAnsi="Arial"/>
                <w:sz w:val="18"/>
                <w:szCs w:val="18"/>
                <w:b w:val="1"/>
                <w:bCs w:val="1"/>
                <w:color w:val="auto"/>
              </w:rPr>
              <w:t>462.3</w:t>
            </w:r>
          </w:p>
        </w:tc>
        <w:tc>
          <w:tcPr>
            <w:tcW w:w="36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1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358.6</w:t>
            </w:r>
          </w:p>
        </w:tc>
        <w:tc>
          <w:tcPr>
            <w:tcW w:w="0" w:type="dxa"/>
            <w:vAlign w:val="bottom"/>
          </w:tcPr>
          <w:p>
            <w:pPr>
              <w:spacing w:after="0"/>
              <w:rPr>
                <w:sz w:val="1"/>
                <w:szCs w:val="1"/>
                <w:color w:val="auto"/>
              </w:rPr>
            </w:pPr>
          </w:p>
        </w:tc>
      </w:tr>
      <w:tr>
        <w:trPr>
          <w:trHeight w:val="216"/>
        </w:trPr>
        <w:tc>
          <w:tcPr>
            <w:tcW w:w="5680" w:type="dxa"/>
            <w:vAlign w:val="bottom"/>
          </w:tcPr>
          <w:p>
            <w:pPr>
              <w:ind w:left="180"/>
              <w:spacing w:after="0"/>
              <w:rPr>
                <w:sz w:val="20"/>
                <w:szCs w:val="20"/>
                <w:color w:val="auto"/>
              </w:rPr>
            </w:pPr>
            <w:r>
              <w:rPr>
                <w:rFonts w:ascii="Arial" w:cs="Arial" w:eastAsia="Arial" w:hAnsi="Arial"/>
                <w:sz w:val="18"/>
                <w:szCs w:val="18"/>
                <w:color w:val="auto"/>
              </w:rPr>
              <w:t>Residential mortgage-backed pass-through securities</w:t>
            </w:r>
          </w:p>
        </w:tc>
        <w:tc>
          <w:tcPr>
            <w:tcW w:w="1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80" w:type="dxa"/>
            <w:vAlign w:val="bottom"/>
          </w:tcPr>
          <w:p>
            <w:pPr>
              <w:jc w:val="right"/>
              <w:ind w:right="55"/>
              <w:spacing w:after="0"/>
              <w:rPr>
                <w:sz w:val="20"/>
                <w:szCs w:val="20"/>
                <w:color w:val="auto"/>
              </w:rPr>
            </w:pPr>
            <w:r>
              <w:rPr>
                <w:rFonts w:ascii="Arial" w:cs="Arial" w:eastAsia="Arial" w:hAnsi="Arial"/>
                <w:sz w:val="18"/>
                <w:szCs w:val="18"/>
                <w:b w:val="1"/>
                <w:bCs w:val="1"/>
                <w:color w:val="auto"/>
              </w:rPr>
              <w:t>2,680.2</w:t>
            </w:r>
          </w:p>
        </w:tc>
        <w:tc>
          <w:tcPr>
            <w:tcW w:w="360" w:type="dxa"/>
            <w:vAlign w:val="bottom"/>
          </w:tcPr>
          <w:p>
            <w:pPr>
              <w:spacing w:after="0"/>
              <w:rPr>
                <w:sz w:val="18"/>
                <w:szCs w:val="18"/>
                <w:color w:val="auto"/>
              </w:rPr>
            </w:pPr>
          </w:p>
        </w:tc>
        <w:tc>
          <w:tcPr>
            <w:tcW w:w="17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2,572.2</w:t>
            </w:r>
          </w:p>
        </w:tc>
        <w:tc>
          <w:tcPr>
            <w:tcW w:w="0" w:type="dxa"/>
            <w:vAlign w:val="bottom"/>
          </w:tcPr>
          <w:p>
            <w:pPr>
              <w:spacing w:after="0"/>
              <w:rPr>
                <w:sz w:val="1"/>
                <w:szCs w:val="1"/>
                <w:color w:val="auto"/>
              </w:rPr>
            </w:pPr>
          </w:p>
        </w:tc>
      </w:tr>
      <w:tr>
        <w:trPr>
          <w:trHeight w:val="216"/>
        </w:trPr>
        <w:tc>
          <w:tcPr>
            <w:tcW w:w="5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Commercial mortgage-backed securities</w:t>
            </w:r>
          </w:p>
        </w:tc>
        <w:tc>
          <w:tcPr>
            <w:tcW w:w="1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80" w:type="dxa"/>
            <w:vAlign w:val="bottom"/>
            <w:shd w:val="clear" w:color="auto" w:fill="CCEEFF"/>
          </w:tcPr>
          <w:p>
            <w:pPr>
              <w:jc w:val="right"/>
              <w:ind w:right="55"/>
              <w:spacing w:after="0"/>
              <w:rPr>
                <w:sz w:val="20"/>
                <w:szCs w:val="20"/>
                <w:color w:val="auto"/>
              </w:rPr>
            </w:pPr>
            <w:r>
              <w:rPr>
                <w:rFonts w:ascii="Arial" w:cs="Arial" w:eastAsia="Arial" w:hAnsi="Arial"/>
                <w:sz w:val="18"/>
                <w:szCs w:val="18"/>
                <w:b w:val="1"/>
                <w:bCs w:val="1"/>
                <w:color w:val="auto"/>
              </w:rPr>
              <w:t>3,861.2</w:t>
            </w:r>
          </w:p>
        </w:tc>
        <w:tc>
          <w:tcPr>
            <w:tcW w:w="36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3,808.8</w:t>
            </w:r>
          </w:p>
        </w:tc>
        <w:tc>
          <w:tcPr>
            <w:tcW w:w="0" w:type="dxa"/>
            <w:vAlign w:val="bottom"/>
          </w:tcPr>
          <w:p>
            <w:pPr>
              <w:spacing w:after="0"/>
              <w:rPr>
                <w:sz w:val="1"/>
                <w:szCs w:val="1"/>
                <w:color w:val="auto"/>
              </w:rPr>
            </w:pPr>
          </w:p>
        </w:tc>
      </w:tr>
      <w:tr>
        <w:trPr>
          <w:trHeight w:val="216"/>
        </w:trPr>
        <w:tc>
          <w:tcPr>
            <w:tcW w:w="5680" w:type="dxa"/>
            <w:vAlign w:val="bottom"/>
          </w:tcPr>
          <w:p>
            <w:pPr>
              <w:ind w:left="180"/>
              <w:spacing w:after="0"/>
              <w:rPr>
                <w:sz w:val="20"/>
                <w:szCs w:val="20"/>
                <w:color w:val="auto"/>
              </w:rPr>
            </w:pPr>
            <w:r>
              <w:rPr>
                <w:rFonts w:ascii="Arial" w:cs="Arial" w:eastAsia="Arial" w:hAnsi="Arial"/>
                <w:sz w:val="18"/>
                <w:szCs w:val="18"/>
                <w:color w:val="auto"/>
              </w:rPr>
              <w:t>Collateralized debt obligations</w:t>
            </w:r>
          </w:p>
        </w:tc>
        <w:tc>
          <w:tcPr>
            <w:tcW w:w="1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80" w:type="dxa"/>
            <w:vAlign w:val="bottom"/>
          </w:tcPr>
          <w:p>
            <w:pPr>
              <w:jc w:val="right"/>
              <w:ind w:right="55"/>
              <w:spacing w:after="0"/>
              <w:rPr>
                <w:sz w:val="20"/>
                <w:szCs w:val="20"/>
                <w:color w:val="auto"/>
              </w:rPr>
            </w:pPr>
            <w:r>
              <w:rPr>
                <w:rFonts w:ascii="Arial" w:cs="Arial" w:eastAsia="Arial" w:hAnsi="Arial"/>
                <w:sz w:val="18"/>
                <w:szCs w:val="18"/>
                <w:b w:val="1"/>
                <w:bCs w:val="1"/>
                <w:color w:val="auto"/>
              </w:rPr>
              <w:t>633.0</w:t>
            </w:r>
          </w:p>
        </w:tc>
        <w:tc>
          <w:tcPr>
            <w:tcW w:w="360" w:type="dxa"/>
            <w:vAlign w:val="bottom"/>
          </w:tcPr>
          <w:p>
            <w:pPr>
              <w:spacing w:after="0"/>
              <w:rPr>
                <w:sz w:val="18"/>
                <w:szCs w:val="18"/>
                <w:color w:val="auto"/>
              </w:rPr>
            </w:pPr>
          </w:p>
        </w:tc>
        <w:tc>
          <w:tcPr>
            <w:tcW w:w="17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655.9</w:t>
            </w:r>
          </w:p>
        </w:tc>
        <w:tc>
          <w:tcPr>
            <w:tcW w:w="0" w:type="dxa"/>
            <w:vAlign w:val="bottom"/>
          </w:tcPr>
          <w:p>
            <w:pPr>
              <w:spacing w:after="0"/>
              <w:rPr>
                <w:sz w:val="1"/>
                <w:szCs w:val="1"/>
                <w:color w:val="auto"/>
              </w:rPr>
            </w:pPr>
          </w:p>
        </w:tc>
      </w:tr>
      <w:tr>
        <w:trPr>
          <w:trHeight w:val="216"/>
        </w:trPr>
        <w:tc>
          <w:tcPr>
            <w:tcW w:w="5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 debt obligations</w:t>
            </w:r>
          </w:p>
        </w:tc>
        <w:tc>
          <w:tcPr>
            <w:tcW w:w="1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80" w:type="dxa"/>
            <w:vAlign w:val="bottom"/>
            <w:shd w:val="clear" w:color="auto" w:fill="CCEEFF"/>
          </w:tcPr>
          <w:p>
            <w:pPr>
              <w:jc w:val="right"/>
              <w:ind w:right="55"/>
              <w:spacing w:after="0"/>
              <w:rPr>
                <w:sz w:val="20"/>
                <w:szCs w:val="20"/>
                <w:color w:val="auto"/>
              </w:rPr>
            </w:pPr>
            <w:r>
              <w:rPr>
                <w:rFonts w:ascii="Arial" w:cs="Arial" w:eastAsia="Arial" w:hAnsi="Arial"/>
                <w:sz w:val="18"/>
                <w:szCs w:val="18"/>
                <w:b w:val="1"/>
                <w:bCs w:val="1"/>
                <w:color w:val="auto"/>
              </w:rPr>
              <w:t>4,535.6</w:t>
            </w:r>
          </w:p>
        </w:tc>
        <w:tc>
          <w:tcPr>
            <w:tcW w:w="36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4,494.5</w:t>
            </w:r>
          </w:p>
        </w:tc>
        <w:tc>
          <w:tcPr>
            <w:tcW w:w="0" w:type="dxa"/>
            <w:vAlign w:val="bottom"/>
          </w:tcPr>
          <w:p>
            <w:pPr>
              <w:spacing w:after="0"/>
              <w:rPr>
                <w:sz w:val="1"/>
                <w:szCs w:val="1"/>
                <w:color w:val="auto"/>
              </w:rPr>
            </w:pPr>
          </w:p>
        </w:tc>
      </w:tr>
      <w:tr>
        <w:trPr>
          <w:trHeight w:val="216"/>
        </w:trPr>
        <w:tc>
          <w:tcPr>
            <w:tcW w:w="5680" w:type="dxa"/>
            <w:vAlign w:val="bottom"/>
          </w:tcPr>
          <w:p>
            <w:pPr>
              <w:spacing w:after="0"/>
              <w:rPr>
                <w:sz w:val="20"/>
                <w:szCs w:val="20"/>
                <w:color w:val="auto"/>
              </w:rPr>
            </w:pPr>
            <w:r>
              <w:rPr>
                <w:rFonts w:ascii="Arial" w:cs="Arial" w:eastAsia="Arial" w:hAnsi="Arial"/>
                <w:sz w:val="18"/>
                <w:szCs w:val="18"/>
                <w:color w:val="auto"/>
              </w:rPr>
              <w:t>Fixed maturities, trading:</w:t>
            </w:r>
          </w:p>
        </w:tc>
        <w:tc>
          <w:tcPr>
            <w:tcW w:w="1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0"/>
        </w:trPr>
        <w:tc>
          <w:tcPr>
            <w:tcW w:w="5680" w:type="dxa"/>
            <w:vAlign w:val="bottom"/>
            <w:shd w:val="clear" w:color="auto" w:fill="CCEEFF"/>
          </w:tcPr>
          <w:p>
            <w:pPr>
              <w:spacing w:after="0"/>
              <w:rPr>
                <w:sz w:val="6"/>
                <w:szCs w:val="6"/>
                <w:color w:val="auto"/>
              </w:rPr>
            </w:pPr>
          </w:p>
        </w:tc>
        <w:tc>
          <w:tcPr>
            <w:tcW w:w="170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1780" w:type="dxa"/>
            <w:vAlign w:val="bottom"/>
            <w:shd w:val="clear" w:color="auto" w:fill="CCEEFF"/>
          </w:tcPr>
          <w:p>
            <w:pPr>
              <w:spacing w:after="0"/>
              <w:rPr>
                <w:sz w:val="6"/>
                <w:szCs w:val="6"/>
                <w:color w:val="auto"/>
              </w:rPr>
            </w:pPr>
          </w:p>
        </w:tc>
        <w:tc>
          <w:tcPr>
            <w:tcW w:w="360" w:type="dxa"/>
            <w:vAlign w:val="bottom"/>
            <w:shd w:val="clear" w:color="auto" w:fill="CCEEFF"/>
          </w:tcPr>
          <w:p>
            <w:pPr>
              <w:spacing w:after="0"/>
              <w:rPr>
                <w:sz w:val="6"/>
                <w:szCs w:val="6"/>
                <w:color w:val="auto"/>
              </w:rPr>
            </w:pPr>
          </w:p>
        </w:tc>
        <w:tc>
          <w:tcPr>
            <w:tcW w:w="160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bl>
    <w:p>
      <w:pPr>
        <w:sectPr>
          <w:pgSz w:w="11900" w:h="16900" w:orient="portrait"/>
          <w:cols w:equalWidth="0" w:num="1">
            <w:col w:w="11420"/>
          </w:cols>
          <w:pgMar w:left="240" w:top="140" w:right="239" w:bottom="0" w:gutter="0" w:footer="0" w:header="0"/>
        </w:sectPr>
      </w:pPr>
    </w:p>
    <w:bookmarkStart w:id="9" w:name="page10"/>
    <w:bookmarkEnd w:id="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Residential mortgage-backed pass-through securities</w:t>
            </w:r>
          </w:p>
        </w:tc>
        <w:tc>
          <w:tcPr>
            <w:tcW w:w="240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27.6</w:t>
            </w:r>
          </w:p>
        </w:tc>
        <w:tc>
          <w:tcPr>
            <w:tcW w:w="8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tcPr>
          <w:p>
            <w:pPr>
              <w:ind w:left="160"/>
              <w:spacing w:after="0"/>
              <w:rPr>
                <w:sz w:val="20"/>
                <w:szCs w:val="20"/>
                <w:color w:val="auto"/>
              </w:rPr>
            </w:pPr>
            <w:r>
              <w:rPr>
                <w:rFonts w:ascii="Arial" w:cs="Arial" w:eastAsia="Arial" w:hAnsi="Arial"/>
                <w:sz w:val="18"/>
                <w:szCs w:val="18"/>
                <w:color w:val="auto"/>
              </w:rPr>
              <w:t>Commercial mortgage-backed securities</w:t>
            </w:r>
          </w:p>
        </w:tc>
        <w:tc>
          <w:tcPr>
            <w:tcW w:w="2400" w:type="dxa"/>
            <w:vAlign w:val="bottom"/>
          </w:tcPr>
          <w:p>
            <w:pPr>
              <w:spacing w:after="0"/>
              <w:rPr>
                <w:sz w:val="18"/>
                <w:szCs w:val="18"/>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b w:val="1"/>
                <w:bCs w:val="1"/>
                <w:color w:val="auto"/>
              </w:rPr>
              <w:t>44.1</w:t>
            </w:r>
          </w:p>
        </w:tc>
        <w:tc>
          <w:tcPr>
            <w:tcW w:w="82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44.1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Collateralized debt obligations</w:t>
            </w:r>
          </w:p>
        </w:tc>
        <w:tc>
          <w:tcPr>
            <w:tcW w:w="240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38.6</w:t>
            </w:r>
          </w:p>
        </w:tc>
        <w:tc>
          <w:tcPr>
            <w:tcW w:w="8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tcPr>
          <w:p>
            <w:pPr>
              <w:spacing w:after="0"/>
              <w:rPr>
                <w:sz w:val="20"/>
                <w:szCs w:val="20"/>
                <w:color w:val="auto"/>
              </w:rPr>
            </w:pPr>
            <w:r>
              <w:rPr>
                <w:rFonts w:ascii="Arial" w:cs="Arial" w:eastAsia="Arial" w:hAnsi="Arial"/>
                <w:sz w:val="18"/>
                <w:szCs w:val="18"/>
                <w:color w:val="auto"/>
              </w:rPr>
              <w:t>Other investments:</w:t>
            </w:r>
          </w:p>
        </w:tc>
        <w:tc>
          <w:tcPr>
            <w:tcW w:w="24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 limited partnership and fund interests</w:t>
            </w:r>
          </w:p>
        </w:tc>
        <w:tc>
          <w:tcPr>
            <w:tcW w:w="240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210.7</w:t>
            </w:r>
          </w:p>
        </w:tc>
        <w:tc>
          <w:tcPr>
            <w:tcW w:w="8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210.7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6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December 31, 2014</w:t>
            </w:r>
          </w:p>
        </w:tc>
        <w:tc>
          <w:tcPr>
            <w:tcW w:w="24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24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Corporate</w:t>
            </w:r>
          </w:p>
        </w:tc>
        <w:tc>
          <w:tcPr>
            <w:tcW w:w="240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456.7</w:t>
            </w:r>
          </w:p>
        </w:tc>
        <w:tc>
          <w:tcPr>
            <w:tcW w:w="820" w:type="dxa"/>
            <w:vAlign w:val="bottom"/>
            <w:shd w:val="clear" w:color="auto" w:fill="CCEEFF"/>
          </w:tcPr>
          <w:p>
            <w:pPr>
              <w:jc w:val="right"/>
              <w:ind w:right="49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353.3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tcPr>
          <w:p>
            <w:pPr>
              <w:ind w:left="160"/>
              <w:spacing w:after="0"/>
              <w:rPr>
                <w:sz w:val="20"/>
                <w:szCs w:val="20"/>
                <w:color w:val="auto"/>
              </w:rPr>
            </w:pPr>
            <w:r>
              <w:rPr>
                <w:rFonts w:ascii="Arial" w:cs="Arial" w:eastAsia="Arial" w:hAnsi="Arial"/>
                <w:sz w:val="18"/>
                <w:szCs w:val="18"/>
                <w:color w:val="auto"/>
              </w:rPr>
              <w:t>Residential mortgage-backed pass-through securities</w:t>
            </w:r>
          </w:p>
        </w:tc>
        <w:tc>
          <w:tcPr>
            <w:tcW w:w="2400" w:type="dxa"/>
            <w:vAlign w:val="bottom"/>
          </w:tcPr>
          <w:p>
            <w:pPr>
              <w:spacing w:after="0"/>
              <w:rPr>
                <w:sz w:val="18"/>
                <w:szCs w:val="18"/>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color w:val="auto"/>
              </w:rPr>
              <w:t>2,822.9</w:t>
            </w:r>
          </w:p>
        </w:tc>
        <w:tc>
          <w:tcPr>
            <w:tcW w:w="82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2,702.9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Commercial mortgage-backed securities</w:t>
            </w:r>
          </w:p>
        </w:tc>
        <w:tc>
          <w:tcPr>
            <w:tcW w:w="240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3,975.5</w:t>
            </w:r>
          </w:p>
        </w:tc>
        <w:tc>
          <w:tcPr>
            <w:tcW w:w="8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3,896.9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tcPr>
          <w:p>
            <w:pPr>
              <w:ind w:left="160"/>
              <w:spacing w:after="0"/>
              <w:rPr>
                <w:sz w:val="20"/>
                <w:szCs w:val="20"/>
                <w:color w:val="auto"/>
              </w:rPr>
            </w:pPr>
            <w:r>
              <w:rPr>
                <w:rFonts w:ascii="Arial" w:cs="Arial" w:eastAsia="Arial" w:hAnsi="Arial"/>
                <w:sz w:val="18"/>
                <w:szCs w:val="18"/>
                <w:color w:val="auto"/>
              </w:rPr>
              <w:t>Collateralized debt obligations</w:t>
            </w:r>
          </w:p>
        </w:tc>
        <w:tc>
          <w:tcPr>
            <w:tcW w:w="2400" w:type="dxa"/>
            <w:vAlign w:val="bottom"/>
          </w:tcPr>
          <w:p>
            <w:pPr>
              <w:spacing w:after="0"/>
              <w:rPr>
                <w:sz w:val="18"/>
                <w:szCs w:val="18"/>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color w:val="auto"/>
              </w:rPr>
              <w:t>504.1</w:t>
            </w:r>
          </w:p>
        </w:tc>
        <w:tc>
          <w:tcPr>
            <w:tcW w:w="82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521.2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 debt obligations</w:t>
            </w:r>
          </w:p>
        </w:tc>
        <w:tc>
          <w:tcPr>
            <w:tcW w:w="240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4,616.4</w:t>
            </w:r>
          </w:p>
        </w:tc>
        <w:tc>
          <w:tcPr>
            <w:tcW w:w="8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4,583.4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tcPr>
          <w:p>
            <w:pPr>
              <w:spacing w:after="0"/>
              <w:rPr>
                <w:sz w:val="20"/>
                <w:szCs w:val="20"/>
                <w:color w:val="auto"/>
              </w:rPr>
            </w:pPr>
            <w:r>
              <w:rPr>
                <w:rFonts w:ascii="Arial" w:cs="Arial" w:eastAsia="Arial" w:hAnsi="Arial"/>
                <w:sz w:val="18"/>
                <w:szCs w:val="18"/>
                <w:color w:val="auto"/>
              </w:rPr>
              <w:t>Fixed maturities, trading:</w:t>
            </w:r>
          </w:p>
        </w:tc>
        <w:tc>
          <w:tcPr>
            <w:tcW w:w="24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Residential mortgage-backed pass-through securities</w:t>
            </w:r>
          </w:p>
        </w:tc>
        <w:tc>
          <w:tcPr>
            <w:tcW w:w="240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34.4</w:t>
            </w:r>
          </w:p>
        </w:tc>
        <w:tc>
          <w:tcPr>
            <w:tcW w:w="8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tcPr>
          <w:p>
            <w:pPr>
              <w:ind w:left="160"/>
              <w:spacing w:after="0"/>
              <w:rPr>
                <w:sz w:val="20"/>
                <w:szCs w:val="20"/>
                <w:color w:val="auto"/>
              </w:rPr>
            </w:pPr>
            <w:r>
              <w:rPr>
                <w:rFonts w:ascii="Arial" w:cs="Arial" w:eastAsia="Arial" w:hAnsi="Arial"/>
                <w:sz w:val="18"/>
                <w:szCs w:val="18"/>
                <w:color w:val="auto"/>
              </w:rPr>
              <w:t>Commercial mortgage-backed securities</w:t>
            </w:r>
          </w:p>
        </w:tc>
        <w:tc>
          <w:tcPr>
            <w:tcW w:w="2400" w:type="dxa"/>
            <w:vAlign w:val="bottom"/>
          </w:tcPr>
          <w:p>
            <w:pPr>
              <w:spacing w:after="0"/>
              <w:rPr>
                <w:sz w:val="18"/>
                <w:szCs w:val="18"/>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color w:val="auto"/>
              </w:rPr>
              <w:t>1.5</w:t>
            </w:r>
          </w:p>
        </w:tc>
        <w:tc>
          <w:tcPr>
            <w:tcW w:w="82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Collateralized debt obligations</w:t>
            </w:r>
          </w:p>
        </w:tc>
        <w:tc>
          <w:tcPr>
            <w:tcW w:w="240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39.4</w:t>
            </w:r>
          </w:p>
        </w:tc>
        <w:tc>
          <w:tcPr>
            <w:tcW w:w="8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tcPr>
          <w:p>
            <w:pPr>
              <w:ind w:left="160"/>
              <w:spacing w:after="0"/>
              <w:rPr>
                <w:sz w:val="20"/>
                <w:szCs w:val="20"/>
                <w:color w:val="auto"/>
              </w:rPr>
            </w:pPr>
            <w:r>
              <w:rPr>
                <w:rFonts w:ascii="Arial" w:cs="Arial" w:eastAsia="Arial" w:hAnsi="Arial"/>
                <w:sz w:val="18"/>
                <w:szCs w:val="18"/>
                <w:color w:val="auto"/>
              </w:rPr>
              <w:t>Other debt obligations</w:t>
            </w:r>
          </w:p>
        </w:tc>
        <w:tc>
          <w:tcPr>
            <w:tcW w:w="2400" w:type="dxa"/>
            <w:vAlign w:val="bottom"/>
          </w:tcPr>
          <w:p>
            <w:pPr>
              <w:spacing w:after="0"/>
              <w:rPr>
                <w:sz w:val="18"/>
                <w:szCs w:val="18"/>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color w:val="auto"/>
              </w:rPr>
              <w:t>0.2</w:t>
            </w:r>
          </w:p>
        </w:tc>
        <w:tc>
          <w:tcPr>
            <w:tcW w:w="82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24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60" w:type="dxa"/>
            <w:vAlign w:val="bottom"/>
          </w:tcPr>
          <w:p>
            <w:pPr>
              <w:ind w:left="160"/>
              <w:spacing w:after="0"/>
              <w:rPr>
                <w:sz w:val="20"/>
                <w:szCs w:val="20"/>
                <w:color w:val="auto"/>
              </w:rPr>
            </w:pPr>
            <w:r>
              <w:rPr>
                <w:rFonts w:ascii="Arial" w:cs="Arial" w:eastAsia="Arial" w:hAnsi="Arial"/>
                <w:sz w:val="18"/>
                <w:szCs w:val="18"/>
                <w:color w:val="auto"/>
              </w:rPr>
              <w:t>Other limited partnership and fund interests</w:t>
            </w:r>
          </w:p>
        </w:tc>
        <w:tc>
          <w:tcPr>
            <w:tcW w:w="2400" w:type="dxa"/>
            <w:vAlign w:val="bottom"/>
          </w:tcPr>
          <w:p>
            <w:pPr>
              <w:spacing w:after="0"/>
              <w:rPr>
                <w:sz w:val="20"/>
                <w:szCs w:val="20"/>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color w:val="auto"/>
              </w:rPr>
              <w:t>188.2</w:t>
            </w:r>
          </w:p>
        </w:tc>
        <w:tc>
          <w:tcPr>
            <w:tcW w:w="820" w:type="dxa"/>
            <w:vAlign w:val="bottom"/>
          </w:tcPr>
          <w:p>
            <w:pPr>
              <w:spacing w:after="0"/>
              <w:rPr>
                <w:sz w:val="20"/>
                <w:szCs w:val="20"/>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188.2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182689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7" w:lineRule="exact"/>
        <w:rPr>
          <w:sz w:val="20"/>
          <w:szCs w:val="20"/>
          <w:color w:val="auto"/>
        </w:rPr>
      </w:pPr>
    </w:p>
    <w:p>
      <w:pPr>
        <w:ind w:left="340" w:right="180" w:hanging="332"/>
        <w:spacing w:after="0" w:line="277" w:lineRule="auto"/>
        <w:tabs>
          <w:tab w:leader="none" w:pos="347"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risk of loss is limited to our initial investment measured at amortized cost for fixed maturities, available-for-sale and other investments. Our risk of loss is limited to our investment measured at fair value for our fixed maturities, trading.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Sponsored Investment Funds</w:t>
      </w:r>
    </w:p>
    <w:p>
      <w:pPr>
        <w:spacing w:after="0" w:line="225"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We are the investment manager for certain money market mutual funds that are deemed to be VIEs. We are not the primary beneficiary of these VIEs since our involvement is limited primarily to being a service provider, and our variable interest does not absorb the majority of the variability of the entities’ net assets. As of September 30, 2015 and December 31, 2014, these VIEs held $1.3 billion and $1.4 billion in total assets, respectively. We have no contractual obligation to contribute to the funds.</w:t>
      </w:r>
    </w:p>
    <w:p>
      <w:pPr>
        <w:spacing w:after="0" w:line="187" w:lineRule="exact"/>
        <w:rPr>
          <w:sz w:val="20"/>
          <w:szCs w:val="20"/>
          <w:color w:val="auto"/>
        </w:rPr>
      </w:pPr>
    </w:p>
    <w:p>
      <w:pPr>
        <w:ind w:right="80" w:firstLine="648"/>
        <w:spacing w:after="0" w:line="286" w:lineRule="auto"/>
        <w:rPr>
          <w:sz w:val="20"/>
          <w:szCs w:val="20"/>
          <w:color w:val="auto"/>
        </w:rPr>
      </w:pPr>
      <w:r>
        <w:rPr>
          <w:rFonts w:ascii="Arial" w:cs="Arial" w:eastAsia="Arial" w:hAnsi="Arial"/>
          <w:sz w:val="17"/>
          <w:szCs w:val="17"/>
          <w:color w:val="auto"/>
        </w:rPr>
        <w:t>We provide asset management and other services to certain investment structures for which we earn performance-based management fees. These structures are considered VIEs. We are not the primary beneficiary of these entities as we do not have the obligation to absorb losses of the entities that could be potentially significant to the VIE or the right to receive benefits from these entities that could be potentially significant.</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Investments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Fixed Maturities and Equity Securities</w:t>
      </w:r>
    </w:p>
    <w:p>
      <w:pPr>
        <w:spacing w:after="0" w:line="229" w:lineRule="exact"/>
        <w:rPr>
          <w:sz w:val="20"/>
          <w:szCs w:val="20"/>
          <w:color w:val="auto"/>
        </w:rPr>
      </w:pPr>
    </w:p>
    <w:p>
      <w:pPr>
        <w:ind w:right="140" w:firstLine="648"/>
        <w:spacing w:after="0" w:line="270" w:lineRule="auto"/>
        <w:rPr>
          <w:sz w:val="20"/>
          <w:szCs w:val="20"/>
          <w:color w:val="auto"/>
        </w:rPr>
      </w:pPr>
      <w:r>
        <w:rPr>
          <w:rFonts w:ascii="Arial" w:cs="Arial" w:eastAsia="Arial" w:hAnsi="Arial"/>
          <w:sz w:val="17"/>
          <w:szCs w:val="17"/>
          <w:color w:val="auto"/>
        </w:rPr>
        <w:t>Fixed maturities include bonds, ABS, redeemable preferred stock and certain nonredeemable preferred securities. Equity securities include mutual funds, common stock, nonredeemable preferred stock and regulatory required investments. We classify fixed maturities and equity securities as either available-for-sale or trading at the time of the purchase and, accordingly, carry them at fair value. See Note 10, Fair Value Measurements, for methodologies related to the determination of fair value. Unrealized gains and losses related to available-for-sale securities, excluding those in fair value hedging relationships, are reflected in stockholders’ equity, net of adjustments associated with deferred acquisition costs (“DAC”) and related actuarial balances, derivatives in cash flow hedge relationships and applicable income taxes. Unrealized gains and losses related to hedged portions of available-for-sale securities in fair value hedging relationships and mark-to-market adjustments on certain trading securities are reflected in net realized capital gains (losses). Mark-to-market adjustments related to certain securities carried at fair value with an investment objective to realize economic value through mark-to-market changes are reflected in net investment income.</w:t>
      </w:r>
    </w:p>
    <w:p>
      <w:pPr>
        <w:spacing w:after="0" w:line="182"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The cost of fixed maturities is adjusted for amortization of premiums and accrual of discounts, both computed using the interest method. The cost of fixed maturities and equity securities classified as available-for-sale is adjusted for declines in value that are other than temporary. Impairments in value deemed to be other than temporary are primarily reported in net income as a component of net realized capital gains (losses), with noncredit impairment losses for certain fixed maturities, available-for-sale reported in other comprehensive income (“OCI”). For loan-backed and structured securities, we recognize income using a constant effective yield based on currently anticipated cash flows.</w:t>
      </w:r>
    </w:p>
    <w:p>
      <w:pPr>
        <w:spacing w:after="0" w:line="173"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The amortized cost, gross unrealized gains and losses, other-than-temporary impairments in accumulated other comprehensive income (“AOCI”) and fair value of fixed maturities and equity securities available-for-sale are summarized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20" w:type="dxa"/>
            <w:vAlign w:val="bottom"/>
            <w:vMerge w:val="restart"/>
          </w:tcPr>
          <w:p>
            <w:pPr>
              <w:jc w:val="center"/>
              <w:ind w:right="184"/>
              <w:spacing w:after="0"/>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4"/>
                <w:szCs w:val="14"/>
                <w:color w:val="auto"/>
              </w:rPr>
            </w:pPr>
          </w:p>
        </w:tc>
        <w:tc>
          <w:tcPr>
            <w:tcW w:w="1020" w:type="dxa"/>
            <w:vAlign w:val="bottom"/>
            <w:vMerge w:val="restart"/>
          </w:tcPr>
          <w:p>
            <w:pPr>
              <w:jc w:val="center"/>
              <w:ind w:right="144"/>
              <w:spacing w:after="0"/>
              <w:rPr>
                <w:sz w:val="20"/>
                <w:szCs w:val="20"/>
                <w:color w:val="auto"/>
              </w:rPr>
            </w:pPr>
            <w:r>
              <w:rPr>
                <w:rFonts w:ascii="Arial" w:cs="Arial" w:eastAsia="Arial" w:hAnsi="Arial"/>
                <w:sz w:val="14"/>
                <w:szCs w:val="14"/>
                <w:b w:val="1"/>
                <w:bCs w:val="1"/>
                <w:color w:val="auto"/>
                <w:w w:val="88"/>
              </w:rPr>
              <w:t>Gross</w:t>
            </w: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7"/>
              </w:rPr>
              <w:t>Other-than-</w:t>
            </w: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vMerge w:val="restart"/>
          </w:tcPr>
          <w:p>
            <w:pPr>
              <w:jc w:val="center"/>
              <w:ind w:right="182"/>
              <w:spacing w:after="0"/>
              <w:rPr>
                <w:sz w:val="20"/>
                <w:szCs w:val="20"/>
                <w:color w:val="auto"/>
              </w:rPr>
            </w:pPr>
            <w:r>
              <w:rPr>
                <w:rFonts w:ascii="Arial" w:cs="Arial" w:eastAsia="Arial" w:hAnsi="Arial"/>
                <w:sz w:val="14"/>
                <w:szCs w:val="14"/>
                <w:b w:val="1"/>
                <w:bCs w:val="1"/>
                <w:color w:val="auto"/>
                <w:w w:val="96"/>
              </w:rPr>
              <w:t>Amortized</w:t>
            </w:r>
          </w:p>
        </w:tc>
        <w:tc>
          <w:tcPr>
            <w:tcW w:w="26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6"/>
              </w:rPr>
              <w:t>temporary</w:t>
            </w: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020" w:type="dxa"/>
            <w:vAlign w:val="bottom"/>
          </w:tcPr>
          <w:p>
            <w:pPr>
              <w:jc w:val="center"/>
              <w:ind w:right="184"/>
              <w:spacing w:after="0" w:line="149" w:lineRule="exact"/>
              <w:rPr>
                <w:sz w:val="20"/>
                <w:szCs w:val="20"/>
                <w:color w:val="auto"/>
              </w:rPr>
            </w:pPr>
            <w:r>
              <w:rPr>
                <w:rFonts w:ascii="Arial" w:cs="Arial" w:eastAsia="Arial" w:hAnsi="Arial"/>
                <w:sz w:val="14"/>
                <w:szCs w:val="14"/>
                <w:b w:val="1"/>
                <w:bCs w:val="1"/>
                <w:color w:val="auto"/>
                <w:w w:val="92"/>
              </w:rPr>
              <w:t>unrealized</w:t>
            </w:r>
          </w:p>
        </w:tc>
        <w:tc>
          <w:tcPr>
            <w:tcW w:w="240" w:type="dxa"/>
            <w:vAlign w:val="bottom"/>
          </w:tcPr>
          <w:p>
            <w:pPr>
              <w:spacing w:after="0"/>
              <w:rPr>
                <w:sz w:val="12"/>
                <w:szCs w:val="12"/>
                <w:color w:val="auto"/>
              </w:rPr>
            </w:pPr>
          </w:p>
        </w:tc>
        <w:tc>
          <w:tcPr>
            <w:tcW w:w="1020" w:type="dxa"/>
            <w:vAlign w:val="bottom"/>
          </w:tcPr>
          <w:p>
            <w:pPr>
              <w:jc w:val="center"/>
              <w:ind w:right="144"/>
              <w:spacing w:after="0" w:line="149" w:lineRule="exact"/>
              <w:rPr>
                <w:sz w:val="20"/>
                <w:szCs w:val="20"/>
                <w:color w:val="auto"/>
              </w:rPr>
            </w:pPr>
            <w:r>
              <w:rPr>
                <w:rFonts w:ascii="Arial" w:cs="Arial" w:eastAsia="Arial" w:hAnsi="Arial"/>
                <w:sz w:val="14"/>
                <w:szCs w:val="14"/>
                <w:b w:val="1"/>
                <w:bCs w:val="1"/>
                <w:color w:val="auto"/>
                <w:w w:val="92"/>
              </w:rPr>
              <w:t>unrealized</w:t>
            </w:r>
          </w:p>
        </w:tc>
        <w:tc>
          <w:tcPr>
            <w:tcW w:w="260" w:type="dxa"/>
            <w:vAlign w:val="bottom"/>
          </w:tcPr>
          <w:p>
            <w:pPr>
              <w:spacing w:after="0"/>
              <w:rPr>
                <w:sz w:val="12"/>
                <w:szCs w:val="12"/>
                <w:color w:val="auto"/>
              </w:rPr>
            </w:pPr>
          </w:p>
        </w:tc>
        <w:tc>
          <w:tcPr>
            <w:tcW w:w="960" w:type="dxa"/>
            <w:vAlign w:val="bottom"/>
            <w:vMerge w:val="restart"/>
          </w:tcPr>
          <w:p>
            <w:pPr>
              <w:jc w:val="right"/>
              <w:ind w:right="219"/>
              <w:spacing w:after="0"/>
              <w:rPr>
                <w:sz w:val="20"/>
                <w:szCs w:val="20"/>
                <w:color w:val="auto"/>
              </w:rPr>
            </w:pPr>
            <w:r>
              <w:rPr>
                <w:rFonts w:ascii="Arial" w:cs="Arial" w:eastAsia="Arial" w:hAnsi="Arial"/>
                <w:sz w:val="14"/>
                <w:szCs w:val="14"/>
                <w:b w:val="1"/>
                <w:bCs w:val="1"/>
                <w:color w:val="auto"/>
                <w:w w:val="97"/>
              </w:rPr>
              <w:t>Fair value</w:t>
            </w:r>
          </w:p>
        </w:tc>
        <w:tc>
          <w:tcPr>
            <w:tcW w:w="220" w:type="dxa"/>
            <w:vAlign w:val="bottom"/>
          </w:tcPr>
          <w:p>
            <w:pPr>
              <w:spacing w:after="0"/>
              <w:rPr>
                <w:sz w:val="12"/>
                <w:szCs w:val="12"/>
                <w:color w:val="auto"/>
              </w:rPr>
            </w:pPr>
          </w:p>
        </w:tc>
        <w:tc>
          <w:tcPr>
            <w:tcW w:w="1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4"/>
              </w:rPr>
              <w:t>impairments in</w:t>
            </w:r>
          </w:p>
        </w:tc>
        <w:tc>
          <w:tcPr>
            <w:tcW w:w="0" w:type="dxa"/>
            <w:vAlign w:val="bottom"/>
          </w:tcPr>
          <w:p>
            <w:pPr>
              <w:spacing w:after="0"/>
              <w:rPr>
                <w:sz w:val="1"/>
                <w:szCs w:val="1"/>
                <w:color w:val="auto"/>
              </w:rPr>
            </w:pPr>
          </w:p>
        </w:tc>
      </w:tr>
      <w:tr>
        <w:trPr>
          <w:trHeight w:val="171"/>
        </w:trPr>
        <w:tc>
          <w:tcPr>
            <w:tcW w:w="5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jc w:val="center"/>
              <w:ind w:right="162"/>
              <w:spacing w:after="0"/>
              <w:rPr>
                <w:sz w:val="20"/>
                <w:szCs w:val="20"/>
                <w:color w:val="auto"/>
              </w:rPr>
            </w:pPr>
            <w:r>
              <w:rPr>
                <w:rFonts w:ascii="Arial" w:cs="Arial" w:eastAsia="Arial" w:hAnsi="Arial"/>
                <w:sz w:val="14"/>
                <w:szCs w:val="14"/>
                <w:b w:val="1"/>
                <w:bCs w:val="1"/>
                <w:color w:val="auto"/>
                <w:w w:val="83"/>
              </w:rPr>
              <w:t>cost</w:t>
            </w:r>
          </w:p>
        </w:tc>
        <w:tc>
          <w:tcPr>
            <w:tcW w:w="260" w:type="dxa"/>
            <w:vAlign w:val="bottom"/>
          </w:tcPr>
          <w:p>
            <w:pPr>
              <w:spacing w:after="0"/>
              <w:rPr>
                <w:sz w:val="14"/>
                <w:szCs w:val="14"/>
                <w:color w:val="auto"/>
              </w:rPr>
            </w:pPr>
          </w:p>
        </w:tc>
        <w:tc>
          <w:tcPr>
            <w:tcW w:w="1020" w:type="dxa"/>
            <w:vAlign w:val="bottom"/>
          </w:tcPr>
          <w:p>
            <w:pPr>
              <w:jc w:val="center"/>
              <w:ind w:right="184"/>
              <w:spacing w:after="0"/>
              <w:rPr>
                <w:sz w:val="20"/>
                <w:szCs w:val="20"/>
                <w:color w:val="auto"/>
              </w:rPr>
            </w:pPr>
            <w:r>
              <w:rPr>
                <w:rFonts w:ascii="Arial" w:cs="Arial" w:eastAsia="Arial" w:hAnsi="Arial"/>
                <w:sz w:val="14"/>
                <w:szCs w:val="14"/>
                <w:b w:val="1"/>
                <w:bCs w:val="1"/>
                <w:color w:val="auto"/>
                <w:w w:val="87"/>
              </w:rPr>
              <w:t>gains</w:t>
            </w:r>
          </w:p>
        </w:tc>
        <w:tc>
          <w:tcPr>
            <w:tcW w:w="240" w:type="dxa"/>
            <w:vAlign w:val="bottom"/>
          </w:tcPr>
          <w:p>
            <w:pPr>
              <w:spacing w:after="0"/>
              <w:rPr>
                <w:sz w:val="14"/>
                <w:szCs w:val="14"/>
                <w:color w:val="auto"/>
              </w:rPr>
            </w:pPr>
          </w:p>
        </w:tc>
        <w:tc>
          <w:tcPr>
            <w:tcW w:w="1020" w:type="dxa"/>
            <w:vAlign w:val="bottom"/>
          </w:tcPr>
          <w:p>
            <w:pPr>
              <w:jc w:val="center"/>
              <w:ind w:right="164"/>
              <w:spacing w:after="0"/>
              <w:rPr>
                <w:sz w:val="20"/>
                <w:szCs w:val="20"/>
                <w:color w:val="auto"/>
              </w:rPr>
            </w:pPr>
            <w:r>
              <w:rPr>
                <w:rFonts w:ascii="Arial" w:cs="Arial" w:eastAsia="Arial" w:hAnsi="Arial"/>
                <w:sz w:val="14"/>
                <w:szCs w:val="14"/>
                <w:b w:val="1"/>
                <w:bCs w:val="1"/>
                <w:color w:val="auto"/>
                <w:w w:val="77"/>
              </w:rPr>
              <w:t>losses</w:t>
            </w:r>
          </w:p>
        </w:tc>
        <w:tc>
          <w:tcPr>
            <w:tcW w:w="260" w:type="dxa"/>
            <w:vAlign w:val="bottom"/>
          </w:tcPr>
          <w:p>
            <w:pPr>
              <w:spacing w:after="0"/>
              <w:rPr>
                <w:sz w:val="14"/>
                <w:szCs w:val="14"/>
                <w:color w:val="auto"/>
              </w:rPr>
            </w:pPr>
          </w:p>
        </w:tc>
        <w:tc>
          <w:tcPr>
            <w:tcW w:w="96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rPr>
              <w:t>AOCI (1)</w:t>
            </w:r>
          </w:p>
        </w:tc>
        <w:tc>
          <w:tcPr>
            <w:tcW w:w="0" w:type="dxa"/>
            <w:vAlign w:val="bottom"/>
          </w:tcPr>
          <w:p>
            <w:pPr>
              <w:spacing w:after="0"/>
              <w:rPr>
                <w:sz w:val="1"/>
                <w:szCs w:val="1"/>
                <w:color w:val="auto"/>
              </w:rPr>
            </w:pPr>
          </w:p>
        </w:tc>
      </w:tr>
      <w:tr>
        <w:trPr>
          <w:trHeight w:val="142"/>
        </w:trPr>
        <w:tc>
          <w:tcPr>
            <w:tcW w:w="5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jc w:val="center"/>
              <w:ind w:right="124"/>
              <w:spacing w:after="0" w:line="142" w:lineRule="exact"/>
              <w:rPr>
                <w:sz w:val="20"/>
                <w:szCs w:val="20"/>
                <w:color w:val="auto"/>
              </w:rPr>
            </w:pPr>
            <w:r>
              <w:rPr>
                <w:rFonts w:ascii="Arial" w:cs="Arial" w:eastAsia="Arial" w:hAnsi="Arial"/>
                <w:sz w:val="14"/>
                <w:szCs w:val="14"/>
                <w:b w:val="1"/>
                <w:bCs w:val="1"/>
                <w:color w:val="auto"/>
                <w:w w:val="94"/>
              </w:rPr>
              <w:t>(in millions)</w:t>
            </w:r>
          </w:p>
        </w:tc>
        <w:tc>
          <w:tcPr>
            <w:tcW w:w="2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September 30, 2015</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U.S. government and agencies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shd w:val="clear" w:color="auto" w:fill="CCEEFF"/>
          </w:tcPr>
          <w:p>
            <w:pPr>
              <w:jc w:val="right"/>
              <w:ind w:right="22"/>
              <w:spacing w:after="0"/>
              <w:rPr>
                <w:sz w:val="20"/>
                <w:szCs w:val="20"/>
                <w:color w:val="auto"/>
              </w:rPr>
            </w:pPr>
            <w:r>
              <w:rPr>
                <w:rFonts w:ascii="Arial" w:cs="Arial" w:eastAsia="Arial" w:hAnsi="Arial"/>
                <w:sz w:val="18"/>
                <w:szCs w:val="18"/>
                <w:b w:val="1"/>
                <w:bCs w:val="1"/>
                <w:color w:val="auto"/>
              </w:rPr>
              <w:t>1,507.6</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shd w:val="clear" w:color="auto" w:fill="CCEEFF"/>
          </w:tcPr>
          <w:p>
            <w:pPr>
              <w:jc w:val="right"/>
              <w:ind w:right="44"/>
              <w:spacing w:after="0"/>
              <w:rPr>
                <w:sz w:val="20"/>
                <w:szCs w:val="20"/>
                <w:color w:val="auto"/>
              </w:rPr>
            </w:pPr>
            <w:r>
              <w:rPr>
                <w:rFonts w:ascii="Arial" w:cs="Arial" w:eastAsia="Arial" w:hAnsi="Arial"/>
                <w:sz w:val="18"/>
                <w:szCs w:val="18"/>
                <w:b w:val="1"/>
                <w:bCs w:val="1"/>
                <w:color w:val="auto"/>
              </w:rPr>
              <w:t>39.7</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shd w:val="clear" w:color="auto" w:fill="CCEEFF"/>
          </w:tcPr>
          <w:p>
            <w:pPr>
              <w:jc w:val="right"/>
              <w:ind w:right="24"/>
              <w:spacing w:after="0"/>
              <w:rPr>
                <w:sz w:val="20"/>
                <w:szCs w:val="20"/>
                <w:color w:val="auto"/>
              </w:rPr>
            </w:pPr>
            <w:r>
              <w:rPr>
                <w:rFonts w:ascii="Arial" w:cs="Arial" w:eastAsia="Arial" w:hAnsi="Arial"/>
                <w:sz w:val="18"/>
                <w:szCs w:val="18"/>
                <w:b w:val="1"/>
                <w:bCs w:val="1"/>
                <w:color w:val="auto"/>
              </w:rPr>
              <w:t>3.7</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CEEFF"/>
          </w:tcPr>
          <w:p>
            <w:pPr>
              <w:jc w:val="right"/>
              <w:ind w:right="19"/>
              <w:spacing w:after="0"/>
              <w:rPr>
                <w:sz w:val="20"/>
                <w:szCs w:val="20"/>
                <w:color w:val="auto"/>
              </w:rPr>
            </w:pPr>
            <w:r>
              <w:rPr>
                <w:rFonts w:ascii="Arial" w:cs="Arial" w:eastAsia="Arial" w:hAnsi="Arial"/>
                <w:sz w:val="18"/>
                <w:szCs w:val="18"/>
                <w:b w:val="1"/>
                <w:bCs w:val="1"/>
                <w:color w:val="auto"/>
              </w:rPr>
              <w:t>1,543.6</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40" w:type="dxa"/>
            <w:vAlign w:val="bottom"/>
            <w:gridSpan w:val="2"/>
            <w:shd w:val="clear" w:color="auto" w:fill="CCEEFF"/>
          </w:tcPr>
          <w:p>
            <w:pPr>
              <w:ind w:left="86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bl>
    <w:p>
      <w:pPr>
        <w:sectPr>
          <w:pgSz w:w="11900" w:h="16838" w:orient="portrait"/>
          <w:cols w:equalWidth="0" w:num="1">
            <w:col w:w="11420"/>
          </w:cols>
          <w:pgMar w:left="240" w:top="140" w:right="239" w:bottom="0" w:gutter="0" w:footer="0" w:header="0"/>
        </w:sectPr>
      </w:pPr>
    </w:p>
    <w:bookmarkStart w:id="10" w:name="page11"/>
    <w:bookmarkEnd w:id="10"/>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ind w:left="180"/>
              <w:spacing w:after="0"/>
              <w:rPr>
                <w:sz w:val="20"/>
                <w:szCs w:val="20"/>
                <w:color w:val="auto"/>
              </w:rPr>
            </w:pPr>
            <w:r>
              <w:rPr>
                <w:rFonts w:ascii="Arial" w:cs="Arial" w:eastAsia="Arial" w:hAnsi="Arial"/>
                <w:sz w:val="18"/>
                <w:szCs w:val="18"/>
                <w:color w:val="auto"/>
              </w:rPr>
              <w:t>Non-U.S. governments</w:t>
            </w:r>
          </w:p>
        </w:tc>
        <w:tc>
          <w:tcPr>
            <w:tcW w:w="240" w:type="dxa"/>
            <w:vAlign w:val="bottom"/>
          </w:tcPr>
          <w:p>
            <w:pPr>
              <w:spacing w:after="0"/>
              <w:rPr>
                <w:sz w:val="20"/>
                <w:szCs w:val="20"/>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645.6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145.3</w:t>
            </w:r>
          </w:p>
        </w:tc>
        <w:tc>
          <w:tcPr>
            <w:tcW w:w="36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3.2</w:t>
            </w: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787.7</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States and political subdivisions</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4,245.0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231.4</w:t>
            </w:r>
          </w:p>
        </w:tc>
        <w:tc>
          <w:tcPr>
            <w:tcW w:w="3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20.7</w:t>
            </w: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4,455.7</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tcPr>
          <w:p>
            <w:pPr>
              <w:ind w:left="180"/>
              <w:spacing w:after="0"/>
              <w:rPr>
                <w:sz w:val="20"/>
                <w:szCs w:val="20"/>
                <w:color w:val="auto"/>
              </w:rPr>
            </w:pPr>
            <w:r>
              <w:rPr>
                <w:rFonts w:ascii="Arial" w:cs="Arial" w:eastAsia="Arial" w:hAnsi="Arial"/>
                <w:sz w:val="18"/>
                <w:szCs w:val="18"/>
                <w:color w:val="auto"/>
              </w:rPr>
              <w:t>Corporate</w:t>
            </w:r>
          </w:p>
        </w:tc>
        <w:tc>
          <w:tcPr>
            <w:tcW w:w="2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29,851.0</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1,866.9</w:t>
            </w:r>
          </w:p>
        </w:tc>
        <w:tc>
          <w:tcPr>
            <w:tcW w:w="3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439.2</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31,278.7</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Residential mortgage-backed pass-through securities</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2,572.2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113.0</w:t>
            </w: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5.0</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2,680.2</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tcPr>
          <w:p>
            <w:pPr>
              <w:ind w:left="180"/>
              <w:spacing w:after="0"/>
              <w:rPr>
                <w:sz w:val="20"/>
                <w:szCs w:val="20"/>
                <w:color w:val="auto"/>
              </w:rPr>
            </w:pPr>
            <w:r>
              <w:rPr>
                <w:rFonts w:ascii="Arial" w:cs="Arial" w:eastAsia="Arial" w:hAnsi="Arial"/>
                <w:sz w:val="18"/>
                <w:szCs w:val="18"/>
                <w:color w:val="auto"/>
              </w:rPr>
              <w:t>Commercial mortgage-backed securities</w:t>
            </w: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3,808.8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103.0</w:t>
            </w:r>
          </w:p>
        </w:tc>
        <w:tc>
          <w:tcPr>
            <w:tcW w:w="36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50.6</w:t>
            </w:r>
          </w:p>
        </w:tc>
        <w:tc>
          <w:tcPr>
            <w:tcW w:w="2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3,861.2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Collateralized debt obligations</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655.9</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1.2</w:t>
            </w:r>
          </w:p>
        </w:tc>
        <w:tc>
          <w:tcPr>
            <w:tcW w:w="3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24.1</w:t>
            </w: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633.0</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tcPr>
          <w:p>
            <w:pPr>
              <w:ind w:left="180"/>
              <w:spacing w:after="0"/>
              <w:rPr>
                <w:sz w:val="20"/>
                <w:szCs w:val="20"/>
                <w:color w:val="auto"/>
              </w:rPr>
            </w:pPr>
            <w:r>
              <w:rPr>
                <w:rFonts w:ascii="Arial" w:cs="Arial" w:eastAsia="Arial" w:hAnsi="Arial"/>
                <w:sz w:val="18"/>
                <w:szCs w:val="18"/>
                <w:color w:val="auto"/>
              </w:rPr>
              <w:t>Other debt obligations</w:t>
            </w: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4,499.4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60.8</w:t>
            </w:r>
          </w:p>
        </w:tc>
        <w:tc>
          <w:tcPr>
            <w:tcW w:w="36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19.7</w:t>
            </w:r>
          </w:p>
        </w:tc>
        <w:tc>
          <w:tcPr>
            <w:tcW w:w="2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4,540.5</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1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47,785.5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2,561.3</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05"/>
              <w:spacing w:after="0"/>
              <w:rPr>
                <w:sz w:val="20"/>
                <w:szCs w:val="20"/>
                <w:color w:val="auto"/>
              </w:rPr>
            </w:pPr>
            <w:r>
              <w:rPr>
                <w:rFonts w:ascii="Arial" w:cs="Arial" w:eastAsia="Arial" w:hAnsi="Arial"/>
                <w:sz w:val="15"/>
                <w:szCs w:val="15"/>
                <w:b w:val="1"/>
                <w:bCs w:val="1"/>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566.2</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49,780.6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ind w:right="245"/>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147.5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160" w:type="dxa"/>
            <w:vAlign w:val="bottom"/>
            <w:vMerge w:val="restart"/>
          </w:tcPr>
          <w:p>
            <w:pPr>
              <w:spacing w:after="0"/>
              <w:rPr>
                <w:sz w:val="20"/>
                <w:szCs w:val="20"/>
                <w:color w:val="auto"/>
              </w:rPr>
            </w:pPr>
            <w:r>
              <w:rPr>
                <w:rFonts w:ascii="Arial" w:cs="Arial" w:eastAsia="Arial" w:hAnsi="Arial"/>
                <w:sz w:val="18"/>
                <w:szCs w:val="18"/>
                <w:color w:val="auto"/>
              </w:rPr>
              <w:t>Total equity securities, available-for-sale</w:t>
            </w: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5160" w:type="dxa"/>
            <w:vAlign w:val="bottom"/>
            <w:tcBorders>
              <w:bottom w:val="single" w:sz="8" w:color="CCEEFF"/>
            </w:tcBorders>
            <w:vMerge w:val="continue"/>
          </w:tcPr>
          <w:p>
            <w:pPr>
              <w:spacing w:after="0"/>
              <w:rPr>
                <w:sz w:val="20"/>
                <w:szCs w:val="20"/>
                <w:color w:val="auto"/>
              </w:rPr>
            </w:pPr>
          </w:p>
        </w:tc>
        <w:tc>
          <w:tcPr>
            <w:tcW w:w="240" w:type="dxa"/>
            <w:vAlign w:val="bottom"/>
            <w:tcBorders>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469.1</w:t>
            </w:r>
          </w:p>
        </w:tc>
        <w:tc>
          <w:tcPr>
            <w:tcW w:w="100" w:type="dxa"/>
            <w:vAlign w:val="bottom"/>
            <w:tcBorders>
              <w:bottom w:val="single" w:sz="8" w:color="CCEEFF"/>
            </w:tcBorders>
            <w:vMerge w:val="continue"/>
          </w:tcPr>
          <w:p>
            <w:pPr>
              <w:spacing w:after="0"/>
              <w:rPr>
                <w:sz w:val="20"/>
                <w:szCs w:val="20"/>
                <w:color w:val="auto"/>
              </w:rPr>
            </w:pPr>
          </w:p>
        </w:tc>
        <w:tc>
          <w:tcPr>
            <w:tcW w:w="120" w:type="dxa"/>
            <w:vAlign w:val="bottom"/>
            <w:tcBorders>
              <w:bottom w:val="single" w:sz="8" w:color="CCEEFF"/>
            </w:tcBorders>
            <w:vMerge w:val="continue"/>
          </w:tcPr>
          <w:p>
            <w:pPr>
              <w:spacing w:after="0"/>
              <w:rPr>
                <w:sz w:val="20"/>
                <w:szCs w:val="20"/>
                <w:color w:val="auto"/>
              </w:rPr>
            </w:pPr>
          </w:p>
        </w:tc>
        <w:tc>
          <w:tcPr>
            <w:tcW w:w="30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b w:val="1"/>
                <w:bCs w:val="1"/>
                <w:color w:val="auto"/>
                <w:w w:val="79"/>
              </w:rPr>
              <w:t>$</w:t>
            </w:r>
          </w:p>
        </w:tc>
        <w:tc>
          <w:tcPr>
            <w:tcW w:w="7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8.5</w:t>
            </w:r>
          </w:p>
        </w:tc>
        <w:tc>
          <w:tcPr>
            <w:tcW w:w="240" w:type="dxa"/>
            <w:vAlign w:val="bottom"/>
            <w:tcBorders>
              <w:bottom w:val="single" w:sz="8" w:color="CCEEFF"/>
            </w:tcBorders>
            <w:vMerge w:val="continue"/>
          </w:tcPr>
          <w:p>
            <w:pPr>
              <w:spacing w:after="0"/>
              <w:rPr>
                <w:sz w:val="20"/>
                <w:szCs w:val="20"/>
                <w:color w:val="auto"/>
              </w:rPr>
            </w:pPr>
          </w:p>
        </w:tc>
        <w:tc>
          <w:tcPr>
            <w:tcW w:w="360" w:type="dxa"/>
            <w:vAlign w:val="bottom"/>
            <w:tcBorders>
              <w:bottom w:val="single" w:sz="8" w:color="auto"/>
            </w:tcBorders>
          </w:tcPr>
          <w:p>
            <w:pPr>
              <w:jc w:val="right"/>
              <w:ind w:right="205"/>
              <w:spacing w:after="0"/>
              <w:rPr>
                <w:sz w:val="20"/>
                <w:szCs w:val="20"/>
                <w:color w:val="auto"/>
              </w:rPr>
            </w:pPr>
            <w:r>
              <w:rPr>
                <w:rFonts w:ascii="Arial" w:cs="Arial" w:eastAsia="Arial" w:hAnsi="Arial"/>
                <w:sz w:val="15"/>
                <w:szCs w:val="15"/>
                <w:b w:val="1"/>
                <w:bCs w:val="1"/>
                <w:color w:val="auto"/>
                <w:w w:val="71"/>
              </w:rPr>
              <w:t>$</w:t>
            </w: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12.3</w:t>
            </w:r>
          </w:p>
        </w:tc>
        <w:tc>
          <w:tcPr>
            <w:tcW w:w="200" w:type="dxa"/>
            <w:vAlign w:val="bottom"/>
            <w:tcBorders>
              <w:bottom w:val="single" w:sz="8" w:color="CCEEFF"/>
            </w:tcBorders>
            <w:vMerge w:val="continue"/>
          </w:tcPr>
          <w:p>
            <w:pPr>
              <w:spacing w:after="0"/>
              <w:rPr>
                <w:sz w:val="20"/>
                <w:szCs w:val="20"/>
                <w:color w:val="auto"/>
              </w:rPr>
            </w:pPr>
          </w:p>
        </w:tc>
        <w:tc>
          <w:tcPr>
            <w:tcW w:w="24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b w:val="1"/>
                <w:bCs w:val="1"/>
                <w:color w:val="auto"/>
                <w:w w:val="79"/>
              </w:rPr>
              <w:t>$</w:t>
            </w:r>
          </w:p>
        </w:tc>
        <w:tc>
          <w:tcPr>
            <w:tcW w:w="7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465.3</w:t>
            </w:r>
          </w:p>
        </w:tc>
        <w:tc>
          <w:tcPr>
            <w:tcW w:w="100" w:type="dxa"/>
            <w:vAlign w:val="bottom"/>
            <w:tcBorders>
              <w:bottom w:val="single" w:sz="8" w:color="CCEEFF"/>
            </w:tcBorders>
            <w:vMerge w:val="continue"/>
          </w:tcPr>
          <w:p>
            <w:pPr>
              <w:spacing w:after="0"/>
              <w:rPr>
                <w:sz w:val="20"/>
                <w:szCs w:val="20"/>
                <w:color w:val="auto"/>
              </w:rPr>
            </w:pPr>
          </w:p>
        </w:tc>
        <w:tc>
          <w:tcPr>
            <w:tcW w:w="120" w:type="dxa"/>
            <w:vAlign w:val="bottom"/>
            <w:tcBorders>
              <w:bottom w:val="single" w:sz="8" w:color="CCEEFF"/>
            </w:tcBorders>
          </w:tcPr>
          <w:p>
            <w:pPr>
              <w:spacing w:after="0"/>
              <w:rPr>
                <w:sz w:val="20"/>
                <w:szCs w:val="20"/>
                <w:color w:val="auto"/>
              </w:rPr>
            </w:pPr>
          </w:p>
        </w:tc>
        <w:tc>
          <w:tcPr>
            <w:tcW w:w="400" w:type="dxa"/>
            <w:vAlign w:val="bottom"/>
            <w:tcBorders>
              <w:bottom w:val="single" w:sz="8" w:color="CCEEFF"/>
            </w:tcBorders>
          </w:tcPr>
          <w:p>
            <w:pPr>
              <w:spacing w:after="0"/>
              <w:rPr>
                <w:sz w:val="20"/>
                <w:szCs w:val="20"/>
                <w:color w:val="auto"/>
              </w:rPr>
            </w:pPr>
          </w:p>
        </w:tc>
        <w:tc>
          <w:tcPr>
            <w:tcW w:w="740" w:type="dxa"/>
            <w:vAlign w:val="bottom"/>
            <w:tcBorders>
              <w:bottom w:val="single" w:sz="8" w:color="CCEEFF"/>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5160" w:type="dxa"/>
            <w:vAlign w:val="bottom"/>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December 31, 2014</w:t>
            </w:r>
          </w:p>
        </w:tc>
        <w:tc>
          <w:tcPr>
            <w:tcW w:w="2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516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U.S. government and agencies</w:t>
            </w: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1,085.6</w:t>
            </w:r>
          </w:p>
        </w:tc>
        <w:tc>
          <w:tcPr>
            <w:tcW w:w="10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39.1</w:t>
            </w:r>
          </w:p>
        </w:tc>
        <w:tc>
          <w:tcPr>
            <w:tcW w:w="360" w:type="dxa"/>
            <w:vAlign w:val="bottom"/>
            <w:shd w:val="clear" w:color="auto" w:fill="CCEEFF"/>
          </w:tcPr>
          <w:p>
            <w:pPr>
              <w:jc w:val="right"/>
              <w:ind w:right="205"/>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1,121.8</w:t>
            </w:r>
          </w:p>
        </w:tc>
        <w:tc>
          <w:tcPr>
            <w:tcW w:w="520" w:type="dxa"/>
            <w:vAlign w:val="bottom"/>
            <w:gridSpan w:val="2"/>
            <w:shd w:val="clear" w:color="auto" w:fill="CCEEFF"/>
          </w:tcPr>
          <w:p>
            <w:pPr>
              <w:jc w:val="right"/>
              <w:ind w:right="245"/>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tcPr>
          <w:p>
            <w:pPr>
              <w:ind w:left="180"/>
              <w:spacing w:after="0"/>
              <w:rPr>
                <w:sz w:val="20"/>
                <w:szCs w:val="20"/>
                <w:color w:val="auto"/>
              </w:rPr>
            </w:pPr>
            <w:r>
              <w:rPr>
                <w:rFonts w:ascii="Arial" w:cs="Arial" w:eastAsia="Arial" w:hAnsi="Arial"/>
                <w:sz w:val="18"/>
                <w:szCs w:val="18"/>
                <w:color w:val="auto"/>
              </w:rPr>
              <w:t>Non-U.S. governments</w:t>
            </w:r>
          </w:p>
        </w:tc>
        <w:tc>
          <w:tcPr>
            <w:tcW w:w="2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704.4</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188.3</w:t>
            </w:r>
          </w:p>
        </w:tc>
        <w:tc>
          <w:tcPr>
            <w:tcW w:w="3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1.6</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891.1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States and political subdivisions</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3,916.8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291.3</w:t>
            </w: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4,204.0</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tcPr>
          <w:p>
            <w:pPr>
              <w:ind w:left="180"/>
              <w:spacing w:after="0"/>
              <w:rPr>
                <w:sz w:val="20"/>
                <w:szCs w:val="20"/>
                <w:color w:val="auto"/>
              </w:rPr>
            </w:pPr>
            <w:r>
              <w:rPr>
                <w:rFonts w:ascii="Arial" w:cs="Arial" w:eastAsia="Arial" w:hAnsi="Arial"/>
                <w:sz w:val="18"/>
                <w:szCs w:val="18"/>
                <w:color w:val="auto"/>
              </w:rPr>
              <w:t>Corporate</w:t>
            </w:r>
          </w:p>
        </w:tc>
        <w:tc>
          <w:tcPr>
            <w:tcW w:w="2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29,308.3</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2,442.6</w:t>
            </w:r>
          </w:p>
        </w:tc>
        <w:tc>
          <w:tcPr>
            <w:tcW w:w="3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215.9</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31,535.0</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18.4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Residential mortgage-backed pass-through securities</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2,702.9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126.3</w:t>
            </w: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2,822.9</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tcPr>
          <w:p>
            <w:pPr>
              <w:ind w:left="180"/>
              <w:spacing w:after="0"/>
              <w:rPr>
                <w:sz w:val="20"/>
                <w:szCs w:val="20"/>
                <w:color w:val="auto"/>
              </w:rPr>
            </w:pPr>
            <w:r>
              <w:rPr>
                <w:rFonts w:ascii="Arial" w:cs="Arial" w:eastAsia="Arial" w:hAnsi="Arial"/>
                <w:sz w:val="18"/>
                <w:szCs w:val="18"/>
                <w:color w:val="auto"/>
              </w:rPr>
              <w:t>Commercial mortgage-backed securities</w:t>
            </w: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3,896.9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141.5</w:t>
            </w:r>
          </w:p>
        </w:tc>
        <w:tc>
          <w:tcPr>
            <w:tcW w:w="36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62.9</w:t>
            </w:r>
          </w:p>
        </w:tc>
        <w:tc>
          <w:tcPr>
            <w:tcW w:w="2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3,975.5</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88.9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Collateralized debt obligations</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521.2</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3.5</w:t>
            </w:r>
          </w:p>
        </w:tc>
        <w:tc>
          <w:tcPr>
            <w:tcW w:w="3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20.6</w:t>
            </w: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504.1</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60" w:type="dxa"/>
            <w:vAlign w:val="bottom"/>
          </w:tcPr>
          <w:p>
            <w:pPr>
              <w:ind w:left="180"/>
              <w:spacing w:after="0"/>
              <w:rPr>
                <w:sz w:val="20"/>
                <w:szCs w:val="20"/>
                <w:color w:val="auto"/>
              </w:rPr>
            </w:pPr>
            <w:r>
              <w:rPr>
                <w:rFonts w:ascii="Arial" w:cs="Arial" w:eastAsia="Arial" w:hAnsi="Arial"/>
                <w:sz w:val="18"/>
                <w:szCs w:val="18"/>
                <w:color w:val="auto"/>
              </w:rPr>
              <w:t>Other debt obligations</w:t>
            </w: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4,583.4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57.5</w:t>
            </w:r>
          </w:p>
        </w:tc>
        <w:tc>
          <w:tcPr>
            <w:tcW w:w="36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24.5</w:t>
            </w:r>
          </w:p>
        </w:tc>
        <w:tc>
          <w:tcPr>
            <w:tcW w:w="2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4,616.4</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66.9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1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46,719.5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3,290.1</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05"/>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338.8</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49,670.8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ind w:right="24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175.5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160" w:type="dxa"/>
            <w:vAlign w:val="bottom"/>
            <w:vMerge w:val="restart"/>
          </w:tcPr>
          <w:p>
            <w:pPr>
              <w:spacing w:after="0"/>
              <w:rPr>
                <w:sz w:val="20"/>
                <w:szCs w:val="20"/>
                <w:color w:val="auto"/>
              </w:rPr>
            </w:pPr>
            <w:r>
              <w:rPr>
                <w:rFonts w:ascii="Arial" w:cs="Arial" w:eastAsia="Arial" w:hAnsi="Arial"/>
                <w:sz w:val="18"/>
                <w:szCs w:val="18"/>
                <w:color w:val="auto"/>
              </w:rPr>
              <w:t>Total equity securities, available-for-sale</w:t>
            </w: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160" w:type="dxa"/>
            <w:vAlign w:val="bottom"/>
            <w:vMerge w:val="continue"/>
          </w:tcPr>
          <w:p>
            <w:pPr>
              <w:spacing w:after="0"/>
              <w:rPr>
                <w:sz w:val="17"/>
                <w:szCs w:val="17"/>
                <w:color w:val="auto"/>
              </w:rPr>
            </w:pPr>
          </w:p>
        </w:tc>
        <w:tc>
          <w:tcPr>
            <w:tcW w:w="240" w:type="dxa"/>
            <w:vAlign w:val="bottom"/>
            <w:tcBorders>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125.1</w:t>
            </w:r>
          </w:p>
        </w:tc>
        <w:tc>
          <w:tcPr>
            <w:tcW w:w="1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30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7.7</w:t>
            </w:r>
          </w:p>
        </w:tc>
        <w:tc>
          <w:tcPr>
            <w:tcW w:w="240" w:type="dxa"/>
            <w:vAlign w:val="bottom"/>
            <w:vMerge w:val="continue"/>
          </w:tcPr>
          <w:p>
            <w:pPr>
              <w:spacing w:after="0"/>
              <w:rPr>
                <w:sz w:val="17"/>
                <w:szCs w:val="17"/>
                <w:color w:val="auto"/>
              </w:rPr>
            </w:pPr>
          </w:p>
        </w:tc>
        <w:tc>
          <w:tcPr>
            <w:tcW w:w="360" w:type="dxa"/>
            <w:vAlign w:val="bottom"/>
            <w:tcBorders>
              <w:bottom w:val="single" w:sz="8" w:color="auto"/>
            </w:tcBorders>
          </w:tcPr>
          <w:p>
            <w:pPr>
              <w:jc w:val="right"/>
              <w:ind w:right="205"/>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9.8</w:t>
            </w:r>
          </w:p>
        </w:tc>
        <w:tc>
          <w:tcPr>
            <w:tcW w:w="200" w:type="dxa"/>
            <w:vAlign w:val="bottom"/>
          </w:tcPr>
          <w:p>
            <w:pPr>
              <w:spacing w:after="0"/>
              <w:rPr>
                <w:sz w:val="17"/>
                <w:szCs w:val="17"/>
                <w:color w:val="auto"/>
              </w:rPr>
            </w:pPr>
          </w:p>
        </w:tc>
        <w:tc>
          <w:tcPr>
            <w:tcW w:w="24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123.0</w:t>
            </w:r>
          </w:p>
        </w:tc>
        <w:tc>
          <w:tcPr>
            <w:tcW w:w="10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31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51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40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211455</wp:posOffset>
            </wp:positionV>
            <wp:extent cx="182689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20" w:lineRule="exact"/>
        <w:rPr>
          <w:sz w:val="20"/>
          <w:szCs w:val="20"/>
          <w:color w:val="auto"/>
        </w:rPr>
      </w:pPr>
    </w:p>
    <w:p>
      <w:pPr>
        <w:jc w:val="both"/>
        <w:ind w:left="340" w:right="280" w:hanging="332"/>
        <w:spacing w:after="0" w:line="264" w:lineRule="auto"/>
        <w:tabs>
          <w:tab w:leader="none" w:pos="347" w:val="left"/>
        </w:tabs>
        <w:numPr>
          <w:ilvl w:val="0"/>
          <w:numId w:val="5"/>
        </w:numPr>
        <w:rPr>
          <w:rFonts w:ascii="Arial" w:cs="Arial" w:eastAsia="Arial" w:hAnsi="Arial"/>
          <w:sz w:val="18"/>
          <w:szCs w:val="18"/>
          <w:color w:val="auto"/>
        </w:rPr>
      </w:pPr>
      <w:r>
        <w:rPr>
          <w:rFonts w:ascii="Arial" w:cs="Arial" w:eastAsia="Arial" w:hAnsi="Arial"/>
          <w:sz w:val="18"/>
          <w:szCs w:val="18"/>
          <w:color w:val="auto"/>
        </w:rPr>
        <w:t>Excludes $144.5 million and $167.5 million as of September 30, 2015 and December 31, 2014, respectively, of net unrealized gains on impaired fixed maturities, available-for-sale related to changes in fair value subsequent to the impairment date, which are included in gross unrealized gains and gross unrealized losses.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amortized cost and fair value of fixed maturities available-for-sale at September 30, 2015, by expected maturity, were as follows: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00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00" w:type="dxa"/>
            <w:vAlign w:val="bottom"/>
            <w:gridSpan w:val="2"/>
          </w:tcPr>
          <w:p>
            <w:pPr>
              <w:ind w:left="60"/>
              <w:spacing w:after="0"/>
              <w:rPr>
                <w:sz w:val="20"/>
                <w:szCs w:val="20"/>
                <w:color w:val="auto"/>
              </w:rPr>
            </w:pPr>
            <w:r>
              <w:rPr>
                <w:rFonts w:ascii="Arial" w:cs="Arial" w:eastAsia="Arial" w:hAnsi="Arial"/>
                <w:sz w:val="14"/>
                <w:szCs w:val="14"/>
                <w:b w:val="1"/>
                <w:bCs w:val="1"/>
                <w:color w:val="auto"/>
              </w:rPr>
              <w:t>Amortized cost</w:t>
            </w:r>
          </w:p>
        </w:tc>
        <w:tc>
          <w:tcPr>
            <w:tcW w:w="300" w:type="dxa"/>
            <w:vAlign w:val="bottom"/>
          </w:tcPr>
          <w:p>
            <w:pPr>
              <w:spacing w:after="0"/>
              <w:rPr>
                <w:sz w:val="14"/>
                <w:szCs w:val="14"/>
                <w:color w:val="auto"/>
              </w:rPr>
            </w:pPr>
          </w:p>
        </w:tc>
        <w:tc>
          <w:tcPr>
            <w:tcW w:w="1160" w:type="dxa"/>
            <w:vAlign w:val="bottom"/>
            <w:gridSpan w:val="2"/>
          </w:tcPr>
          <w:p>
            <w:pPr>
              <w:ind w:left="60"/>
              <w:spacing w:after="0"/>
              <w:rPr>
                <w:sz w:val="20"/>
                <w:szCs w:val="20"/>
                <w:color w:val="auto"/>
              </w:rPr>
            </w:pPr>
            <w:r>
              <w:rPr>
                <w:rFonts w:ascii="Arial" w:cs="Arial" w:eastAsia="Arial" w:hAnsi="Arial"/>
                <w:sz w:val="14"/>
                <w:szCs w:val="14"/>
                <w:b w:val="1"/>
                <w:bCs w:val="1"/>
                <w:color w:val="auto"/>
              </w:rPr>
              <w:t>Fair value</w:t>
            </w:r>
          </w:p>
        </w:tc>
      </w:tr>
      <w:tr>
        <w:trPr>
          <w:trHeight w:val="142"/>
        </w:trPr>
        <w:tc>
          <w:tcPr>
            <w:tcW w:w="600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80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10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Due in one year or less</w:t>
            </w:r>
          </w:p>
        </w:tc>
        <w:tc>
          <w:tcPr>
            <w:tcW w:w="24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5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2,649.9</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2,679.5</w:t>
            </w:r>
          </w:p>
        </w:tc>
      </w:tr>
      <w:tr>
        <w:trPr>
          <w:trHeight w:val="216"/>
        </w:trPr>
        <w:tc>
          <w:tcPr>
            <w:tcW w:w="6000" w:type="dxa"/>
            <w:vAlign w:val="bottom"/>
          </w:tcPr>
          <w:p>
            <w:pPr>
              <w:spacing w:after="0"/>
              <w:rPr>
                <w:sz w:val="20"/>
                <w:szCs w:val="20"/>
                <w:color w:val="auto"/>
              </w:rPr>
            </w:pPr>
            <w:r>
              <w:rPr>
                <w:rFonts w:ascii="Arial" w:cs="Arial" w:eastAsia="Arial" w:hAnsi="Arial"/>
                <w:sz w:val="18"/>
                <w:szCs w:val="18"/>
                <w:color w:val="auto"/>
              </w:rPr>
              <w:t>Due after one year through five years</w:t>
            </w:r>
          </w:p>
        </w:tc>
        <w:tc>
          <w:tcPr>
            <w:tcW w:w="2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13,017.0</w:t>
            </w:r>
          </w:p>
        </w:tc>
        <w:tc>
          <w:tcPr>
            <w:tcW w:w="3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13,461.3</w:t>
            </w:r>
          </w:p>
        </w:tc>
      </w:tr>
      <w:tr>
        <w:trPr>
          <w:trHeight w:val="216"/>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Due after five years through ten years</w:t>
            </w:r>
          </w:p>
        </w:tc>
        <w:tc>
          <w:tcPr>
            <w:tcW w:w="2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8,303.2</w:t>
            </w:r>
          </w:p>
        </w:tc>
        <w:tc>
          <w:tcPr>
            <w:tcW w:w="3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8,581.8</w:t>
            </w:r>
          </w:p>
        </w:tc>
      </w:tr>
      <w:tr>
        <w:trPr>
          <w:trHeight w:val="216"/>
        </w:trPr>
        <w:tc>
          <w:tcPr>
            <w:tcW w:w="6000" w:type="dxa"/>
            <w:vAlign w:val="bottom"/>
          </w:tcPr>
          <w:p>
            <w:pPr>
              <w:spacing w:after="0"/>
              <w:rPr>
                <w:sz w:val="20"/>
                <w:szCs w:val="20"/>
                <w:color w:val="auto"/>
              </w:rPr>
            </w:pPr>
            <w:r>
              <w:rPr>
                <w:rFonts w:ascii="Arial" w:cs="Arial" w:eastAsia="Arial" w:hAnsi="Arial"/>
                <w:sz w:val="18"/>
                <w:szCs w:val="18"/>
                <w:color w:val="auto"/>
              </w:rPr>
              <w:t>Due after ten years</w:t>
            </w:r>
          </w:p>
        </w:tc>
        <w:tc>
          <w:tcPr>
            <w:tcW w:w="2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12,279.1</w:t>
            </w:r>
          </w:p>
        </w:tc>
        <w:tc>
          <w:tcPr>
            <w:tcW w:w="3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13,343.1</w:t>
            </w:r>
          </w:p>
        </w:tc>
      </w:tr>
      <w:tr>
        <w:trPr>
          <w:trHeight w:val="210"/>
        </w:trPr>
        <w:tc>
          <w:tcPr>
            <w:tcW w:w="60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Subtotal</w:t>
            </w:r>
          </w:p>
        </w:tc>
        <w:tc>
          <w:tcPr>
            <w:tcW w:w="23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36,249.2</w:t>
            </w:r>
          </w:p>
        </w:tc>
        <w:tc>
          <w:tcPr>
            <w:tcW w:w="28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38,065.7</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6000" w:type="dxa"/>
            <w:vAlign w:val="bottom"/>
          </w:tcPr>
          <w:p>
            <w:pPr>
              <w:spacing w:after="0"/>
              <w:rPr>
                <w:sz w:val="20"/>
                <w:szCs w:val="20"/>
                <w:color w:val="auto"/>
              </w:rPr>
            </w:pPr>
            <w:r>
              <w:rPr>
                <w:rFonts w:ascii="Arial" w:cs="Arial" w:eastAsia="Arial" w:hAnsi="Arial"/>
                <w:sz w:val="18"/>
                <w:szCs w:val="18"/>
                <w:color w:val="auto"/>
              </w:rPr>
              <w:t>Mortgage-backed and other asset-backed securities</w:t>
            </w:r>
          </w:p>
        </w:tc>
        <w:tc>
          <w:tcPr>
            <w:tcW w:w="2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11,536.3</w:t>
            </w:r>
          </w:p>
        </w:tc>
        <w:tc>
          <w:tcPr>
            <w:tcW w:w="3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11,714.9</w:t>
            </w:r>
          </w:p>
        </w:tc>
      </w:tr>
      <w:tr>
        <w:trPr>
          <w:trHeight w:val="210"/>
        </w:trPr>
        <w:tc>
          <w:tcPr>
            <w:tcW w:w="60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230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47,785.5</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49,780.6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600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Actual maturities may differ because borrowers may have the right to call or prepay obligations. Our portfolio is diversified by industry, issuer and asset class. Credit concentrations are managed to established limits.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Realized Capital Gains and Losses</w:t>
      </w:r>
    </w:p>
    <w:p>
      <w:pPr>
        <w:spacing w:after="0" w:line="229" w:lineRule="exact"/>
        <w:rPr>
          <w:sz w:val="20"/>
          <w:szCs w:val="20"/>
          <w:color w:val="auto"/>
        </w:rPr>
      </w:pPr>
    </w:p>
    <w:p>
      <w:pPr>
        <w:ind w:right="80" w:firstLine="648"/>
        <w:spacing w:after="0" w:line="253" w:lineRule="auto"/>
        <w:rPr>
          <w:sz w:val="20"/>
          <w:szCs w:val="20"/>
          <w:color w:val="auto"/>
        </w:rPr>
      </w:pPr>
      <w:r>
        <w:rPr>
          <w:rFonts w:ascii="Arial" w:cs="Arial" w:eastAsia="Arial" w:hAnsi="Arial"/>
          <w:sz w:val="18"/>
          <w:szCs w:val="18"/>
          <w:color w:val="auto"/>
        </w:rPr>
        <w:t>Net realized capital gains and losses on sales of investments are determined on the basis of specific identification. In general, in addition to realized capital gains and losses on investment sales and periodic settlements on derivatives not designated as hedges, we report gains and losses related to the following in net realized capital gains (losses): other-than-temporary impairments of securities and subsequent realized recoveries, mark-to-market adjustments on certain trading securities, mark-to-market adjustments on certain seed money investments, fair value hedge and cash flow hedge ineffectiveness, mark-to-market adjustments on derivatives not designated as hedges, changes in the mortgage loan valuation allowance provision and impairments of real estate held for investment. Investment gains and losses on sales of certain real estate held for sale due to investment strategy and mark-to-market adjustments on certain securities carried at fair value with an investment objective to realize economic value through mark-to-market changes are reported as net investment income and are excluded from net realized capital gains (losses). The major components of net realized capital gains (losses) on investments are summarized as follows: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580" w:type="dxa"/>
            <w:vAlign w:val="bottom"/>
            <w:gridSpan w:val="3"/>
          </w:tcPr>
          <w:p>
            <w:pPr>
              <w:jc w:val="center"/>
              <w:ind w:left="368"/>
              <w:spacing w:after="0"/>
              <w:rPr>
                <w:sz w:val="20"/>
                <w:szCs w:val="20"/>
                <w:color w:val="auto"/>
              </w:rPr>
            </w:pPr>
            <w:r>
              <w:rPr>
                <w:rFonts w:ascii="Arial" w:cs="Arial" w:eastAsia="Arial" w:hAnsi="Arial"/>
                <w:sz w:val="14"/>
                <w:szCs w:val="14"/>
                <w:b w:val="1"/>
                <w:bCs w:val="1"/>
                <w:color w:val="auto"/>
                <w:w w:val="91"/>
              </w:rPr>
              <w:t>For the three months ended</w:t>
            </w:r>
          </w:p>
        </w:tc>
        <w:tc>
          <w:tcPr>
            <w:tcW w:w="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720" w:type="dxa"/>
            <w:vAlign w:val="bottom"/>
            <w:gridSpan w:val="4"/>
          </w:tcPr>
          <w:p>
            <w:pPr>
              <w:jc w:val="center"/>
              <w:ind w:right="480"/>
              <w:spacing w:after="0"/>
              <w:rPr>
                <w:sz w:val="20"/>
                <w:szCs w:val="20"/>
                <w:color w:val="auto"/>
              </w:rPr>
            </w:pPr>
            <w:r>
              <w:rPr>
                <w:rFonts w:ascii="Arial" w:cs="Arial" w:eastAsia="Arial" w:hAnsi="Arial"/>
                <w:sz w:val="14"/>
                <w:szCs w:val="14"/>
                <w:b w:val="1"/>
                <w:bCs w:val="1"/>
                <w:color w:val="auto"/>
                <w:w w:val="91"/>
              </w:rPr>
              <w:t>For the nine months ended</w:t>
            </w:r>
          </w:p>
        </w:tc>
      </w:tr>
      <w:tr>
        <w:trPr>
          <w:trHeight w:val="17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2"/>
          </w:tcPr>
          <w:p>
            <w:pPr>
              <w:jc w:val="center"/>
              <w:ind w:right="419"/>
              <w:spacing w:after="0"/>
              <w:rPr>
                <w:sz w:val="20"/>
                <w:szCs w:val="20"/>
                <w:color w:val="auto"/>
              </w:rPr>
            </w:pPr>
            <w:r>
              <w:rPr>
                <w:rFonts w:ascii="Arial" w:cs="Arial" w:eastAsia="Arial" w:hAnsi="Arial"/>
                <w:sz w:val="14"/>
                <w:szCs w:val="14"/>
                <w:b w:val="1"/>
                <w:bCs w:val="1"/>
                <w:color w:val="auto"/>
                <w:w w:val="91"/>
              </w:rPr>
              <w:t>September 30,</w:t>
            </w:r>
          </w:p>
        </w:tc>
        <w:tc>
          <w:tcPr>
            <w:tcW w:w="46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2"/>
          </w:tcPr>
          <w:p>
            <w:pPr>
              <w:jc w:val="center"/>
              <w:ind w:left="476"/>
              <w:spacing w:after="0"/>
              <w:rPr>
                <w:sz w:val="20"/>
                <w:szCs w:val="20"/>
                <w:color w:val="auto"/>
              </w:rPr>
            </w:pPr>
            <w:r>
              <w:rPr>
                <w:rFonts w:ascii="Arial" w:cs="Arial" w:eastAsia="Arial" w:hAnsi="Arial"/>
                <w:sz w:val="14"/>
                <w:szCs w:val="14"/>
                <w:b w:val="1"/>
                <w:bCs w:val="1"/>
                <w:color w:val="auto"/>
                <w:w w:val="91"/>
              </w:rPr>
              <w:t>September 30,</w:t>
            </w:r>
          </w:p>
        </w:tc>
        <w:tc>
          <w:tcPr>
            <w:tcW w:w="9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960" w:type="dxa"/>
            <w:vAlign w:val="bottom"/>
            <w:tcBorders>
              <w:bottom w:val="single" w:sz="8" w:color="auto"/>
            </w:tcBorders>
          </w:tcPr>
          <w:p>
            <w:pPr>
              <w:jc w:val="right"/>
              <w:ind w:right="68"/>
              <w:spacing w:after="0" w:line="142" w:lineRule="exact"/>
              <w:rPr>
                <w:sz w:val="20"/>
                <w:szCs w:val="20"/>
                <w:color w:val="auto"/>
              </w:rPr>
            </w:pPr>
            <w:r>
              <w:rPr>
                <w:rFonts w:ascii="Arial" w:cs="Arial" w:eastAsia="Arial" w:hAnsi="Arial"/>
                <w:sz w:val="14"/>
                <w:szCs w:val="14"/>
                <w:b w:val="1"/>
                <w:bCs w:val="1"/>
                <w:color w:val="auto"/>
              </w:rPr>
              <w:t>2015</w:t>
            </w:r>
          </w:p>
        </w:tc>
        <w:tc>
          <w:tcPr>
            <w:tcW w:w="58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2014</w:t>
            </w:r>
          </w:p>
        </w:tc>
        <w:tc>
          <w:tcPr>
            <w:tcW w:w="46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140" w:type="dxa"/>
            <w:vAlign w:val="bottom"/>
            <w:tcBorders>
              <w:bottom w:val="single" w:sz="8" w:color="auto"/>
            </w:tcBorders>
          </w:tcPr>
          <w:p>
            <w:pPr>
              <w:jc w:val="right"/>
              <w:ind w:right="616"/>
              <w:spacing w:after="0" w:line="142" w:lineRule="exact"/>
              <w:rPr>
                <w:sz w:val="20"/>
                <w:szCs w:val="20"/>
                <w:color w:val="auto"/>
              </w:rPr>
            </w:pPr>
            <w:r>
              <w:rPr>
                <w:rFonts w:ascii="Arial" w:cs="Arial" w:eastAsia="Arial" w:hAnsi="Arial"/>
                <w:sz w:val="14"/>
                <w:szCs w:val="14"/>
                <w:b w:val="1"/>
                <w:bCs w:val="1"/>
                <w:color w:val="auto"/>
              </w:rPr>
              <w:t>2015</w:t>
            </w:r>
          </w:p>
        </w:tc>
        <w:tc>
          <w:tcPr>
            <w:tcW w:w="54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right"/>
              <w:ind w:right="453"/>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r>
      <w:tr>
        <w:trPr>
          <w:trHeight w:val="142"/>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20" w:type="dxa"/>
            <w:vAlign w:val="bottom"/>
            <w:gridSpan w:val="4"/>
          </w:tcPr>
          <w:p>
            <w:pPr>
              <w:jc w:val="right"/>
              <w:ind w:right="180"/>
              <w:spacing w:after="0" w:line="142" w:lineRule="exact"/>
              <w:rPr>
                <w:sz w:val="20"/>
                <w:szCs w:val="20"/>
                <w:color w:val="auto"/>
              </w:rPr>
            </w:pPr>
            <w:r>
              <w:rPr>
                <w:rFonts w:ascii="Arial" w:cs="Arial" w:eastAsia="Arial" w:hAnsi="Arial"/>
                <w:sz w:val="14"/>
                <w:szCs w:val="14"/>
                <w:b w:val="1"/>
                <w:bCs w:val="1"/>
                <w:color w:val="auto"/>
              </w:rPr>
              <w:t>(in millions)</w:t>
            </w:r>
          </w:p>
        </w:tc>
        <w:tc>
          <w:tcPr>
            <w:tcW w:w="1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available-for-sale:</w:t>
            </w:r>
          </w:p>
        </w:tc>
        <w:tc>
          <w:tcPr>
            <w:tcW w:w="12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800" w:type="dxa"/>
            <w:vAlign w:val="bottom"/>
          </w:tcPr>
          <w:p>
            <w:pPr>
              <w:ind w:left="180"/>
              <w:spacing w:after="0"/>
              <w:rPr>
                <w:sz w:val="20"/>
                <w:szCs w:val="20"/>
                <w:color w:val="auto"/>
              </w:rPr>
            </w:pPr>
            <w:r>
              <w:rPr>
                <w:rFonts w:ascii="Arial" w:cs="Arial" w:eastAsia="Arial" w:hAnsi="Arial"/>
                <w:sz w:val="18"/>
                <w:szCs w:val="18"/>
                <w:color w:val="auto"/>
              </w:rPr>
              <w:t>Gross gains</w:t>
            </w:r>
          </w:p>
        </w:tc>
        <w:tc>
          <w:tcPr>
            <w:tcW w:w="2160" w:type="dxa"/>
            <w:vAlign w:val="bottom"/>
            <w:gridSpan w:val="2"/>
          </w:tcPr>
          <w:p>
            <w:pPr>
              <w:jc w:val="right"/>
              <w:ind w:right="808"/>
              <w:spacing w:after="0"/>
              <w:rPr>
                <w:sz w:val="20"/>
                <w:szCs w:val="20"/>
                <w:color w:val="auto"/>
              </w:rPr>
            </w:pPr>
            <w:r>
              <w:rPr>
                <w:rFonts w:ascii="Arial" w:cs="Arial" w:eastAsia="Arial" w:hAnsi="Arial"/>
                <w:sz w:val="18"/>
                <w:szCs w:val="18"/>
                <w:b w:val="1"/>
                <w:bCs w:val="1"/>
                <w:color w:val="auto"/>
              </w:rPr>
              <w:t>$</w:t>
            </w:r>
          </w:p>
        </w:tc>
        <w:tc>
          <w:tcPr>
            <w:tcW w:w="580" w:type="dxa"/>
            <w:vAlign w:val="bottom"/>
          </w:tcPr>
          <w:p>
            <w:pPr>
              <w:jc w:val="right"/>
              <w:ind w:right="93"/>
              <w:spacing w:after="0"/>
              <w:rPr>
                <w:sz w:val="20"/>
                <w:szCs w:val="20"/>
                <w:color w:val="auto"/>
              </w:rPr>
            </w:pPr>
            <w:r>
              <w:rPr>
                <w:rFonts w:ascii="Arial" w:cs="Arial" w:eastAsia="Arial" w:hAnsi="Arial"/>
                <w:sz w:val="18"/>
                <w:szCs w:val="18"/>
                <w:b w:val="1"/>
                <w:bCs w:val="1"/>
                <w:color w:val="auto"/>
              </w:rPr>
              <w:t>2.5</w:t>
            </w:r>
          </w:p>
        </w:tc>
        <w:tc>
          <w:tcPr>
            <w:tcW w:w="1040" w:type="dxa"/>
            <w:vAlign w:val="bottom"/>
          </w:tcPr>
          <w:p>
            <w:pPr>
              <w:jc w:val="right"/>
              <w:ind w:right="739"/>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6.0</w:t>
            </w:r>
          </w:p>
        </w:tc>
        <w:tc>
          <w:tcPr>
            <w:tcW w:w="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140" w:type="dxa"/>
            <w:vAlign w:val="bottom"/>
          </w:tcPr>
          <w:p>
            <w:pPr>
              <w:jc w:val="right"/>
              <w:ind w:right="76"/>
              <w:spacing w:after="0"/>
              <w:rPr>
                <w:sz w:val="20"/>
                <w:szCs w:val="20"/>
                <w:color w:val="auto"/>
              </w:rPr>
            </w:pPr>
            <w:r>
              <w:rPr>
                <w:rFonts w:ascii="Arial" w:cs="Arial" w:eastAsia="Arial" w:hAnsi="Arial"/>
                <w:sz w:val="18"/>
                <w:szCs w:val="18"/>
                <w:b w:val="1"/>
                <w:bCs w:val="1"/>
                <w:color w:val="auto"/>
              </w:rPr>
              <w:t>15.7</w:t>
            </w:r>
          </w:p>
        </w:tc>
        <w:tc>
          <w:tcPr>
            <w:tcW w:w="540" w:type="dxa"/>
            <w:vAlign w:val="bottom"/>
          </w:tcPr>
          <w:p>
            <w:pPr>
              <w:jc w:val="right"/>
              <w:ind w:right="2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45.0</w:t>
            </w:r>
          </w:p>
        </w:tc>
      </w:tr>
      <w:tr>
        <w:trPr>
          <w:trHeight w:val="216"/>
        </w:trPr>
        <w:tc>
          <w:tcPr>
            <w:tcW w:w="38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Gross losses</w:t>
            </w:r>
          </w:p>
        </w:tc>
        <w:tc>
          <w:tcPr>
            <w:tcW w:w="12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(2.3)</w:t>
            </w:r>
          </w:p>
        </w:tc>
        <w:tc>
          <w:tcPr>
            <w:tcW w:w="10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(2.9)</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6"/>
              <w:spacing w:after="0"/>
              <w:rPr>
                <w:sz w:val="20"/>
                <w:szCs w:val="20"/>
                <w:color w:val="auto"/>
              </w:rPr>
            </w:pPr>
            <w:r>
              <w:rPr>
                <w:rFonts w:ascii="Arial" w:cs="Arial" w:eastAsia="Arial" w:hAnsi="Arial"/>
                <w:sz w:val="18"/>
                <w:szCs w:val="18"/>
                <w:b w:val="1"/>
                <w:bCs w:val="1"/>
                <w:color w:val="auto"/>
              </w:rPr>
              <w:t>(5.6)</w:t>
            </w:r>
          </w:p>
        </w:tc>
        <w:tc>
          <w:tcPr>
            <w:tcW w:w="5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(20.8)</w:t>
            </w:r>
          </w:p>
        </w:tc>
      </w:tr>
      <w:tr>
        <w:trPr>
          <w:trHeight w:val="216"/>
        </w:trPr>
        <w:tc>
          <w:tcPr>
            <w:tcW w:w="3800" w:type="dxa"/>
            <w:vAlign w:val="bottom"/>
          </w:tcPr>
          <w:p>
            <w:pPr>
              <w:ind w:left="180"/>
              <w:spacing w:after="0"/>
              <w:rPr>
                <w:sz w:val="20"/>
                <w:szCs w:val="20"/>
                <w:color w:val="auto"/>
              </w:rPr>
            </w:pPr>
            <w:r>
              <w:rPr>
                <w:rFonts w:ascii="Arial" w:cs="Arial" w:eastAsia="Arial" w:hAnsi="Arial"/>
                <w:sz w:val="18"/>
                <w:szCs w:val="18"/>
                <w:color w:val="auto"/>
              </w:rPr>
              <w:t>Net impairment losses</w:t>
            </w:r>
          </w:p>
        </w:tc>
        <w:tc>
          <w:tcPr>
            <w:tcW w:w="1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80" w:type="dxa"/>
            <w:vAlign w:val="bottom"/>
          </w:tcPr>
          <w:p>
            <w:pPr>
              <w:jc w:val="right"/>
              <w:ind w:right="33"/>
              <w:spacing w:after="0"/>
              <w:rPr>
                <w:sz w:val="20"/>
                <w:szCs w:val="20"/>
                <w:color w:val="auto"/>
              </w:rPr>
            </w:pPr>
            <w:r>
              <w:rPr>
                <w:rFonts w:ascii="Arial" w:cs="Arial" w:eastAsia="Arial" w:hAnsi="Arial"/>
                <w:sz w:val="18"/>
                <w:szCs w:val="18"/>
                <w:b w:val="1"/>
                <w:bCs w:val="1"/>
                <w:color w:val="auto"/>
              </w:rPr>
              <w:t>(7.6)</w:t>
            </w:r>
          </w:p>
        </w:tc>
        <w:tc>
          <w:tcPr>
            <w:tcW w:w="104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(21.7)</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40" w:type="dxa"/>
            <w:vAlign w:val="bottom"/>
          </w:tcPr>
          <w:p>
            <w:pPr>
              <w:jc w:val="right"/>
              <w:ind w:right="16"/>
              <w:spacing w:after="0"/>
              <w:rPr>
                <w:sz w:val="20"/>
                <w:szCs w:val="20"/>
                <w:color w:val="auto"/>
              </w:rPr>
            </w:pPr>
            <w:r>
              <w:rPr>
                <w:rFonts w:ascii="Arial" w:cs="Arial" w:eastAsia="Arial" w:hAnsi="Arial"/>
                <w:sz w:val="18"/>
                <w:szCs w:val="18"/>
                <w:b w:val="1"/>
                <w:bCs w:val="1"/>
                <w:color w:val="auto"/>
              </w:rPr>
              <w:t>(21.4)</w:t>
            </w:r>
          </w:p>
        </w:tc>
        <w:tc>
          <w:tcPr>
            <w:tcW w:w="54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(69.5)</w:t>
            </w:r>
          </w:p>
        </w:tc>
      </w:tr>
      <w:tr>
        <w:trPr>
          <w:trHeight w:val="216"/>
        </w:trPr>
        <w:tc>
          <w:tcPr>
            <w:tcW w:w="38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Hedging, net</w:t>
            </w:r>
          </w:p>
        </w:tc>
        <w:tc>
          <w:tcPr>
            <w:tcW w:w="12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93"/>
              <w:spacing w:after="0"/>
              <w:rPr>
                <w:sz w:val="20"/>
                <w:szCs w:val="20"/>
                <w:color w:val="auto"/>
              </w:rPr>
            </w:pPr>
            <w:r>
              <w:rPr>
                <w:rFonts w:ascii="Arial" w:cs="Arial" w:eastAsia="Arial" w:hAnsi="Arial"/>
                <w:sz w:val="18"/>
                <w:szCs w:val="18"/>
                <w:b w:val="1"/>
                <w:bCs w:val="1"/>
                <w:color w:val="auto"/>
              </w:rPr>
              <w:t>4.7</w:t>
            </w:r>
          </w:p>
        </w:tc>
        <w:tc>
          <w:tcPr>
            <w:tcW w:w="10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(21.5)</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6"/>
              <w:spacing w:after="0"/>
              <w:rPr>
                <w:sz w:val="20"/>
                <w:szCs w:val="20"/>
                <w:color w:val="auto"/>
              </w:rPr>
            </w:pPr>
            <w:r>
              <w:rPr>
                <w:rFonts w:ascii="Arial" w:cs="Arial" w:eastAsia="Arial" w:hAnsi="Arial"/>
                <w:sz w:val="18"/>
                <w:szCs w:val="18"/>
                <w:b w:val="1"/>
                <w:bCs w:val="1"/>
                <w:color w:val="auto"/>
              </w:rPr>
              <w:t>(31.2)</w:t>
            </w:r>
          </w:p>
        </w:tc>
        <w:tc>
          <w:tcPr>
            <w:tcW w:w="5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(20.0)</w:t>
            </w: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Fixed maturities, trading</w:t>
            </w:r>
          </w:p>
        </w:tc>
        <w:tc>
          <w:tcPr>
            <w:tcW w:w="1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80" w:type="dxa"/>
            <w:vAlign w:val="bottom"/>
          </w:tcPr>
          <w:p>
            <w:pPr>
              <w:jc w:val="right"/>
              <w:ind w:right="33"/>
              <w:spacing w:after="0"/>
              <w:rPr>
                <w:sz w:val="20"/>
                <w:szCs w:val="20"/>
                <w:color w:val="auto"/>
              </w:rPr>
            </w:pPr>
            <w:r>
              <w:rPr>
                <w:rFonts w:ascii="Arial" w:cs="Arial" w:eastAsia="Arial" w:hAnsi="Arial"/>
                <w:sz w:val="18"/>
                <w:szCs w:val="18"/>
                <w:b w:val="1"/>
                <w:bCs w:val="1"/>
                <w:color w:val="auto"/>
              </w:rPr>
              <w:t>(2.1)</w:t>
            </w:r>
          </w:p>
        </w:tc>
        <w:tc>
          <w:tcPr>
            <w:tcW w:w="104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9.5</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40" w:type="dxa"/>
            <w:vAlign w:val="bottom"/>
          </w:tcPr>
          <w:p>
            <w:pPr>
              <w:jc w:val="right"/>
              <w:ind w:right="16"/>
              <w:spacing w:after="0"/>
              <w:rPr>
                <w:sz w:val="20"/>
                <w:szCs w:val="20"/>
                <w:color w:val="auto"/>
              </w:rPr>
            </w:pPr>
            <w:r>
              <w:rPr>
                <w:rFonts w:ascii="Arial" w:cs="Arial" w:eastAsia="Arial" w:hAnsi="Arial"/>
                <w:sz w:val="18"/>
                <w:szCs w:val="18"/>
                <w:b w:val="1"/>
                <w:bCs w:val="1"/>
                <w:color w:val="auto"/>
              </w:rPr>
              <w:t>(6.4)</w:t>
            </w:r>
          </w:p>
        </w:tc>
        <w:tc>
          <w:tcPr>
            <w:tcW w:w="54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32.0</w:t>
            </w: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available-for-sale:</w:t>
            </w:r>
          </w:p>
        </w:tc>
        <w:tc>
          <w:tcPr>
            <w:tcW w:w="12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800" w:type="dxa"/>
            <w:vAlign w:val="bottom"/>
          </w:tcPr>
          <w:p>
            <w:pPr>
              <w:ind w:left="180"/>
              <w:spacing w:after="0"/>
              <w:rPr>
                <w:sz w:val="20"/>
                <w:szCs w:val="20"/>
                <w:color w:val="auto"/>
              </w:rPr>
            </w:pPr>
            <w:r>
              <w:rPr>
                <w:rFonts w:ascii="Arial" w:cs="Arial" w:eastAsia="Arial" w:hAnsi="Arial"/>
                <w:sz w:val="18"/>
                <w:szCs w:val="18"/>
                <w:color w:val="auto"/>
              </w:rPr>
              <w:t>Gross gains</w:t>
            </w:r>
          </w:p>
        </w:tc>
        <w:tc>
          <w:tcPr>
            <w:tcW w:w="1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80" w:type="dxa"/>
            <w:vAlign w:val="bottom"/>
          </w:tcPr>
          <w:p>
            <w:pPr>
              <w:jc w:val="right"/>
              <w:ind w:right="93"/>
              <w:spacing w:after="0"/>
              <w:rPr>
                <w:sz w:val="20"/>
                <w:szCs w:val="20"/>
                <w:color w:val="auto"/>
              </w:rPr>
            </w:pPr>
            <w:r>
              <w:rPr>
                <w:rFonts w:ascii="Arial" w:cs="Arial" w:eastAsia="Arial" w:hAnsi="Arial"/>
                <w:sz w:val="18"/>
                <w:szCs w:val="18"/>
                <w:b w:val="1"/>
                <w:bCs w:val="1"/>
                <w:color w:val="auto"/>
              </w:rPr>
              <w:t>0.3</w:t>
            </w:r>
          </w:p>
        </w:tc>
        <w:tc>
          <w:tcPr>
            <w:tcW w:w="104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40" w:type="dxa"/>
            <w:vAlign w:val="bottom"/>
          </w:tcPr>
          <w:p>
            <w:pPr>
              <w:jc w:val="right"/>
              <w:ind w:right="76"/>
              <w:spacing w:after="0"/>
              <w:rPr>
                <w:sz w:val="20"/>
                <w:szCs w:val="20"/>
                <w:color w:val="auto"/>
              </w:rPr>
            </w:pPr>
            <w:r>
              <w:rPr>
                <w:rFonts w:ascii="Arial" w:cs="Arial" w:eastAsia="Arial" w:hAnsi="Arial"/>
                <w:sz w:val="18"/>
                <w:szCs w:val="18"/>
                <w:b w:val="1"/>
                <w:bCs w:val="1"/>
                <w:color w:val="auto"/>
              </w:rPr>
              <w:t>0.3</w:t>
            </w:r>
          </w:p>
        </w:tc>
        <w:tc>
          <w:tcPr>
            <w:tcW w:w="54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0.2</w:t>
            </w:r>
          </w:p>
        </w:tc>
      </w:tr>
      <w:tr>
        <w:trPr>
          <w:trHeight w:val="192"/>
        </w:trPr>
        <w:tc>
          <w:tcPr>
            <w:tcW w:w="38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bl>
    <w:p>
      <w:pPr>
        <w:sectPr>
          <w:pgSz w:w="11900" w:h="16900" w:orient="portrait"/>
          <w:cols w:equalWidth="0" w:num="1">
            <w:col w:w="11460"/>
          </w:cols>
          <w:pgMar w:left="240" w:top="121" w:right="199" w:bottom="0" w:gutter="0" w:footer="0" w:header="0"/>
        </w:sectPr>
      </w:pPr>
    </w:p>
    <w:bookmarkStart w:id="11" w:name="page12"/>
    <w:bookmarkEnd w:id="1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Gross losses</w:t>
            </w:r>
          </w:p>
        </w:tc>
        <w:tc>
          <w:tcPr>
            <w:tcW w:w="36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(1.8)</w:t>
            </w:r>
          </w:p>
        </w:tc>
        <w:tc>
          <w:tcPr>
            <w:tcW w:w="5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(0.1)</w:t>
            </w:r>
          </w:p>
        </w:tc>
        <w:tc>
          <w:tcPr>
            <w:tcW w:w="5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(1.8)</w:t>
            </w:r>
          </w:p>
        </w:tc>
        <w:tc>
          <w:tcPr>
            <w:tcW w:w="5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(0.2)</w:t>
            </w:r>
          </w:p>
        </w:tc>
        <w:tc>
          <w:tcPr>
            <w:tcW w:w="40" w:type="dxa"/>
            <w:vAlign w:val="bottom"/>
          </w:tcPr>
          <w:p>
            <w:pPr>
              <w:spacing w:after="0"/>
              <w:rPr>
                <w:sz w:val="18"/>
                <w:szCs w:val="18"/>
                <w:color w:val="auto"/>
              </w:rPr>
            </w:pPr>
          </w:p>
        </w:tc>
      </w:tr>
      <w:tr>
        <w:trPr>
          <w:trHeight w:val="216"/>
        </w:trPr>
        <w:tc>
          <w:tcPr>
            <w:tcW w:w="5000" w:type="dxa"/>
            <w:vAlign w:val="bottom"/>
          </w:tcPr>
          <w:p>
            <w:pPr>
              <w:ind w:left="180"/>
              <w:spacing w:after="0"/>
              <w:rPr>
                <w:sz w:val="20"/>
                <w:szCs w:val="20"/>
                <w:color w:val="auto"/>
              </w:rPr>
            </w:pPr>
            <w:r>
              <w:rPr>
                <w:rFonts w:ascii="Arial" w:cs="Arial" w:eastAsia="Arial" w:hAnsi="Arial"/>
                <w:sz w:val="18"/>
                <w:szCs w:val="18"/>
                <w:color w:val="auto"/>
              </w:rPr>
              <w:t>Net impairment recoveries (losses)</w:t>
            </w:r>
          </w:p>
        </w:tc>
        <w:tc>
          <w:tcPr>
            <w:tcW w:w="36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56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(0.2)</w:t>
            </w:r>
          </w:p>
        </w:tc>
        <w:tc>
          <w:tcPr>
            <w:tcW w:w="5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0.3</w:t>
            </w:r>
          </w:p>
        </w:tc>
        <w:tc>
          <w:tcPr>
            <w:tcW w:w="5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5.5</w:t>
            </w:r>
          </w:p>
        </w:tc>
        <w:tc>
          <w:tcPr>
            <w:tcW w:w="40" w:type="dxa"/>
            <w:vAlign w:val="bottom"/>
          </w:tcPr>
          <w:p>
            <w:pPr>
              <w:spacing w:after="0"/>
              <w:rPr>
                <w:sz w:val="18"/>
                <w:szCs w:val="18"/>
                <w:color w:val="auto"/>
              </w:rPr>
            </w:pPr>
          </w:p>
        </w:tc>
      </w:tr>
      <w:tr>
        <w:trPr>
          <w:trHeight w:val="216"/>
        </w:trPr>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36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(12.4)</w:t>
            </w:r>
          </w:p>
        </w:tc>
        <w:tc>
          <w:tcPr>
            <w:tcW w:w="5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9.1</w:t>
            </w:r>
          </w:p>
        </w:tc>
        <w:tc>
          <w:tcPr>
            <w:tcW w:w="5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(8.5)</w:t>
            </w:r>
          </w:p>
        </w:tc>
        <w:tc>
          <w:tcPr>
            <w:tcW w:w="5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18.7</w:t>
            </w:r>
          </w:p>
        </w:tc>
        <w:tc>
          <w:tcPr>
            <w:tcW w:w="40" w:type="dxa"/>
            <w:vAlign w:val="bottom"/>
          </w:tcPr>
          <w:p>
            <w:pPr>
              <w:spacing w:after="0"/>
              <w:rPr>
                <w:sz w:val="18"/>
                <w:szCs w:val="18"/>
                <w:color w:val="auto"/>
              </w:rPr>
            </w:pPr>
          </w:p>
        </w:tc>
      </w:tr>
      <w:tr>
        <w:trPr>
          <w:trHeight w:val="216"/>
        </w:trPr>
        <w:tc>
          <w:tcPr>
            <w:tcW w:w="5000" w:type="dxa"/>
            <w:vAlign w:val="bottom"/>
          </w:tcPr>
          <w:p>
            <w:pPr>
              <w:spacing w:after="0"/>
              <w:rPr>
                <w:sz w:val="20"/>
                <w:szCs w:val="20"/>
                <w:color w:val="auto"/>
              </w:rPr>
            </w:pPr>
            <w:r>
              <w:rPr>
                <w:rFonts w:ascii="Arial" w:cs="Arial" w:eastAsia="Arial" w:hAnsi="Arial"/>
                <w:sz w:val="18"/>
                <w:szCs w:val="18"/>
                <w:color w:val="auto"/>
              </w:rPr>
              <w:t>Mortgage loans</w:t>
            </w:r>
          </w:p>
        </w:tc>
        <w:tc>
          <w:tcPr>
            <w:tcW w:w="360" w:type="dxa"/>
            <w:vAlign w:val="bottom"/>
          </w:tcPr>
          <w:p>
            <w:pPr>
              <w:spacing w:after="0"/>
              <w:rPr>
                <w:sz w:val="18"/>
                <w:szCs w:val="18"/>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(1.3)</w:t>
            </w:r>
          </w:p>
        </w:tc>
        <w:tc>
          <w:tcPr>
            <w:tcW w:w="56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(12.0)</w:t>
            </w:r>
          </w:p>
        </w:tc>
        <w:tc>
          <w:tcPr>
            <w:tcW w:w="54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(1.4)</w:t>
            </w:r>
          </w:p>
        </w:tc>
        <w:tc>
          <w:tcPr>
            <w:tcW w:w="54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(10.6)</w:t>
            </w:r>
          </w:p>
        </w:tc>
        <w:tc>
          <w:tcPr>
            <w:tcW w:w="40" w:type="dxa"/>
            <w:vAlign w:val="bottom"/>
          </w:tcPr>
          <w:p>
            <w:pPr>
              <w:spacing w:after="0"/>
              <w:rPr>
                <w:sz w:val="18"/>
                <w:szCs w:val="18"/>
                <w:color w:val="auto"/>
              </w:rPr>
            </w:pPr>
          </w:p>
        </w:tc>
      </w:tr>
      <w:tr>
        <w:trPr>
          <w:trHeight w:val="216"/>
        </w:trPr>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Derivatives</w:t>
            </w:r>
          </w:p>
        </w:tc>
        <w:tc>
          <w:tcPr>
            <w:tcW w:w="36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54.0</w:t>
            </w:r>
          </w:p>
        </w:tc>
        <w:tc>
          <w:tcPr>
            <w:tcW w:w="5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w:t>
            </w:r>
          </w:p>
        </w:tc>
        <w:tc>
          <w:tcPr>
            <w:tcW w:w="5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59.0</w:t>
            </w:r>
          </w:p>
        </w:tc>
        <w:tc>
          <w:tcPr>
            <w:tcW w:w="5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w:t>
            </w:r>
          </w:p>
        </w:tc>
        <w:tc>
          <w:tcPr>
            <w:tcW w:w="40" w:type="dxa"/>
            <w:vAlign w:val="bottom"/>
          </w:tcPr>
          <w:p>
            <w:pPr>
              <w:spacing w:after="0"/>
              <w:rPr>
                <w:sz w:val="18"/>
                <w:szCs w:val="18"/>
                <w:color w:val="auto"/>
              </w:rPr>
            </w:pPr>
          </w:p>
        </w:tc>
      </w:tr>
      <w:tr>
        <w:trPr>
          <w:trHeight w:val="216"/>
        </w:trPr>
        <w:tc>
          <w:tcPr>
            <w:tcW w:w="5000" w:type="dxa"/>
            <w:vAlign w:val="bottom"/>
          </w:tcPr>
          <w:p>
            <w:pPr>
              <w:spacing w:after="0"/>
              <w:rPr>
                <w:sz w:val="20"/>
                <w:szCs w:val="20"/>
                <w:color w:val="auto"/>
              </w:rPr>
            </w:pPr>
            <w:r>
              <w:rPr>
                <w:rFonts w:ascii="Arial" w:cs="Arial" w:eastAsia="Arial" w:hAnsi="Arial"/>
                <w:sz w:val="18"/>
                <w:szCs w:val="18"/>
                <w:color w:val="auto"/>
              </w:rPr>
              <w:t>Other</w:t>
            </w:r>
          </w:p>
        </w:tc>
        <w:tc>
          <w:tcPr>
            <w:tcW w:w="3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4.4</w:t>
            </w:r>
          </w:p>
        </w:tc>
        <w:tc>
          <w:tcPr>
            <w:tcW w:w="3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(10.6)</w:t>
            </w:r>
          </w:p>
        </w:tc>
        <w:tc>
          <w:tcPr>
            <w:tcW w:w="54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(9.0)</w:t>
            </w:r>
          </w:p>
        </w:tc>
        <w:tc>
          <w:tcPr>
            <w:tcW w:w="5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58.8</w:t>
            </w:r>
          </w:p>
        </w:tc>
        <w:tc>
          <w:tcPr>
            <w:tcW w:w="40" w:type="dxa"/>
            <w:vAlign w:val="bottom"/>
          </w:tcPr>
          <w:p>
            <w:pPr>
              <w:spacing w:after="0"/>
              <w:rPr>
                <w:sz w:val="18"/>
                <w:szCs w:val="18"/>
                <w:color w:val="auto"/>
              </w:rPr>
            </w:pPr>
          </w:p>
        </w:tc>
      </w:tr>
      <w:tr>
        <w:trPr>
          <w:trHeight w:val="223"/>
        </w:trPr>
        <w:tc>
          <w:tcPr>
            <w:tcW w:w="50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realized capital gains (losses)</w:t>
            </w:r>
          </w:p>
        </w:tc>
        <w:tc>
          <w:tcPr>
            <w:tcW w:w="360" w:type="dxa"/>
            <w:vAlign w:val="bottom"/>
            <w:tcBorders>
              <w:top w:val="single" w:sz="8" w:color="auto"/>
              <w:bottom w:val="single" w:sz="8" w:color="auto"/>
            </w:tcBorders>
            <w:shd w:val="clear" w:color="auto" w:fill="CCEEFF"/>
          </w:tcPr>
          <w:p>
            <w:pPr>
              <w:jc w:val="right"/>
              <w:ind w:right="205"/>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38.4</w:t>
            </w:r>
          </w:p>
        </w:tc>
        <w:tc>
          <w:tcPr>
            <w:tcW w:w="300" w:type="dxa"/>
            <w:vAlign w:val="bottom"/>
            <w:tcBorders>
              <w:top w:val="single" w:sz="8" w:color="CCEEFF"/>
              <w:bottom w:val="single" w:sz="8" w:color="CCEEFF"/>
            </w:tcBorders>
            <w:shd w:val="clear" w:color="auto" w:fill="CCEEFF"/>
          </w:tcPr>
          <w:p>
            <w:pPr>
              <w:spacing w:after="0"/>
              <w:rPr>
                <w:sz w:val="19"/>
                <w:szCs w:val="19"/>
                <w:color w:val="auto"/>
              </w:rPr>
            </w:pPr>
          </w:p>
        </w:tc>
        <w:tc>
          <w:tcPr>
            <w:tcW w:w="560" w:type="dxa"/>
            <w:vAlign w:val="bottom"/>
            <w:tcBorders>
              <w:top w:val="single" w:sz="8" w:color="auto"/>
              <w:bottom w:val="single" w:sz="8" w:color="auto"/>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(46.4</w:t>
            </w:r>
          </w:p>
        </w:tc>
        <w:tc>
          <w:tcPr>
            <w:tcW w:w="280" w:type="dxa"/>
            <w:vAlign w:val="bottom"/>
            <w:tcBorders>
              <w:top w:val="single" w:sz="8" w:color="CCEEFF"/>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w w:val="74"/>
              </w:rPr>
              <w:t>)</w:t>
            </w:r>
          </w:p>
        </w:tc>
        <w:tc>
          <w:tcPr>
            <w:tcW w:w="540" w:type="dxa"/>
            <w:vAlign w:val="bottom"/>
            <w:tcBorders>
              <w:top w:val="single" w:sz="8" w:color="auto"/>
              <w:bottom w:val="single" w:sz="8" w:color="auto"/>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280" w:type="dxa"/>
            <w:vAlign w:val="bottom"/>
            <w:tcBorders>
              <w:top w:val="single" w:sz="8" w:color="CCEEFF"/>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b w:val="1"/>
                <w:bCs w:val="1"/>
                <w:color w:val="auto"/>
                <w:w w:val="74"/>
              </w:rPr>
              <w:t>)</w:t>
            </w:r>
          </w:p>
        </w:tc>
        <w:tc>
          <w:tcPr>
            <w:tcW w:w="540" w:type="dxa"/>
            <w:vAlign w:val="bottom"/>
            <w:tcBorders>
              <w:top w:val="single" w:sz="8" w:color="auto"/>
              <w:bottom w:val="single" w:sz="8" w:color="auto"/>
            </w:tcBorders>
            <w:shd w:val="clear" w:color="auto" w:fill="CCEEFF"/>
          </w:tcPr>
          <w:p>
            <w:pPr>
              <w:jc w:val="right"/>
              <w:ind w:right="35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41.0</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0"/>
        </w:trPr>
        <w:tc>
          <w:tcPr>
            <w:tcW w:w="50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3"/>
        </w:trPr>
        <w:tc>
          <w:tcPr>
            <w:tcW w:w="50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0" w:type="dxa"/>
            <w:vAlign w:val="bottom"/>
          </w:tcPr>
          <w:p>
            <w:pPr>
              <w:jc w:val="right"/>
              <w:ind w:right="470"/>
              <w:spacing w:after="0"/>
              <w:rPr>
                <w:sz w:val="20"/>
                <w:szCs w:val="20"/>
                <w:color w:val="auto"/>
              </w:rPr>
            </w:pPr>
            <w:r>
              <w:rPr>
                <w:rFonts w:ascii="Arial" w:cs="Arial" w:eastAsia="Arial" w:hAnsi="Arial"/>
                <w:sz w:val="18"/>
                <w:szCs w:val="18"/>
                <w:color w:val="auto"/>
              </w:rPr>
              <w:t>16</w:t>
            </w: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500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56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54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54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Proceeds from sales of investments (excluding call and maturity proceeds) in fixed maturities, available-for-sale were $331.7 million and $437.1 million for the three months ended September 30, 2015 and 2014, and $1,213.0 million and $1,744.6 million for the nine months ended September 30, 2015 and 2014,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Other-Than-Temporary Impairments</w:t>
      </w:r>
    </w:p>
    <w:p>
      <w:pPr>
        <w:spacing w:after="0" w:line="229" w:lineRule="exact"/>
        <w:rPr>
          <w:sz w:val="20"/>
          <w:szCs w:val="20"/>
          <w:color w:val="auto"/>
        </w:rPr>
      </w:pPr>
    </w:p>
    <w:p>
      <w:pPr>
        <w:ind w:right="340" w:firstLine="648"/>
        <w:spacing w:after="0" w:line="279" w:lineRule="auto"/>
        <w:rPr>
          <w:sz w:val="20"/>
          <w:szCs w:val="20"/>
          <w:color w:val="auto"/>
        </w:rPr>
      </w:pPr>
      <w:r>
        <w:rPr>
          <w:rFonts w:ascii="Arial" w:cs="Arial" w:eastAsia="Arial" w:hAnsi="Arial"/>
          <w:sz w:val="17"/>
          <w:szCs w:val="17"/>
          <w:color w:val="auto"/>
        </w:rPr>
        <w:t>We have a process in place to identify fixed maturity and equity securities that could potentially have a credit impairment that is other than temporary.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spacing w:after="0" w:line="171" w:lineRule="exact"/>
        <w:rPr>
          <w:sz w:val="20"/>
          <w:szCs w:val="20"/>
          <w:color w:val="auto"/>
        </w:rPr>
      </w:pPr>
    </w:p>
    <w:p>
      <w:pPr>
        <w:ind w:right="120" w:firstLine="648"/>
        <w:spacing w:after="0" w:line="271" w:lineRule="auto"/>
        <w:rPr>
          <w:sz w:val="20"/>
          <w:szCs w:val="20"/>
          <w:color w:val="auto"/>
        </w:rPr>
      </w:pPr>
      <w:r>
        <w:rPr>
          <w:rFonts w:ascii="Arial" w:cs="Arial" w:eastAsia="Arial" w:hAnsi="Arial"/>
          <w:sz w:val="17"/>
          <w:szCs w:val="17"/>
          <w:color w:val="auto"/>
        </w:rPr>
        <w:t>Each reporting period, all securities are reviewed to determine whether an other-than-temporary decline in value exists and whether losses should be recognized. We consider relevant facts and circumstances in evaluating whether a credit or interest-related impairment of a security is other than temporary. Relevant facts and circumstances considered include: (1) the extent and length of time the fair value has been below cost; (2) the reasons for the decline in value; (3) the financial position and access to capital of the issuer, including the current and future impact of any specific events; (4) for structured securities, the adequacy of the expected cash flows; (5) for fixed maturities, our intent to sell a security or whether it is more likely than not we will be required to sell the security before the recovery of its amortized cost which, in some cases, may extend to maturity and (6) for equity securities, our ability and intent to hold the security for a period of time that allows for the recovery in value. To the extent we determine that a security is deemed to be other than temporarily impaired, an impairment loss is recognized.</w:t>
      </w:r>
    </w:p>
    <w:p>
      <w:pPr>
        <w:spacing w:after="0" w:line="179"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Impairment losses on equity securities are recognized in net income and are measured as the difference between amortized cost and fair value. The way in which impairment losses on fixed maturities are recognized in the financial statements is dependent on the facts and circumstances related to the specific security. If we intend to sell a security or it is more likely than not that we would be required to sell a security before the recovery of its amortized cost, we recognize an other-than-temporary impairment in net income for the difference between amortized cost and fair value. If we do not expect to recover the amortized cost basis, we do not plan to sell the security and if it is not more likely than not that we would be required to sell a security before the recovery of its amortized cost, the recognition of the other-than-temporary impairment is bifurcated. We recognize the credit loss portion in net income and the noncredit loss portion in OCI (“bifurcated OTTI”).</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Total other-than-temporary impairment losses, net of recoveries from the sale of previously impaired securities, were as follows: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60" w:type="dxa"/>
            <w:vAlign w:val="bottom"/>
          </w:tcPr>
          <w:p>
            <w:pPr>
              <w:spacing w:after="0"/>
              <w:rPr>
                <w:sz w:val="14"/>
                <w:szCs w:val="14"/>
                <w:color w:val="auto"/>
              </w:rPr>
            </w:pPr>
          </w:p>
        </w:tc>
        <w:tc>
          <w:tcPr>
            <w:tcW w:w="2140" w:type="dxa"/>
            <w:vAlign w:val="bottom"/>
            <w:gridSpan w:val="5"/>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60" w:type="dxa"/>
            <w:vAlign w:val="bottom"/>
            <w:gridSpan w:val="6"/>
          </w:tcPr>
          <w:p>
            <w:pPr>
              <w:jc w:val="right"/>
              <w:ind w:right="440"/>
              <w:spacing w:after="0"/>
              <w:rPr>
                <w:sz w:val="20"/>
                <w:szCs w:val="20"/>
                <w:color w:val="auto"/>
              </w:rPr>
            </w:pPr>
            <w:r>
              <w:rPr>
                <w:rFonts w:ascii="Arial" w:cs="Arial" w:eastAsia="Arial" w:hAnsi="Arial"/>
                <w:sz w:val="14"/>
                <w:szCs w:val="14"/>
                <w:b w:val="1"/>
                <w:bCs w:val="1"/>
                <w:color w:val="auto"/>
                <w:w w:val="95"/>
              </w:rPr>
              <w:t>For the nine months ended</w:t>
            </w:r>
          </w:p>
        </w:tc>
        <w:tc>
          <w:tcPr>
            <w:tcW w:w="0" w:type="dxa"/>
            <w:vAlign w:val="bottom"/>
          </w:tcPr>
          <w:p>
            <w:pPr>
              <w:spacing w:after="0"/>
              <w:rPr>
                <w:sz w:val="1"/>
                <w:szCs w:val="1"/>
                <w:color w:val="auto"/>
              </w:rPr>
            </w:pPr>
          </w:p>
        </w:tc>
      </w:tr>
      <w:tr>
        <w:trPr>
          <w:trHeight w:val="171"/>
        </w:trPr>
        <w:tc>
          <w:tcPr>
            <w:tcW w:w="606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4"/>
          </w:tcPr>
          <w:p>
            <w:pPr>
              <w:jc w:val="right"/>
              <w:ind w:right="330"/>
              <w:spacing w:after="0"/>
              <w:rPr>
                <w:sz w:val="20"/>
                <w:szCs w:val="20"/>
                <w:color w:val="auto"/>
              </w:rPr>
            </w:pPr>
            <w:r>
              <w:rPr>
                <w:rFonts w:ascii="Arial" w:cs="Arial" w:eastAsia="Arial" w:hAnsi="Arial"/>
                <w:sz w:val="14"/>
                <w:szCs w:val="14"/>
                <w:b w:val="1"/>
                <w:bCs w:val="1"/>
                <w:color w:val="auto"/>
                <w:w w:val="96"/>
              </w:rPr>
              <w:t>September 30,</w:t>
            </w:r>
          </w:p>
        </w:tc>
        <w:tc>
          <w:tcPr>
            <w:tcW w:w="4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060" w:type="dxa"/>
            <w:vAlign w:val="bottom"/>
          </w:tcPr>
          <w:p>
            <w:pPr>
              <w:spacing w:after="0"/>
              <w:rPr>
                <w:sz w:val="12"/>
                <w:szCs w:val="12"/>
                <w:color w:val="auto"/>
              </w:rPr>
            </w:pPr>
          </w:p>
        </w:tc>
        <w:tc>
          <w:tcPr>
            <w:tcW w:w="7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2015</w:t>
            </w:r>
          </w:p>
        </w:tc>
        <w:tc>
          <w:tcPr>
            <w:tcW w:w="38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2014</w:t>
            </w:r>
          </w:p>
        </w:tc>
        <w:tc>
          <w:tcPr>
            <w:tcW w:w="42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337"/>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353"/>
              <w:spacing w:after="0" w:line="142" w:lineRule="exact"/>
              <w:rPr>
                <w:sz w:val="20"/>
                <w:szCs w:val="20"/>
                <w:color w:val="auto"/>
              </w:rPr>
            </w:pPr>
            <w:r>
              <w:rPr>
                <w:rFonts w:ascii="Arial" w:cs="Arial" w:eastAsia="Arial" w:hAnsi="Arial"/>
                <w:sz w:val="14"/>
                <w:szCs w:val="14"/>
                <w:b w:val="1"/>
                <w:bCs w:val="1"/>
                <w:color w:val="auto"/>
                <w:w w:val="96"/>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0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60" w:type="dxa"/>
            <w:vAlign w:val="bottom"/>
            <w:gridSpan w:val="3"/>
          </w:tcPr>
          <w:p>
            <w:pPr>
              <w:jc w:val="right"/>
              <w:ind w:right="10"/>
              <w:spacing w:after="0" w:line="142" w:lineRule="exact"/>
              <w:rPr>
                <w:sz w:val="20"/>
                <w:szCs w:val="20"/>
                <w:color w:val="auto"/>
              </w:rPr>
            </w:pPr>
            <w:r>
              <w:rPr>
                <w:rFonts w:ascii="Arial" w:cs="Arial" w:eastAsia="Arial" w:hAnsi="Arial"/>
                <w:sz w:val="14"/>
                <w:szCs w:val="14"/>
                <w:b w:val="1"/>
                <w:bCs w:val="1"/>
                <w:color w:val="auto"/>
              </w:rPr>
              <w:t>(in millions)</w:t>
            </w: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available-for-sale</w:t>
            </w:r>
          </w:p>
        </w:tc>
        <w:tc>
          <w:tcPr>
            <w:tcW w:w="780" w:type="dxa"/>
            <w:vAlign w:val="bottom"/>
            <w:shd w:val="clear" w:color="auto" w:fill="CCEEFF"/>
          </w:tcPr>
          <w:p>
            <w:pPr>
              <w:jc w:val="right"/>
              <w:ind w:right="627"/>
              <w:spacing w:after="0"/>
              <w:rPr>
                <w:sz w:val="20"/>
                <w:szCs w:val="20"/>
                <w:color w:val="auto"/>
              </w:rPr>
            </w:pPr>
            <w:r>
              <w:rPr>
                <w:rFonts w:ascii="Arial" w:cs="Arial" w:eastAsia="Arial" w:hAnsi="Arial"/>
                <w:sz w:val="15"/>
                <w:szCs w:val="15"/>
                <w:b w:val="1"/>
                <w:bCs w:val="1"/>
                <w:color w:val="auto"/>
                <w:w w:val="71"/>
              </w:rPr>
              <w:t>$</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(6.5)</w:t>
            </w:r>
          </w:p>
        </w:tc>
        <w:tc>
          <w:tcPr>
            <w:tcW w:w="840" w:type="dxa"/>
            <w:vAlign w:val="bottom"/>
            <w:gridSpan w:val="2"/>
            <w:shd w:val="clear" w:color="auto" w:fill="CCEEFF"/>
          </w:tcPr>
          <w:p>
            <w:pPr>
              <w:jc w:val="right"/>
              <w:ind w:right="570"/>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(7.1)</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6.6</w:t>
            </w:r>
          </w:p>
        </w:tc>
        <w:tc>
          <w:tcPr>
            <w:tcW w:w="460" w:type="dxa"/>
            <w:vAlign w:val="bottom"/>
            <w:gridSpan w:val="2"/>
            <w:shd w:val="clear" w:color="auto" w:fill="CCEEFF"/>
          </w:tcPr>
          <w:p>
            <w:pPr>
              <w:jc w:val="right"/>
              <w:ind w:right="22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16"/>
        </w:trPr>
        <w:tc>
          <w:tcPr>
            <w:tcW w:w="606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78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rPr>
              <w:t>(0.2)</w:t>
            </w:r>
          </w:p>
        </w:tc>
        <w:tc>
          <w:tcPr>
            <w:tcW w:w="340" w:type="dxa"/>
            <w:vAlign w:val="bottom"/>
          </w:tcPr>
          <w:p>
            <w:pPr>
              <w:spacing w:after="0"/>
              <w:rPr>
                <w:sz w:val="18"/>
                <w:szCs w:val="18"/>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0.3</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0"/>
        </w:trPr>
        <w:tc>
          <w:tcPr>
            <w:tcW w:w="6060" w:type="dxa"/>
            <w:vAlign w:val="bottom"/>
            <w:vMerge w:val="restart"/>
            <w:shd w:val="clear" w:color="auto" w:fill="CCEEFF"/>
          </w:tcPr>
          <w:p>
            <w:pPr>
              <w:spacing w:after="0" w:line="201" w:lineRule="exact"/>
              <w:rPr>
                <w:sz w:val="20"/>
                <w:szCs w:val="20"/>
                <w:color w:val="auto"/>
              </w:rPr>
            </w:pPr>
            <w:r>
              <w:rPr>
                <w:rFonts w:ascii="Arial" w:cs="Arial" w:eastAsia="Arial" w:hAnsi="Arial"/>
                <w:sz w:val="18"/>
                <w:szCs w:val="18"/>
                <w:color w:val="auto"/>
                <w:w w:val="94"/>
              </w:rPr>
              <w:t>Total other-than-temporary impairment losses, net of recoveries from the sale of</w:t>
            </w:r>
          </w:p>
        </w:tc>
        <w:tc>
          <w:tcPr>
            <w:tcW w:w="7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060" w:type="dxa"/>
            <w:vAlign w:val="bottom"/>
            <w:vMerge w:val="continue"/>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52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(6.5)</w:t>
            </w:r>
          </w:p>
        </w:tc>
        <w:tc>
          <w:tcPr>
            <w:tcW w:w="8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4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94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6.9</w:t>
            </w:r>
          </w:p>
        </w:tc>
        <w:tc>
          <w:tcPr>
            <w:tcW w:w="80" w:type="dxa"/>
            <w:vAlign w:val="bottom"/>
            <w:shd w:val="clear" w:color="auto" w:fill="CCEEFF"/>
          </w:tcPr>
          <w:p>
            <w:pPr>
              <w:spacing w:after="0"/>
              <w:rPr>
                <w:sz w:val="15"/>
                <w:szCs w:val="15"/>
                <w:color w:val="auto"/>
              </w:rPr>
            </w:pPr>
          </w:p>
        </w:tc>
        <w:tc>
          <w:tcPr>
            <w:tcW w:w="38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60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previously impaired securities</w:t>
            </w:r>
          </w:p>
        </w:tc>
        <w:tc>
          <w:tcPr>
            <w:tcW w:w="780" w:type="dxa"/>
            <w:vAlign w:val="bottom"/>
            <w:shd w:val="clear" w:color="auto" w:fill="CCEEFF"/>
          </w:tcPr>
          <w:p>
            <w:pPr>
              <w:spacing w:after="0"/>
              <w:rPr>
                <w:sz w:val="20"/>
                <w:szCs w:val="20"/>
                <w:color w:val="auto"/>
              </w:rPr>
            </w:pPr>
          </w:p>
        </w:tc>
        <w:tc>
          <w:tcPr>
            <w:tcW w:w="52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(7.3)</w:t>
            </w:r>
          </w:p>
        </w:tc>
        <w:tc>
          <w:tcPr>
            <w:tcW w:w="340" w:type="dxa"/>
            <w:vAlign w:val="bottom"/>
            <w:shd w:val="clear" w:color="auto" w:fill="CCEEFF"/>
          </w:tcPr>
          <w:p>
            <w:pPr>
              <w:spacing w:after="0"/>
              <w:rPr>
                <w:sz w:val="20"/>
                <w:szCs w:val="20"/>
                <w:color w:val="auto"/>
              </w:rPr>
            </w:pPr>
          </w:p>
        </w:tc>
        <w:tc>
          <w:tcPr>
            <w:tcW w:w="94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18.5</w:t>
            </w:r>
          </w:p>
        </w:tc>
        <w:tc>
          <w:tcPr>
            <w:tcW w:w="0" w:type="dxa"/>
            <w:vAlign w:val="bottom"/>
          </w:tcPr>
          <w:p>
            <w:pPr>
              <w:spacing w:after="0"/>
              <w:rPr>
                <w:sz w:val="1"/>
                <w:szCs w:val="1"/>
                <w:color w:val="auto"/>
              </w:rPr>
            </w:pPr>
          </w:p>
        </w:tc>
      </w:tr>
      <w:tr>
        <w:trPr>
          <w:trHeight w:val="202"/>
        </w:trPr>
        <w:tc>
          <w:tcPr>
            <w:tcW w:w="6060" w:type="dxa"/>
            <w:vAlign w:val="bottom"/>
          </w:tcPr>
          <w:p>
            <w:pPr>
              <w:spacing w:after="0" w:line="201" w:lineRule="exact"/>
              <w:rPr>
                <w:sz w:val="20"/>
                <w:szCs w:val="20"/>
                <w:color w:val="auto"/>
              </w:rPr>
            </w:pPr>
            <w:r>
              <w:rPr>
                <w:rFonts w:ascii="Arial" w:cs="Arial" w:eastAsia="Arial" w:hAnsi="Arial"/>
                <w:sz w:val="18"/>
                <w:szCs w:val="18"/>
                <w:color w:val="auto"/>
                <w:w w:val="97"/>
              </w:rPr>
              <w:t>Other-than-temporary impairment losses on fixed maturities, available-for-sale</w:t>
            </w:r>
          </w:p>
        </w:tc>
        <w:tc>
          <w:tcPr>
            <w:tcW w:w="780" w:type="dxa"/>
            <w:vAlign w:val="bottom"/>
          </w:tcPr>
          <w:p>
            <w:pPr>
              <w:spacing w:after="0"/>
              <w:rPr>
                <w:sz w:val="17"/>
                <w:szCs w:val="17"/>
                <w:color w:val="auto"/>
              </w:rPr>
            </w:pPr>
          </w:p>
        </w:tc>
        <w:tc>
          <w:tcPr>
            <w:tcW w:w="52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(1.1)</w:t>
            </w:r>
          </w:p>
        </w:tc>
        <w:tc>
          <w:tcPr>
            <w:tcW w:w="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4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(28.0)</w:t>
            </w: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60" w:type="dxa"/>
            <w:vAlign w:val="bottom"/>
          </w:tcPr>
          <w:p>
            <w:pPr>
              <w:ind w:left="180"/>
              <w:spacing w:after="0"/>
              <w:rPr>
                <w:sz w:val="20"/>
                <w:szCs w:val="20"/>
                <w:color w:val="auto"/>
              </w:rPr>
            </w:pPr>
            <w:r>
              <w:rPr>
                <w:rFonts w:ascii="Arial" w:cs="Arial" w:eastAsia="Arial" w:hAnsi="Arial"/>
                <w:sz w:val="18"/>
                <w:szCs w:val="18"/>
                <w:color w:val="auto"/>
              </w:rPr>
              <w:t>reclassified from OCI (1)</w:t>
            </w:r>
          </w:p>
        </w:tc>
        <w:tc>
          <w:tcPr>
            <w:tcW w:w="780" w:type="dxa"/>
            <w:vAlign w:val="bottom"/>
          </w:tcPr>
          <w:p>
            <w:pPr>
              <w:spacing w:after="0"/>
              <w:rPr>
                <w:sz w:val="20"/>
                <w:szCs w:val="20"/>
                <w:color w:val="auto"/>
              </w:rPr>
            </w:pPr>
          </w:p>
        </w:tc>
        <w:tc>
          <w:tcPr>
            <w:tcW w:w="52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(14.6)</w:t>
            </w:r>
          </w:p>
        </w:tc>
        <w:tc>
          <w:tcPr>
            <w:tcW w:w="340" w:type="dxa"/>
            <w:vAlign w:val="bottom"/>
          </w:tcPr>
          <w:p>
            <w:pPr>
              <w:spacing w:after="0"/>
              <w:rPr>
                <w:sz w:val="20"/>
                <w:szCs w:val="20"/>
                <w:color w:val="auto"/>
              </w:rPr>
            </w:pPr>
          </w:p>
        </w:tc>
        <w:tc>
          <w:tcPr>
            <w:tcW w:w="94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(82.5)</w:t>
            </w:r>
          </w:p>
        </w:tc>
        <w:tc>
          <w:tcPr>
            <w:tcW w:w="0" w:type="dxa"/>
            <w:vAlign w:val="bottom"/>
          </w:tcPr>
          <w:p>
            <w:pPr>
              <w:spacing w:after="0"/>
              <w:rPr>
                <w:sz w:val="1"/>
                <w:szCs w:val="1"/>
                <w:color w:val="auto"/>
              </w:rPr>
            </w:pPr>
          </w:p>
        </w:tc>
      </w:tr>
      <w:tr>
        <w:trPr>
          <w:trHeight w:val="223"/>
        </w:trPr>
        <w:tc>
          <w:tcPr>
            <w:tcW w:w="60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impairment losses on available-for-sale securities</w:t>
            </w:r>
          </w:p>
        </w:tc>
        <w:tc>
          <w:tcPr>
            <w:tcW w:w="780" w:type="dxa"/>
            <w:vAlign w:val="bottom"/>
            <w:tcBorders>
              <w:top w:val="single" w:sz="8" w:color="auto"/>
              <w:bottom w:val="single" w:sz="8" w:color="auto"/>
            </w:tcBorders>
            <w:shd w:val="clear" w:color="auto" w:fill="CCEEFF"/>
          </w:tcPr>
          <w:p>
            <w:pPr>
              <w:jc w:val="right"/>
              <w:ind w:right="627"/>
              <w:spacing w:after="0"/>
              <w:rPr>
                <w:sz w:val="20"/>
                <w:szCs w:val="20"/>
                <w:color w:val="auto"/>
              </w:rPr>
            </w:pPr>
            <w:r>
              <w:rPr>
                <w:rFonts w:ascii="Arial" w:cs="Arial" w:eastAsia="Arial" w:hAnsi="Arial"/>
                <w:sz w:val="15"/>
                <w:szCs w:val="15"/>
                <w:b w:val="1"/>
                <w:bCs w:val="1"/>
                <w:color w:val="auto"/>
                <w:w w:val="71"/>
              </w:rPr>
              <w:t>$</w:t>
            </w:r>
          </w:p>
        </w:tc>
        <w:tc>
          <w:tcPr>
            <w:tcW w:w="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(7.6</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74"/>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760" w:type="dxa"/>
            <w:vAlign w:val="bottom"/>
            <w:tcBorders>
              <w:top w:val="single" w:sz="8" w:color="auto"/>
              <w:bottom w:val="single" w:sz="8" w:color="auto"/>
            </w:tcBorders>
            <w:shd w:val="clear" w:color="auto" w:fill="CCEEFF"/>
          </w:tcPr>
          <w:p>
            <w:pPr>
              <w:jc w:val="right"/>
              <w:ind w:right="570"/>
              <w:spacing w:after="0"/>
              <w:rPr>
                <w:sz w:val="20"/>
                <w:szCs w:val="20"/>
                <w:color w:val="auto"/>
              </w:rPr>
            </w:pPr>
            <w:r>
              <w:rPr>
                <w:rFonts w:ascii="Arial" w:cs="Arial" w:eastAsia="Arial" w:hAnsi="Arial"/>
                <w:sz w:val="18"/>
                <w:szCs w:val="18"/>
                <w:color w:val="auto"/>
                <w:w w:val="79"/>
              </w:rPr>
              <w:t>$</w:t>
            </w:r>
          </w:p>
        </w:tc>
        <w:tc>
          <w:tcPr>
            <w:tcW w:w="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(21.9</w:t>
            </w:r>
          </w:p>
        </w:tc>
        <w:tc>
          <w:tcPr>
            <w:tcW w:w="200" w:type="dxa"/>
            <w:vAlign w:val="bottom"/>
            <w:tcBorders>
              <w:top w:val="single" w:sz="8" w:color="CCEEFF"/>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74"/>
              </w:rPr>
              <w:t>)</w:t>
            </w: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(21.1</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74"/>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380" w:type="dxa"/>
            <w:vAlign w:val="bottom"/>
            <w:tcBorders>
              <w:top w:val="single" w:sz="8" w:color="auto"/>
              <w:bottom w:val="single" w:sz="8" w:color="auto"/>
            </w:tcBorders>
            <w:shd w:val="clear" w:color="auto" w:fill="CCEEFF"/>
          </w:tcPr>
          <w:p>
            <w:pPr>
              <w:jc w:val="right"/>
              <w:ind w:right="22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(64.0</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40" w:right="100" w:hanging="332"/>
        <w:spacing w:after="0" w:line="259" w:lineRule="auto"/>
        <w:tabs>
          <w:tab w:leader="none" w:pos="347"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the net impact of (a) gains resulting from reclassification of noncredit impairment losses for fixed maturities with bifurcated OTTI from net realized capital gains (losses) to OCI and (b) losses resulting from reclassification of previously recognized noncredit impairment losses from OCI to net realized capital gains (losses) for fixed maturities with bifurcated OTTI that had additional credit losses or fixed maturities that previously had bifurcated OTTI that have now been sold or are intended to be sold.</w:t>
      </w:r>
    </w:p>
    <w:p>
      <w:pPr>
        <w:spacing w:after="0" w:line="187"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We estimate the amount of the credit loss component of a fixed maturity security impairment as the difference between amortized cost and the present value of the expected cash flows of the security. The present value is determined using the best estimate cash flows discounted at the effective interest rate implicit to the security at the date of purchase or the current yield to</w:t>
      </w:r>
    </w:p>
    <w:p>
      <w:pPr>
        <w:spacing w:after="0" w:line="18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ectPr>
          <w:pgSz w:w="11900" w:h="16838" w:orient="portrait"/>
          <w:cols w:equalWidth="0" w:num="1">
            <w:col w:w="11460"/>
          </w:cols>
          <w:pgMar w:left="240" w:top="140" w:right="199" w:bottom="0" w:gutter="0" w:footer="0" w:header="0"/>
        </w:sectPr>
      </w:pPr>
    </w:p>
    <w:bookmarkStart w:id="12" w:name="page13"/>
    <w:bookmarkEnd w:id="12"/>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20"/>
        <w:spacing w:after="0" w:line="257" w:lineRule="auto"/>
        <w:rPr>
          <w:sz w:val="20"/>
          <w:szCs w:val="20"/>
          <w:color w:val="auto"/>
        </w:rPr>
      </w:pPr>
      <w:r>
        <w:rPr>
          <w:rFonts w:ascii="Arial" w:cs="Arial" w:eastAsia="Arial" w:hAnsi="Arial"/>
          <w:sz w:val="18"/>
          <w:szCs w:val="18"/>
          <w:color w:val="auto"/>
        </w:rPr>
        <w:t>accrete an asset-backed or floating rate security. The methodology and assumptions for establishing the best estimate cash flows vary depending on the type of security. The ABS cash flow estimates are based on security specific facts and circumstances that may include collateral characteristics, expectations of delinquency and default rates, loss severity and prepayment speeds and structural support, including subordination and guarantees. The corporate security cash flow estimates are derived from scenario-based outcomes of expected corporate restructurings or liquidations using bond specific facts and circumstances including timing, security interests and loss severity.</w:t>
      </w:r>
    </w:p>
    <w:p>
      <w:pPr>
        <w:spacing w:after="0" w:line="188"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The following table provides a rollforward of accumulated credit losses for fixed maturities with bifurcated credit losses. The purpose of the table is to provide detail of (1) additions to the bifurcated credit loss amounts recognized in net realized capital gains (losses) during the period and (2) decrements for previously recognized bifurcated credit losses where the loss is no longer bifurcated and/or there has been a positive change in expected cash flows or accretion of the bifurcated credit loss amount.</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50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w w:val="99"/>
              </w:rPr>
              <w:t>For the three months ended</w:t>
            </w:r>
          </w:p>
        </w:tc>
        <w:tc>
          <w:tcPr>
            <w:tcW w:w="340" w:type="dxa"/>
            <w:vAlign w:val="bottom"/>
          </w:tcPr>
          <w:p>
            <w:pPr>
              <w:spacing w:after="0"/>
              <w:rPr>
                <w:sz w:val="14"/>
                <w:szCs w:val="14"/>
                <w:color w:val="auto"/>
              </w:rPr>
            </w:pPr>
          </w:p>
        </w:tc>
        <w:tc>
          <w:tcPr>
            <w:tcW w:w="2260" w:type="dxa"/>
            <w:vAlign w:val="bottom"/>
            <w:gridSpan w:val="6"/>
          </w:tcPr>
          <w:p>
            <w:pPr>
              <w:jc w:val="right"/>
              <w:ind w:right="440"/>
              <w:spacing w:after="0"/>
              <w:rPr>
                <w:sz w:val="20"/>
                <w:szCs w:val="20"/>
                <w:color w:val="auto"/>
              </w:rPr>
            </w:pPr>
            <w:r>
              <w:rPr>
                <w:rFonts w:ascii="Arial" w:cs="Arial" w:eastAsia="Arial" w:hAnsi="Arial"/>
                <w:sz w:val="14"/>
                <w:szCs w:val="14"/>
                <w:b w:val="1"/>
                <w:bCs w:val="1"/>
                <w:color w:val="auto"/>
                <w:w w:val="95"/>
              </w:rPr>
              <w:t>For the nine months ended</w:t>
            </w:r>
          </w:p>
        </w:tc>
        <w:tc>
          <w:tcPr>
            <w:tcW w:w="0" w:type="dxa"/>
            <w:vAlign w:val="bottom"/>
          </w:tcPr>
          <w:p>
            <w:pPr>
              <w:spacing w:after="0"/>
              <w:rPr>
                <w:sz w:val="1"/>
                <w:szCs w:val="1"/>
                <w:color w:val="auto"/>
              </w:rPr>
            </w:pPr>
          </w:p>
        </w:tc>
      </w:tr>
      <w:tr>
        <w:trPr>
          <w:trHeight w:val="171"/>
        </w:trPr>
        <w:tc>
          <w:tcPr>
            <w:tcW w:w="606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06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jc w:val="right"/>
              <w:ind w:right="355"/>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354"/>
              <w:spacing w:after="0" w:line="142" w:lineRule="exact"/>
              <w:rPr>
                <w:sz w:val="20"/>
                <w:szCs w:val="20"/>
                <w:color w:val="auto"/>
              </w:rPr>
            </w:pPr>
            <w:r>
              <w:rPr>
                <w:rFonts w:ascii="Arial" w:cs="Arial" w:eastAsia="Arial" w:hAnsi="Arial"/>
                <w:sz w:val="14"/>
                <w:szCs w:val="14"/>
                <w:b w:val="1"/>
                <w:bCs w:val="1"/>
                <w:color w:val="auto"/>
              </w:rPr>
              <w:t>2014</w:t>
            </w:r>
          </w:p>
        </w:tc>
        <w:tc>
          <w:tcPr>
            <w:tcW w:w="20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335"/>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352"/>
              <w:spacing w:after="0" w:line="142" w:lineRule="exact"/>
              <w:rPr>
                <w:sz w:val="20"/>
                <w:szCs w:val="20"/>
                <w:color w:val="auto"/>
              </w:rPr>
            </w:pPr>
            <w:r>
              <w:rPr>
                <w:rFonts w:ascii="Arial" w:cs="Arial" w:eastAsia="Arial" w:hAnsi="Arial"/>
                <w:sz w:val="14"/>
                <w:szCs w:val="14"/>
                <w:b w:val="1"/>
                <w:bCs w:val="1"/>
                <w:color w:val="auto"/>
                <w:w w:val="96"/>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0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340" w:type="dxa"/>
            <w:vAlign w:val="bottom"/>
            <w:gridSpan w:val="3"/>
          </w:tcPr>
          <w:p>
            <w:pPr>
              <w:jc w:val="right"/>
              <w:ind w:right="10"/>
              <w:spacing w:after="0" w:line="142" w:lineRule="exact"/>
              <w:rPr>
                <w:sz w:val="20"/>
                <w:szCs w:val="20"/>
                <w:color w:val="auto"/>
              </w:rPr>
            </w:pPr>
            <w:r>
              <w:rPr>
                <w:rFonts w:ascii="Arial" w:cs="Arial" w:eastAsia="Arial" w:hAnsi="Arial"/>
                <w:sz w:val="14"/>
                <w:szCs w:val="14"/>
                <w:b w:val="1"/>
                <w:bCs w:val="1"/>
                <w:color w:val="auto"/>
              </w:rPr>
              <w:t>(in millions)</w:t>
            </w: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Beginning balance</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(134.7)</w:t>
            </w:r>
          </w:p>
        </w:tc>
        <w:tc>
          <w:tcPr>
            <w:tcW w:w="46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(185.7)</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(144.4)</w:t>
            </w:r>
          </w:p>
        </w:tc>
        <w:tc>
          <w:tcPr>
            <w:tcW w:w="460" w:type="dxa"/>
            <w:vAlign w:val="bottom"/>
            <w:gridSpan w:val="2"/>
            <w:shd w:val="clear" w:color="auto" w:fill="CCEEFF"/>
          </w:tcPr>
          <w:p>
            <w:pPr>
              <w:jc w:val="right"/>
              <w:ind w:right="22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(235.4)</w:t>
            </w:r>
          </w:p>
        </w:tc>
        <w:tc>
          <w:tcPr>
            <w:tcW w:w="0" w:type="dxa"/>
            <w:vAlign w:val="bottom"/>
          </w:tcPr>
          <w:p>
            <w:pPr>
              <w:spacing w:after="0"/>
              <w:rPr>
                <w:sz w:val="1"/>
                <w:szCs w:val="1"/>
                <w:color w:val="auto"/>
              </w:rPr>
            </w:pPr>
          </w:p>
        </w:tc>
      </w:tr>
      <w:tr>
        <w:trPr>
          <w:trHeight w:val="202"/>
        </w:trPr>
        <w:tc>
          <w:tcPr>
            <w:tcW w:w="6060" w:type="dxa"/>
            <w:vAlign w:val="bottom"/>
          </w:tcPr>
          <w:p>
            <w:pPr>
              <w:spacing w:after="0" w:line="201" w:lineRule="exact"/>
              <w:rPr>
                <w:sz w:val="20"/>
                <w:szCs w:val="20"/>
                <w:color w:val="auto"/>
              </w:rPr>
            </w:pPr>
            <w:r>
              <w:rPr>
                <w:rFonts w:ascii="Arial" w:cs="Arial" w:eastAsia="Arial" w:hAnsi="Arial"/>
                <w:sz w:val="18"/>
                <w:szCs w:val="18"/>
                <w:color w:val="auto"/>
                <w:w w:val="96"/>
              </w:rPr>
              <w:t>Credit losses for which an other-than-temporary impairment was not previously</w:t>
            </w:r>
          </w:p>
        </w:tc>
        <w:tc>
          <w:tcPr>
            <w:tcW w:w="260" w:type="dxa"/>
            <w:vAlign w:val="bottom"/>
          </w:tcPr>
          <w:p>
            <w:pPr>
              <w:spacing w:after="0"/>
              <w:rPr>
                <w:sz w:val="17"/>
                <w:szCs w:val="17"/>
                <w:color w:val="auto"/>
              </w:rPr>
            </w:pPr>
          </w:p>
        </w:tc>
        <w:tc>
          <w:tcPr>
            <w:tcW w:w="104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(4.3)</w:t>
            </w: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4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(5.9)</w:t>
            </w: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60" w:type="dxa"/>
            <w:vAlign w:val="bottom"/>
          </w:tcPr>
          <w:p>
            <w:pPr>
              <w:ind w:left="180"/>
              <w:spacing w:after="0"/>
              <w:rPr>
                <w:sz w:val="20"/>
                <w:szCs w:val="20"/>
                <w:color w:val="auto"/>
              </w:rPr>
            </w:pPr>
            <w:r>
              <w:rPr>
                <w:rFonts w:ascii="Arial" w:cs="Arial" w:eastAsia="Arial" w:hAnsi="Arial"/>
                <w:sz w:val="18"/>
                <w:szCs w:val="18"/>
                <w:color w:val="auto"/>
              </w:rPr>
              <w:t>recognized</w:t>
            </w:r>
          </w:p>
        </w:tc>
        <w:tc>
          <w:tcPr>
            <w:tcW w:w="260" w:type="dxa"/>
            <w:vAlign w:val="bottom"/>
          </w:tcPr>
          <w:p>
            <w:pPr>
              <w:spacing w:after="0"/>
              <w:rPr>
                <w:sz w:val="20"/>
                <w:szCs w:val="20"/>
                <w:color w:val="auto"/>
              </w:rPr>
            </w:pPr>
          </w:p>
        </w:tc>
        <w:tc>
          <w:tcPr>
            <w:tcW w:w="104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(2.2)</w:t>
            </w:r>
          </w:p>
        </w:tc>
        <w:tc>
          <w:tcPr>
            <w:tcW w:w="340" w:type="dxa"/>
            <w:vAlign w:val="bottom"/>
          </w:tcPr>
          <w:p>
            <w:pPr>
              <w:spacing w:after="0"/>
              <w:rPr>
                <w:sz w:val="20"/>
                <w:szCs w:val="20"/>
                <w:color w:val="auto"/>
              </w:rPr>
            </w:pPr>
          </w:p>
        </w:tc>
        <w:tc>
          <w:tcPr>
            <w:tcW w:w="94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02"/>
        </w:trPr>
        <w:tc>
          <w:tcPr>
            <w:tcW w:w="60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Credit losses for which an other-than-temporary impairment was previously</w:t>
            </w:r>
          </w:p>
        </w:tc>
        <w:tc>
          <w:tcPr>
            <w:tcW w:w="260" w:type="dxa"/>
            <w:vAlign w:val="bottom"/>
            <w:shd w:val="clear" w:color="auto" w:fill="CCEEFF"/>
          </w:tcPr>
          <w:p>
            <w:pPr>
              <w:spacing w:after="0"/>
              <w:rPr>
                <w:sz w:val="17"/>
                <w:szCs w:val="17"/>
                <w:color w:val="auto"/>
              </w:rPr>
            </w:pPr>
          </w:p>
        </w:tc>
        <w:tc>
          <w:tcPr>
            <w:tcW w:w="104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(3.2)</w:t>
            </w:r>
          </w:p>
        </w:tc>
        <w:tc>
          <w:tcPr>
            <w:tcW w:w="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4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(11.3)</w:t>
            </w:r>
          </w:p>
        </w:tc>
        <w:tc>
          <w:tcPr>
            <w:tcW w:w="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recognized</w:t>
            </w:r>
          </w:p>
        </w:tc>
        <w:tc>
          <w:tcPr>
            <w:tcW w:w="260" w:type="dxa"/>
            <w:vAlign w:val="bottom"/>
            <w:shd w:val="clear" w:color="auto" w:fill="CCEEFF"/>
          </w:tcPr>
          <w:p>
            <w:pPr>
              <w:spacing w:after="0"/>
              <w:rPr>
                <w:sz w:val="20"/>
                <w:szCs w:val="20"/>
                <w:color w:val="auto"/>
              </w:rPr>
            </w:pPr>
          </w:p>
        </w:tc>
        <w:tc>
          <w:tcPr>
            <w:tcW w:w="104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(21.0)</w:t>
            </w:r>
          </w:p>
        </w:tc>
        <w:tc>
          <w:tcPr>
            <w:tcW w:w="340" w:type="dxa"/>
            <w:vAlign w:val="bottom"/>
            <w:shd w:val="clear" w:color="auto" w:fill="CCEEFF"/>
          </w:tcPr>
          <w:p>
            <w:pPr>
              <w:spacing w:after="0"/>
              <w:rPr>
                <w:sz w:val="20"/>
                <w:szCs w:val="20"/>
                <w:color w:val="auto"/>
              </w:rPr>
            </w:pPr>
          </w:p>
        </w:tc>
        <w:tc>
          <w:tcPr>
            <w:tcW w:w="94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(65.5)</w:t>
            </w:r>
          </w:p>
        </w:tc>
        <w:tc>
          <w:tcPr>
            <w:tcW w:w="0" w:type="dxa"/>
            <w:vAlign w:val="bottom"/>
          </w:tcPr>
          <w:p>
            <w:pPr>
              <w:spacing w:after="0"/>
              <w:rPr>
                <w:sz w:val="1"/>
                <w:szCs w:val="1"/>
                <w:color w:val="auto"/>
              </w:rPr>
            </w:pPr>
          </w:p>
        </w:tc>
      </w:tr>
      <w:tr>
        <w:trPr>
          <w:trHeight w:val="202"/>
        </w:trPr>
        <w:tc>
          <w:tcPr>
            <w:tcW w:w="6060" w:type="dxa"/>
            <w:vAlign w:val="bottom"/>
          </w:tcPr>
          <w:p>
            <w:pPr>
              <w:spacing w:after="0" w:line="201" w:lineRule="exact"/>
              <w:rPr>
                <w:sz w:val="20"/>
                <w:szCs w:val="20"/>
                <w:color w:val="auto"/>
              </w:rPr>
            </w:pPr>
            <w:r>
              <w:rPr>
                <w:rFonts w:ascii="Arial" w:cs="Arial" w:eastAsia="Arial" w:hAnsi="Arial"/>
                <w:sz w:val="18"/>
                <w:szCs w:val="18"/>
                <w:color w:val="auto"/>
                <w:w w:val="96"/>
              </w:rPr>
              <w:t>Reduction for credit losses previously recognized on fixed maturities now sold,</w:t>
            </w:r>
          </w:p>
        </w:tc>
        <w:tc>
          <w:tcPr>
            <w:tcW w:w="260" w:type="dxa"/>
            <w:vAlign w:val="bottom"/>
          </w:tcPr>
          <w:p>
            <w:pPr>
              <w:spacing w:after="0"/>
              <w:rPr>
                <w:sz w:val="17"/>
                <w:szCs w:val="17"/>
                <w:color w:val="auto"/>
              </w:rPr>
            </w:pPr>
          </w:p>
        </w:tc>
        <w:tc>
          <w:tcPr>
            <w:tcW w:w="9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3.8</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40" w:type="dxa"/>
            <w:vAlign w:val="bottom"/>
            <w:gridSpan w:val="2"/>
            <w:vMerge w:val="restart"/>
          </w:tcPr>
          <w:p>
            <w:pPr>
              <w:jc w:val="right"/>
              <w:ind w:right="60"/>
              <w:spacing w:after="0"/>
              <w:rPr>
                <w:sz w:val="20"/>
                <w:szCs w:val="20"/>
                <w:color w:val="auto"/>
              </w:rPr>
            </w:pPr>
            <w:r>
              <w:rPr>
                <w:rFonts w:ascii="Arial" w:cs="Arial" w:eastAsia="Arial" w:hAnsi="Arial"/>
                <w:sz w:val="18"/>
                <w:szCs w:val="18"/>
                <w:b w:val="1"/>
                <w:bCs w:val="1"/>
                <w:color w:val="auto"/>
              </w:rPr>
              <w:t>20.0</w:t>
            </w: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60" w:type="dxa"/>
            <w:vAlign w:val="bottom"/>
          </w:tcPr>
          <w:p>
            <w:pPr>
              <w:ind w:left="180"/>
              <w:spacing w:after="0"/>
              <w:rPr>
                <w:sz w:val="20"/>
                <w:szCs w:val="20"/>
                <w:color w:val="auto"/>
              </w:rPr>
            </w:pPr>
            <w:r>
              <w:rPr>
                <w:rFonts w:ascii="Arial" w:cs="Arial" w:eastAsia="Arial" w:hAnsi="Arial"/>
                <w:sz w:val="18"/>
                <w:szCs w:val="18"/>
                <w:color w:val="auto"/>
              </w:rPr>
              <w:t>paid down or intended to be sold</w:t>
            </w:r>
          </w:p>
        </w:tc>
        <w:tc>
          <w:tcPr>
            <w:tcW w:w="260" w:type="dxa"/>
            <w:vAlign w:val="bottom"/>
          </w:tcPr>
          <w:p>
            <w:pPr>
              <w:spacing w:after="0"/>
              <w:rPr>
                <w:sz w:val="20"/>
                <w:szCs w:val="20"/>
                <w:color w:val="auto"/>
              </w:rPr>
            </w:pPr>
          </w:p>
        </w:tc>
        <w:tc>
          <w:tcPr>
            <w:tcW w:w="90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18.0</w:t>
            </w:r>
          </w:p>
        </w:tc>
        <w:tc>
          <w:tcPr>
            <w:tcW w:w="340" w:type="dxa"/>
            <w:vAlign w:val="bottom"/>
          </w:tcPr>
          <w:p>
            <w:pPr>
              <w:spacing w:after="0"/>
              <w:rPr>
                <w:sz w:val="20"/>
                <w:szCs w:val="20"/>
                <w:color w:val="auto"/>
              </w:rPr>
            </w:pPr>
          </w:p>
        </w:tc>
        <w:tc>
          <w:tcPr>
            <w:tcW w:w="94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112.0</w:t>
            </w:r>
          </w:p>
        </w:tc>
        <w:tc>
          <w:tcPr>
            <w:tcW w:w="0" w:type="dxa"/>
            <w:vAlign w:val="bottom"/>
          </w:tcPr>
          <w:p>
            <w:pPr>
              <w:spacing w:after="0"/>
              <w:rPr>
                <w:sz w:val="1"/>
                <w:szCs w:val="1"/>
                <w:color w:val="auto"/>
              </w:rPr>
            </w:pPr>
          </w:p>
        </w:tc>
      </w:tr>
      <w:tr>
        <w:trPr>
          <w:trHeight w:val="202"/>
        </w:trPr>
        <w:tc>
          <w:tcPr>
            <w:tcW w:w="60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8"/>
              </w:rPr>
              <w:t>Net reduction for positive changes in cash flows expected to be collected and</w:t>
            </w:r>
          </w:p>
        </w:tc>
        <w:tc>
          <w:tcPr>
            <w:tcW w:w="26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2.2</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4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5.2</w:t>
            </w:r>
          </w:p>
        </w:tc>
        <w:tc>
          <w:tcPr>
            <w:tcW w:w="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amortization (1)</w:t>
            </w:r>
          </w:p>
        </w:tc>
        <w:tc>
          <w:tcPr>
            <w:tcW w:w="260" w:type="dxa"/>
            <w:vAlign w:val="bottom"/>
            <w:shd w:val="clear" w:color="auto" w:fill="CCEEFF"/>
          </w:tcPr>
          <w:p>
            <w:pPr>
              <w:spacing w:after="0"/>
              <w:rPr>
                <w:sz w:val="20"/>
                <w:szCs w:val="20"/>
                <w:color w:val="auto"/>
              </w:rPr>
            </w:pPr>
          </w:p>
        </w:tc>
        <w:tc>
          <w:tcPr>
            <w:tcW w:w="900" w:type="dxa"/>
            <w:vAlign w:val="bottom"/>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w:t>
            </w:r>
          </w:p>
        </w:tc>
        <w:tc>
          <w:tcPr>
            <w:tcW w:w="340" w:type="dxa"/>
            <w:vAlign w:val="bottom"/>
            <w:shd w:val="clear" w:color="auto" w:fill="CCEEFF"/>
          </w:tcPr>
          <w:p>
            <w:pPr>
              <w:spacing w:after="0"/>
              <w:rPr>
                <w:sz w:val="20"/>
                <w:szCs w:val="20"/>
                <w:color w:val="auto"/>
              </w:rPr>
            </w:pPr>
          </w:p>
        </w:tc>
        <w:tc>
          <w:tcPr>
            <w:tcW w:w="94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6060" w:type="dxa"/>
            <w:vAlign w:val="bottom"/>
          </w:tcPr>
          <w:p>
            <w:pPr>
              <w:spacing w:after="0"/>
              <w:rPr>
                <w:sz w:val="20"/>
                <w:szCs w:val="20"/>
                <w:color w:val="auto"/>
              </w:rPr>
            </w:pPr>
            <w:r>
              <w:rPr>
                <w:rFonts w:ascii="Arial" w:cs="Arial" w:eastAsia="Arial" w:hAnsi="Arial"/>
                <w:sz w:val="18"/>
                <w:szCs w:val="18"/>
                <w:color w:val="auto"/>
              </w:rPr>
              <w:t>Foreign currency translation adjustment</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0.4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0.6</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0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Ending balance</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(135.8</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74"/>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380" w:type="dxa"/>
            <w:vAlign w:val="bottom"/>
            <w:tcBorders>
              <w:top w:val="single" w:sz="8" w:color="auto"/>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(189.4</w:t>
            </w:r>
          </w:p>
        </w:tc>
        <w:tc>
          <w:tcPr>
            <w:tcW w:w="200" w:type="dxa"/>
            <w:vAlign w:val="bottom"/>
            <w:tcBorders>
              <w:top w:val="single" w:sz="8" w:color="CCEEFF"/>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74"/>
              </w:rPr>
              <w:t>)</w:t>
            </w: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(135.8</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74"/>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380" w:type="dxa"/>
            <w:vAlign w:val="bottom"/>
            <w:tcBorders>
              <w:top w:val="single" w:sz="8" w:color="auto"/>
              <w:bottom w:val="single" w:sz="8" w:color="auto"/>
            </w:tcBorders>
            <w:shd w:val="clear" w:color="auto" w:fill="CCEEFF"/>
          </w:tcPr>
          <w:p>
            <w:pPr>
              <w:jc w:val="right"/>
              <w:ind w:right="22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(189.4</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Amounts are recognized in net investment income.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Unrealized Losses for Fixed Maturities and Equity Securities</w:t>
      </w:r>
    </w:p>
    <w:p>
      <w:pPr>
        <w:spacing w:after="0" w:line="229" w:lineRule="exact"/>
        <w:rPr>
          <w:sz w:val="20"/>
          <w:szCs w:val="20"/>
          <w:color w:val="auto"/>
        </w:rPr>
      </w:pPr>
    </w:p>
    <w:p>
      <w:pPr>
        <w:jc w:val="both"/>
        <w:ind w:right="380" w:firstLine="648"/>
        <w:spacing w:after="0" w:line="264" w:lineRule="auto"/>
        <w:rPr>
          <w:sz w:val="20"/>
          <w:szCs w:val="20"/>
          <w:color w:val="auto"/>
        </w:rPr>
      </w:pPr>
      <w:r>
        <w:rPr>
          <w:rFonts w:ascii="Arial" w:cs="Arial" w:eastAsia="Arial" w:hAnsi="Arial"/>
          <w:sz w:val="18"/>
          <w:szCs w:val="18"/>
          <w:color w:val="auto"/>
        </w:rPr>
        <w:t>For fixed maturities and equity securities available-for-sale with unrealized losses, including other-than-temporary impairment losses reported in OCI, the gross unrealized losses and fair value, aggregated by investment category and length of time that individual securities have been in a continuous unrealized loss position are summarized as follows: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5"/>
          </w:tcPr>
          <w:p>
            <w:pPr>
              <w:jc w:val="center"/>
              <w:ind w:right="500"/>
              <w:spacing w:after="0"/>
              <w:rPr>
                <w:sz w:val="20"/>
                <w:szCs w:val="20"/>
                <w:color w:val="auto"/>
              </w:rPr>
            </w:pPr>
            <w:r>
              <w:rPr>
                <w:rFonts w:ascii="Arial" w:cs="Arial" w:eastAsia="Arial" w:hAnsi="Arial"/>
                <w:sz w:val="14"/>
                <w:szCs w:val="14"/>
                <w:b w:val="1"/>
                <w:bCs w:val="1"/>
                <w:color w:val="auto"/>
                <w:w w:val="91"/>
              </w:rPr>
              <w:t>September 30, 2015</w:t>
            </w: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7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00" w:type="dxa"/>
            <w:vAlign w:val="bottom"/>
            <w:gridSpan w:val="6"/>
          </w:tcPr>
          <w:p>
            <w:pPr>
              <w:jc w:val="right"/>
              <w:ind w:right="860"/>
              <w:spacing w:after="0" w:line="119" w:lineRule="exact"/>
              <w:rPr>
                <w:sz w:val="20"/>
                <w:szCs w:val="20"/>
                <w:color w:val="auto"/>
              </w:rPr>
            </w:pPr>
            <w:r>
              <w:rPr>
                <w:rFonts w:ascii="Arial" w:cs="Arial" w:eastAsia="Arial" w:hAnsi="Arial"/>
                <w:sz w:val="13"/>
                <w:szCs w:val="13"/>
                <w:b w:val="1"/>
                <w:bCs w:val="1"/>
                <w:color w:val="auto"/>
              </w:rPr>
              <w:t>Less than</w:t>
            </w: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60" w:type="dxa"/>
            <w:vAlign w:val="bottom"/>
            <w:gridSpan w:val="5"/>
          </w:tcPr>
          <w:p>
            <w:pPr>
              <w:ind w:left="340"/>
              <w:spacing w:after="0" w:line="119" w:lineRule="exact"/>
              <w:rPr>
                <w:sz w:val="20"/>
                <w:szCs w:val="20"/>
                <w:color w:val="auto"/>
              </w:rPr>
            </w:pPr>
            <w:r>
              <w:rPr>
                <w:rFonts w:ascii="Arial" w:cs="Arial" w:eastAsia="Arial" w:hAnsi="Arial"/>
                <w:sz w:val="13"/>
                <w:szCs w:val="13"/>
                <w:b w:val="1"/>
                <w:bCs w:val="1"/>
                <w:color w:val="auto"/>
              </w:rPr>
              <w:t>Greater than or</w:t>
            </w:r>
          </w:p>
        </w:tc>
        <w:tc>
          <w:tcPr>
            <w:tcW w:w="180" w:type="dxa"/>
            <w:vAlign w:val="bottom"/>
          </w:tcPr>
          <w:p>
            <w:pPr>
              <w:spacing w:after="0"/>
              <w:rPr>
                <w:sz w:val="10"/>
                <w:szCs w:val="10"/>
                <w:color w:val="auto"/>
              </w:rPr>
            </w:pPr>
          </w:p>
        </w:tc>
        <w:tc>
          <w:tcPr>
            <w:tcW w:w="1060" w:type="dxa"/>
            <w:vAlign w:val="bottom"/>
            <w:gridSpan w:val="4"/>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00" w:type="dxa"/>
            <w:vAlign w:val="bottom"/>
            <w:gridSpan w:val="6"/>
          </w:tcPr>
          <w:p>
            <w:pPr>
              <w:jc w:val="right"/>
              <w:ind w:right="720"/>
              <w:spacing w:after="0"/>
              <w:rPr>
                <w:sz w:val="20"/>
                <w:szCs w:val="20"/>
                <w:color w:val="auto"/>
              </w:rPr>
            </w:pPr>
            <w:r>
              <w:rPr>
                <w:rFonts w:ascii="Arial" w:cs="Arial" w:eastAsia="Arial" w:hAnsi="Arial"/>
                <w:sz w:val="14"/>
                <w:szCs w:val="14"/>
                <w:b w:val="1"/>
                <w:bCs w:val="1"/>
                <w:color w:val="auto"/>
              </w:rPr>
              <w:t>twelve months</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60" w:type="dxa"/>
            <w:vAlign w:val="bottom"/>
            <w:gridSpan w:val="5"/>
          </w:tcPr>
          <w:p>
            <w:pPr>
              <w:ind w:left="120"/>
              <w:spacing w:after="0"/>
              <w:rPr>
                <w:sz w:val="20"/>
                <w:szCs w:val="20"/>
                <w:color w:val="auto"/>
              </w:rPr>
            </w:pPr>
            <w:r>
              <w:rPr>
                <w:rFonts w:ascii="Arial" w:cs="Arial" w:eastAsia="Arial" w:hAnsi="Arial"/>
                <w:sz w:val="14"/>
                <w:szCs w:val="14"/>
                <w:b w:val="1"/>
                <w:bCs w:val="1"/>
                <w:color w:val="auto"/>
              </w:rPr>
              <w:t>equal to twelve months</w:t>
            </w:r>
          </w:p>
        </w:tc>
        <w:tc>
          <w:tcPr>
            <w:tcW w:w="18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70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gridSpan w:val="2"/>
            <w:vMerge w:val="restart"/>
          </w:tcPr>
          <w:p>
            <w:pPr>
              <w:jc w:val="right"/>
              <w:ind w:right="520"/>
              <w:spacing w:after="0"/>
              <w:rPr>
                <w:sz w:val="20"/>
                <w:szCs w:val="20"/>
                <w:color w:val="auto"/>
              </w:rPr>
            </w:pPr>
            <w:r>
              <w:rPr>
                <w:rFonts w:ascii="Arial" w:cs="Arial" w:eastAsia="Arial" w:hAnsi="Arial"/>
                <w:sz w:val="14"/>
                <w:szCs w:val="14"/>
                <w:b w:val="1"/>
                <w:bCs w:val="1"/>
                <w:color w:val="auto"/>
              </w:rPr>
              <w:t>Fair</w:t>
            </w:r>
          </w:p>
        </w:tc>
        <w:tc>
          <w:tcPr>
            <w:tcW w:w="4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gridSpan w:val="2"/>
            <w:vMerge w:val="restart"/>
          </w:tcPr>
          <w:p>
            <w:pPr>
              <w:ind w:left="140"/>
              <w:spacing w:after="0"/>
              <w:rPr>
                <w:sz w:val="20"/>
                <w:szCs w:val="20"/>
                <w:color w:val="auto"/>
              </w:rPr>
            </w:pPr>
            <w:r>
              <w:rPr>
                <w:rFonts w:ascii="Arial" w:cs="Arial" w:eastAsia="Arial" w:hAnsi="Arial"/>
                <w:sz w:val="14"/>
                <w:szCs w:val="14"/>
                <w:b w:val="1"/>
                <w:bCs w:val="1"/>
                <w:color w:val="auto"/>
              </w:rPr>
              <w:t>Fair</w:t>
            </w:r>
          </w:p>
        </w:tc>
        <w:tc>
          <w:tcPr>
            <w:tcW w:w="1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20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gridSpan w:val="2"/>
            <w:vMerge w:val="restart"/>
          </w:tcPr>
          <w:p>
            <w:pPr>
              <w:jc w:val="center"/>
              <w:ind w:right="280"/>
              <w:spacing w:after="0"/>
              <w:rPr>
                <w:sz w:val="20"/>
                <w:szCs w:val="20"/>
                <w:color w:val="auto"/>
              </w:rPr>
            </w:pPr>
            <w:r>
              <w:rPr>
                <w:rFonts w:ascii="Arial" w:cs="Arial" w:eastAsia="Arial" w:hAnsi="Arial"/>
                <w:sz w:val="14"/>
                <w:szCs w:val="14"/>
                <w:b w:val="1"/>
                <w:bCs w:val="1"/>
                <w:color w:val="auto"/>
              </w:rPr>
              <w:t>Fair</w:t>
            </w:r>
          </w:p>
        </w:tc>
        <w:tc>
          <w:tcPr>
            <w:tcW w:w="10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8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value</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2"/>
              </w:rPr>
              <w:t>losses</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gridSpan w:val="2"/>
          </w:tcPr>
          <w:p>
            <w:pPr>
              <w:ind w:left="100"/>
              <w:spacing w:after="0"/>
              <w:rPr>
                <w:sz w:val="20"/>
                <w:szCs w:val="20"/>
                <w:color w:val="auto"/>
              </w:rPr>
            </w:pPr>
            <w:r>
              <w:rPr>
                <w:rFonts w:ascii="Arial" w:cs="Arial" w:eastAsia="Arial" w:hAnsi="Arial"/>
                <w:sz w:val="14"/>
                <w:szCs w:val="14"/>
                <w:b w:val="1"/>
                <w:bCs w:val="1"/>
                <w:color w:val="auto"/>
              </w:rPr>
              <w:t>value</w:t>
            </w:r>
          </w:p>
        </w:tc>
        <w:tc>
          <w:tcPr>
            <w:tcW w:w="120" w:type="dxa"/>
            <w:vAlign w:val="bottom"/>
          </w:tcPr>
          <w:p>
            <w:pPr>
              <w:spacing w:after="0"/>
              <w:rPr>
                <w:sz w:val="14"/>
                <w:szCs w:val="14"/>
                <w:color w:val="auto"/>
              </w:rPr>
            </w:pPr>
          </w:p>
        </w:tc>
        <w:tc>
          <w:tcPr>
            <w:tcW w:w="10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77"/>
              </w:rPr>
              <w:t>losses</w:t>
            </w:r>
          </w:p>
        </w:tc>
        <w:tc>
          <w:tcPr>
            <w:tcW w:w="180" w:type="dxa"/>
            <w:vAlign w:val="bottom"/>
          </w:tcPr>
          <w:p>
            <w:pPr>
              <w:spacing w:after="0"/>
              <w:rPr>
                <w:sz w:val="14"/>
                <w:szCs w:val="14"/>
                <w:color w:val="auto"/>
              </w:rPr>
            </w:pPr>
          </w:p>
        </w:tc>
        <w:tc>
          <w:tcPr>
            <w:tcW w:w="8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value</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2"/>
              </w:rPr>
              <w:t>losses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70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2060" w:type="dxa"/>
            <w:vAlign w:val="bottom"/>
            <w:tcBorders>
              <w:top w:val="single" w:sz="8" w:color="auto"/>
            </w:tcBorders>
            <w:gridSpan w:val="5"/>
          </w:tcPr>
          <w:p>
            <w:pPr>
              <w:jc w:val="center"/>
              <w:ind w:right="48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8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available-for-sale:</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U.S. government and agencies</w:t>
            </w:r>
          </w:p>
        </w:tc>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218.0</w:t>
            </w:r>
          </w:p>
        </w:tc>
        <w:tc>
          <w:tcPr>
            <w:tcW w:w="20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b w:val="1"/>
                <w:bCs w:val="1"/>
                <w:color w:val="auto"/>
                <w:w w:val="99"/>
              </w:rPr>
              <w:t>$</w:t>
            </w:r>
          </w:p>
        </w:tc>
        <w:tc>
          <w:tcPr>
            <w:tcW w:w="9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3.5</w:t>
            </w:r>
          </w:p>
        </w:tc>
        <w:tc>
          <w:tcPr>
            <w:tcW w:w="320" w:type="dxa"/>
            <w:vAlign w:val="bottom"/>
            <w:gridSpan w:val="2"/>
          </w:tcPr>
          <w:p>
            <w:pPr>
              <w:jc w:val="right"/>
              <w:ind w:right="45"/>
              <w:spacing w:after="0"/>
              <w:rPr>
                <w:sz w:val="20"/>
                <w:szCs w:val="20"/>
                <w:color w:val="auto"/>
              </w:rPr>
            </w:pPr>
            <w:r>
              <w:rPr>
                <w:rFonts w:ascii="Arial" w:cs="Arial" w:eastAsia="Arial" w:hAnsi="Arial"/>
                <w:sz w:val="18"/>
                <w:szCs w:val="18"/>
                <w:b w:val="1"/>
                <w:bCs w:val="1"/>
                <w:color w:val="auto"/>
              </w:rPr>
              <w:t>$</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39.7</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0.2</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257.7</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Non-U.S. governments</w:t>
            </w: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42.0</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1.3</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18.6</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1.9</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60.6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States and political subdivisions</w:t>
            </w: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582.4</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20.1</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6.4</w:t>
            </w:r>
          </w:p>
        </w:tc>
        <w:tc>
          <w:tcPr>
            <w:tcW w:w="12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0.6</w:t>
            </w:r>
          </w:p>
        </w:tc>
        <w:tc>
          <w:tcPr>
            <w:tcW w:w="18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588.8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Corporate</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5,446.5</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229.1</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1,223.3</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210.1</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6,669.8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439.2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Residential mortgage-backed pass-through securities</w:t>
            </w: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260.3</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154.8</w:t>
            </w:r>
          </w:p>
        </w:tc>
        <w:tc>
          <w:tcPr>
            <w:tcW w:w="12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3.4</w:t>
            </w:r>
          </w:p>
        </w:tc>
        <w:tc>
          <w:tcPr>
            <w:tcW w:w="18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415.1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Commercial mortgage-backed securities</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682.6</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7.2</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296.0</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43.4</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978.6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50.6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Collateralized debt obligations</w:t>
            </w: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372.6</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151.2</w:t>
            </w:r>
          </w:p>
        </w:tc>
        <w:tc>
          <w:tcPr>
            <w:tcW w:w="12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21.2</w:t>
            </w:r>
          </w:p>
        </w:tc>
        <w:tc>
          <w:tcPr>
            <w:tcW w:w="18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523.8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 debt obligations</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753.0</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4.3</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360.3</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15.4</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1,113.3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fixed maturities, available-for-sale</w:t>
            </w: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8,357.4</w:t>
            </w:r>
          </w:p>
        </w:tc>
        <w:tc>
          <w:tcPr>
            <w:tcW w:w="20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270.0</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2,250.3</w:t>
            </w:r>
          </w:p>
        </w:tc>
        <w:tc>
          <w:tcPr>
            <w:tcW w:w="22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296.2</w:t>
            </w:r>
          </w:p>
        </w:tc>
        <w:tc>
          <w:tcPr>
            <w:tcW w:w="2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10,607.7</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566.2</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4700" w:type="dxa"/>
            <w:vAlign w:val="bottom"/>
            <w:tcBorders>
              <w:bottom w:val="single" w:sz="8" w:color="CCEEFF"/>
            </w:tcBorders>
            <w:shd w:val="clear" w:color="auto" w:fill="CCEEFF"/>
          </w:tcPr>
          <w:p>
            <w:pPr>
              <w:spacing w:after="0" w:line="190" w:lineRule="exact"/>
              <w:rPr>
                <w:sz w:val="20"/>
                <w:szCs w:val="20"/>
                <w:color w:val="auto"/>
              </w:rPr>
            </w:pPr>
            <w:r>
              <w:rPr>
                <w:rFonts w:ascii="Arial" w:cs="Arial" w:eastAsia="Arial" w:hAnsi="Arial"/>
                <w:sz w:val="18"/>
                <w:szCs w:val="18"/>
                <w:color w:val="auto"/>
              </w:rPr>
              <w:t>Total equity securities, available-for-sale</w:t>
            </w:r>
          </w:p>
        </w:tc>
        <w:tc>
          <w:tcPr>
            <w:tcW w:w="200" w:type="dxa"/>
            <w:vAlign w:val="bottom"/>
            <w:tcBorders>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0.7</w:t>
            </w:r>
          </w:p>
        </w:tc>
        <w:tc>
          <w:tcPr>
            <w:tcW w:w="20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0.2</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33.7</w:t>
            </w:r>
          </w:p>
        </w:tc>
        <w:tc>
          <w:tcPr>
            <w:tcW w:w="2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12.1</w:t>
            </w:r>
          </w:p>
        </w:tc>
        <w:tc>
          <w:tcPr>
            <w:tcW w:w="2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79"/>
              </w:rPr>
              <w:t>$</w:t>
            </w:r>
          </w:p>
        </w:tc>
        <w:tc>
          <w:tcPr>
            <w:tcW w:w="7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34.4</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12.3</w:t>
            </w:r>
          </w:p>
        </w:tc>
        <w:tc>
          <w:tcPr>
            <w:tcW w:w="100" w:type="dxa"/>
            <w:vAlign w:val="bottom"/>
            <w:tcBorders>
              <w:bottom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18</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70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7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7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380" w:firstLine="689"/>
        <w:spacing w:after="0" w:line="302" w:lineRule="auto"/>
        <w:rPr>
          <w:sz w:val="20"/>
          <w:szCs w:val="20"/>
          <w:color w:val="auto"/>
        </w:rPr>
      </w:pPr>
      <w:r>
        <w:rPr>
          <w:rFonts w:ascii="Arial" w:cs="Arial" w:eastAsia="Arial" w:hAnsi="Arial"/>
          <w:sz w:val="16"/>
          <w:szCs w:val="16"/>
          <w:color w:val="auto"/>
        </w:rPr>
        <w:t>Of the total amounts, Principal Life’s consolidated portfolio represented $10,100.0 million in available-for-sale fixed maturities with gross unrealized losses of $537.6 million. Of those fixed maturity securities in Principal Life’s consolidated portfolio with a gross unrealized loss position, 82% were investment grade (rated AAA through BBB-) with an average price of 95 (carrying value/amortized cost) at September 30, 2015. Gross unrealized losses in our fixed maturities portfolio increased during the nine months ended September 30, 2015, due primarily to widening of credit spreads.</w:t>
      </w:r>
    </w:p>
    <w:p>
      <w:pPr>
        <w:spacing w:after="0" w:line="154" w:lineRule="exact"/>
        <w:rPr>
          <w:sz w:val="20"/>
          <w:szCs w:val="20"/>
          <w:color w:val="auto"/>
        </w:rPr>
      </w:pPr>
    </w:p>
    <w:p>
      <w:pPr>
        <w:ind w:right="120" w:firstLine="648"/>
        <w:spacing w:after="0" w:line="312" w:lineRule="auto"/>
        <w:rPr>
          <w:sz w:val="20"/>
          <w:szCs w:val="20"/>
          <w:color w:val="auto"/>
        </w:rPr>
      </w:pPr>
      <w:r>
        <w:rPr>
          <w:rFonts w:ascii="Arial" w:cs="Arial" w:eastAsia="Arial" w:hAnsi="Arial"/>
          <w:sz w:val="16"/>
          <w:szCs w:val="16"/>
          <w:color w:val="auto"/>
        </w:rPr>
        <w:t>For those securities that had been in a continuous unrealized loss position for less than twelve months, Principal Life’s consolidated portfolio held 1,038 securities with a carrying value of $7,986.8 million and unrealized losses of $263.6 million reflecting an average price of 97 at September 30, 2015. Of this portfolio, 85% was investment grade (rated AAA through BBB-) at September 30, 2015, with associated unrealized losses of $182.4 million. The</w:t>
      </w:r>
    </w:p>
    <w:p>
      <w:pPr>
        <w:sectPr>
          <w:pgSz w:w="11900" w:h="16838" w:orient="portrait"/>
          <w:cols w:equalWidth="0" w:num="1">
            <w:col w:w="11460"/>
          </w:cols>
          <w:pgMar w:left="240" w:top="121" w:right="199" w:bottom="0" w:gutter="0" w:footer="0" w:header="0"/>
        </w:sectPr>
      </w:pPr>
    </w:p>
    <w:bookmarkStart w:id="13" w:name="page14"/>
    <w:bookmarkEnd w:id="13"/>
    <w:p>
      <w:pPr>
        <w:ind w:right="420"/>
        <w:spacing w:after="0" w:line="277" w:lineRule="auto"/>
        <w:rPr>
          <w:sz w:val="20"/>
          <w:szCs w:val="20"/>
          <w:color w:val="auto"/>
        </w:rPr>
      </w:pPr>
      <w:r>
        <w:rPr>
          <w:rFonts w:ascii="Arial" w:cs="Arial" w:eastAsia="Arial" w:hAnsi="Arial"/>
          <w:sz w:val="18"/>
          <w:szCs w:val="18"/>
          <w:color w:val="auto"/>
        </w:rPr>
        <w:t>unrealized losses on these securities can primarily be attributed to changes in market interest rates and changes in credit spreads since the securities were acquired.</w:t>
      </w:r>
    </w:p>
    <w:p>
      <w:pPr>
        <w:spacing w:after="0" w:line="170"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 xml:space="preserve">For those securities that had been in a continuous unrealized loss position greater than or equal to twelve months, Principal Life’s consolidated portfolio held 356 securities with a carrying value of $2,113.2 million and unrealized losses of $274.0 million. The average rating of this portfolio was BBB+ with an average price of 89 at September 30, 2015. Of the $274.0 million in unrealized losses, the commercial mortgage-backed securities sector accounts for $43.4 million in unrealized losses </w:t>
      </w:r>
      <w:r>
        <w:rPr>
          <w:rFonts w:ascii="Arial" w:cs="Arial" w:eastAsia="Arial" w:hAnsi="Arial"/>
          <w:sz w:val="17"/>
          <w:szCs w:val="17"/>
          <w:color w:val="auto"/>
        </w:rPr>
        <w:t>with an average price of</w:t>
      </w:r>
      <w:r>
        <w:rPr>
          <w:rFonts w:ascii="Arial" w:cs="Arial" w:eastAsia="Arial" w:hAnsi="Arial"/>
          <w:sz w:val="18"/>
          <w:szCs w:val="18"/>
          <w:color w:val="auto"/>
        </w:rPr>
        <w:t xml:space="preserve"> 87 and an average credit rating of BBB+. The remaining unrealized losses consist primarily of $189.8 million within the corporate sector at September 30, 2015. The average price of the corporate sector was 85 and the average credit rating was BBB. The unrealized losses on these securities can primarily be attributed to changes in market interest rates and changes in credit spreads since the securities were acquired.</w:t>
      </w:r>
    </w:p>
    <w:p>
      <w:pPr>
        <w:spacing w:after="0" w:line="189" w:lineRule="exact"/>
        <w:rPr>
          <w:sz w:val="20"/>
          <w:szCs w:val="20"/>
          <w:color w:val="auto"/>
        </w:rPr>
      </w:pPr>
    </w:p>
    <w:p>
      <w:pPr>
        <w:jc w:val="both"/>
        <w:ind w:right="40" w:firstLine="648"/>
        <w:spacing w:after="0" w:line="264" w:lineRule="auto"/>
        <w:rPr>
          <w:sz w:val="20"/>
          <w:szCs w:val="20"/>
          <w:color w:val="auto"/>
        </w:rPr>
      </w:pPr>
      <w:r>
        <w:rPr>
          <w:rFonts w:ascii="Arial" w:cs="Arial" w:eastAsia="Arial" w:hAnsi="Arial"/>
          <w:sz w:val="18"/>
          <w:szCs w:val="18"/>
          <w:color w:val="auto"/>
        </w:rPr>
        <w:t xml:space="preserve">Because we expected to recover our amortized cost, it was not our intent to sell the fixed maturity available-for-sale securities with unrealized losses and it was not more likely than not that we would be required to sell these securities before recovery of the amortized cost, which may be maturity, we did not consider these investments to be other-than-temporarily impaired at </w:t>
      </w:r>
      <w:r>
        <w:rPr>
          <w:rFonts w:ascii="Arial" w:cs="Arial" w:eastAsia="Arial" w:hAnsi="Arial"/>
          <w:sz w:val="17"/>
          <w:szCs w:val="17"/>
          <w:color w:val="auto"/>
        </w:rPr>
        <w:t>September 30, 2015.</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200" w:type="dxa"/>
            <w:vAlign w:val="bottom"/>
            <w:tcBorders>
              <w:bottom w:val="single" w:sz="8" w:color="auto"/>
            </w:tcBorders>
            <w:gridSpan w:val="6"/>
          </w:tcPr>
          <w:p>
            <w:pPr>
              <w:jc w:val="center"/>
              <w:ind w:right="400"/>
              <w:spacing w:after="0"/>
              <w:rPr>
                <w:sz w:val="20"/>
                <w:szCs w:val="20"/>
                <w:color w:val="auto"/>
              </w:rPr>
            </w:pPr>
            <w:r>
              <w:rPr>
                <w:rFonts w:ascii="Arial" w:cs="Arial" w:eastAsia="Arial" w:hAnsi="Arial"/>
                <w:sz w:val="14"/>
                <w:szCs w:val="14"/>
                <w:b w:val="1"/>
                <w:bCs w:val="1"/>
                <w:color w:val="auto"/>
                <w:w w:val="91"/>
              </w:rPr>
              <w:t>December 31, 2014</w:t>
            </w:r>
          </w:p>
        </w:tc>
        <w:tc>
          <w:tcPr>
            <w:tcW w:w="1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9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40" w:type="dxa"/>
            <w:vAlign w:val="bottom"/>
            <w:gridSpan w:val="4"/>
          </w:tcPr>
          <w:p>
            <w:pPr>
              <w:jc w:val="center"/>
              <w:ind w:left="556"/>
              <w:spacing w:after="0" w:line="119" w:lineRule="exact"/>
              <w:rPr>
                <w:sz w:val="20"/>
                <w:szCs w:val="20"/>
                <w:color w:val="auto"/>
              </w:rPr>
            </w:pPr>
            <w:r>
              <w:rPr>
                <w:rFonts w:ascii="Arial" w:cs="Arial" w:eastAsia="Arial" w:hAnsi="Arial"/>
                <w:sz w:val="13"/>
                <w:szCs w:val="13"/>
                <w:b w:val="1"/>
                <w:bCs w:val="1"/>
                <w:color w:val="auto"/>
                <w:w w:val="98"/>
              </w:rPr>
              <w:t>Less than</w:t>
            </w: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200" w:type="dxa"/>
            <w:vAlign w:val="bottom"/>
            <w:gridSpan w:val="6"/>
          </w:tcPr>
          <w:p>
            <w:pPr>
              <w:jc w:val="center"/>
              <w:ind w:right="320"/>
              <w:spacing w:after="0" w:line="119" w:lineRule="exact"/>
              <w:rPr>
                <w:sz w:val="20"/>
                <w:szCs w:val="20"/>
                <w:color w:val="auto"/>
              </w:rPr>
            </w:pPr>
            <w:r>
              <w:rPr>
                <w:rFonts w:ascii="Arial" w:cs="Arial" w:eastAsia="Arial" w:hAnsi="Arial"/>
                <w:sz w:val="13"/>
                <w:szCs w:val="13"/>
                <w:b w:val="1"/>
                <w:bCs w:val="1"/>
                <w:color w:val="auto"/>
              </w:rPr>
              <w:t>Greater than or</w:t>
            </w: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160" w:type="dxa"/>
            <w:vAlign w:val="bottom"/>
            <w:gridSpan w:val="4"/>
            <w:vMerge w:val="restart"/>
          </w:tcPr>
          <w:p>
            <w:pPr>
              <w:jc w:val="right"/>
              <w:ind w:right="25"/>
              <w:spacing w:after="0"/>
              <w:rPr>
                <w:sz w:val="20"/>
                <w:szCs w:val="20"/>
                <w:color w:val="auto"/>
              </w:rPr>
            </w:pPr>
            <w:r>
              <w:rPr>
                <w:rFonts w:ascii="Arial" w:cs="Arial" w:eastAsia="Arial" w:hAnsi="Arial"/>
                <w:sz w:val="14"/>
                <w:szCs w:val="14"/>
                <w:b w:val="1"/>
                <w:bCs w:val="1"/>
                <w:color w:val="auto"/>
              </w:rPr>
              <w:t>Total</w:t>
            </w: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20" w:type="dxa"/>
            <w:vAlign w:val="bottom"/>
            <w:gridSpan w:val="6"/>
          </w:tcPr>
          <w:p>
            <w:pPr>
              <w:jc w:val="center"/>
              <w:ind w:right="440"/>
              <w:spacing w:after="0"/>
              <w:rPr>
                <w:sz w:val="20"/>
                <w:szCs w:val="20"/>
                <w:color w:val="auto"/>
              </w:rPr>
            </w:pPr>
            <w:r>
              <w:rPr>
                <w:rFonts w:ascii="Arial" w:cs="Arial" w:eastAsia="Arial" w:hAnsi="Arial"/>
                <w:sz w:val="14"/>
                <w:szCs w:val="14"/>
                <w:b w:val="1"/>
                <w:bCs w:val="1"/>
                <w:color w:val="auto"/>
                <w:w w:val="90"/>
              </w:rPr>
              <w:t>twelve months</w:t>
            </w:r>
          </w:p>
        </w:tc>
        <w:tc>
          <w:tcPr>
            <w:tcW w:w="220" w:type="dxa"/>
            <w:vAlign w:val="bottom"/>
          </w:tcPr>
          <w:p>
            <w:pPr>
              <w:spacing w:after="0"/>
              <w:rPr>
                <w:sz w:val="14"/>
                <w:szCs w:val="14"/>
                <w:color w:val="auto"/>
              </w:rPr>
            </w:pPr>
          </w:p>
        </w:tc>
        <w:tc>
          <w:tcPr>
            <w:tcW w:w="220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0"/>
              </w:rPr>
              <w:t>equal to twelve months</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6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98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Fair</w:t>
            </w:r>
          </w:p>
        </w:tc>
        <w:tc>
          <w:tcPr>
            <w:tcW w:w="12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center"/>
              <w:ind w:right="95"/>
              <w:spacing w:after="0" w:line="119" w:lineRule="exact"/>
              <w:rPr>
                <w:sz w:val="20"/>
                <w:szCs w:val="20"/>
                <w:color w:val="auto"/>
              </w:rPr>
            </w:pPr>
            <w:r>
              <w:rPr>
                <w:rFonts w:ascii="Arial" w:cs="Arial" w:eastAsia="Arial" w:hAnsi="Arial"/>
                <w:sz w:val="13"/>
                <w:szCs w:val="13"/>
                <w:b w:val="1"/>
                <w:bCs w:val="1"/>
                <w:color w:val="auto"/>
                <w:w w:val="95"/>
              </w:rPr>
              <w:t>Gross</w:t>
            </w:r>
          </w:p>
        </w:tc>
        <w:tc>
          <w:tcPr>
            <w:tcW w:w="22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Fair</w:t>
            </w:r>
          </w:p>
        </w:tc>
        <w:tc>
          <w:tcPr>
            <w:tcW w:w="12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jc w:val="center"/>
              <w:ind w:right="55"/>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Fair</w:t>
            </w:r>
          </w:p>
        </w:tc>
        <w:tc>
          <w:tcPr>
            <w:tcW w:w="10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tcPr>
          <w:p>
            <w:pPr>
              <w:jc w:val="center"/>
              <w:ind w:right="75"/>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2"/>
              </w:rPr>
              <w:t>unrealized</w:t>
            </w:r>
          </w:p>
        </w:tc>
        <w:tc>
          <w:tcPr>
            <w:tcW w:w="2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value</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77"/>
              </w:rPr>
              <w:t>losses</w:t>
            </w:r>
          </w:p>
        </w:tc>
        <w:tc>
          <w:tcPr>
            <w:tcW w:w="220" w:type="dxa"/>
            <w:vAlign w:val="bottom"/>
          </w:tcPr>
          <w:p>
            <w:pPr>
              <w:spacing w:after="0"/>
              <w:rPr>
                <w:sz w:val="14"/>
                <w:szCs w:val="14"/>
                <w:color w:val="auto"/>
              </w:rPr>
            </w:pPr>
          </w:p>
        </w:tc>
        <w:tc>
          <w:tcPr>
            <w:tcW w:w="94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value</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77"/>
              </w:rPr>
              <w:t>losses</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value</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98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2200" w:type="dxa"/>
            <w:vAlign w:val="bottom"/>
            <w:tcBorders>
              <w:top w:val="single" w:sz="8" w:color="auto"/>
            </w:tcBorders>
            <w:gridSpan w:val="6"/>
          </w:tcPr>
          <w:p>
            <w:pPr>
              <w:jc w:val="center"/>
              <w:ind w:right="420"/>
              <w:spacing w:after="0"/>
              <w:rPr>
                <w:sz w:val="20"/>
                <w:szCs w:val="20"/>
                <w:color w:val="auto"/>
              </w:rPr>
            </w:pPr>
            <w:r>
              <w:rPr>
                <w:rFonts w:ascii="Arial" w:cs="Arial" w:eastAsia="Arial" w:hAnsi="Arial"/>
                <w:sz w:val="14"/>
                <w:szCs w:val="14"/>
                <w:b w:val="1"/>
                <w:bCs w:val="1"/>
                <w:color w:val="auto"/>
                <w:w w:val="94"/>
              </w:rPr>
              <w:t>(in millions)</w:t>
            </w:r>
          </w:p>
        </w:tc>
        <w:tc>
          <w:tcPr>
            <w:tcW w:w="12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39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available-for-sale:</w:t>
            </w: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160"/>
              <w:spacing w:after="0"/>
              <w:rPr>
                <w:sz w:val="20"/>
                <w:szCs w:val="20"/>
                <w:color w:val="auto"/>
              </w:rPr>
            </w:pPr>
            <w:r>
              <w:rPr>
                <w:rFonts w:ascii="Arial" w:cs="Arial" w:eastAsia="Arial" w:hAnsi="Arial"/>
                <w:sz w:val="18"/>
                <w:szCs w:val="18"/>
                <w:color w:val="auto"/>
              </w:rPr>
              <w:t>U.S. government and agencies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211.5</w:t>
            </w:r>
          </w:p>
        </w:tc>
        <w:tc>
          <w:tcPr>
            <w:tcW w:w="30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0.7</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95.0</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c>
          <w:tcPr>
            <w:tcW w:w="32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306.5</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Non-U.S. governments</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20.3</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27.8</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160"/>
              <w:spacing w:after="0"/>
              <w:rPr>
                <w:sz w:val="20"/>
                <w:szCs w:val="20"/>
                <w:color w:val="auto"/>
              </w:rPr>
            </w:pPr>
            <w:r>
              <w:rPr>
                <w:rFonts w:ascii="Arial" w:cs="Arial" w:eastAsia="Arial" w:hAnsi="Arial"/>
                <w:sz w:val="18"/>
                <w:szCs w:val="18"/>
                <w:color w:val="auto"/>
              </w:rPr>
              <w:t>States and political subdivisions</w:t>
            </w:r>
          </w:p>
        </w:tc>
        <w:tc>
          <w:tcPr>
            <w:tcW w:w="22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208.1</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0.7</w:t>
            </w:r>
          </w:p>
        </w:tc>
        <w:tc>
          <w:tcPr>
            <w:tcW w:w="22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210.5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418.6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Corporate</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3,072.1</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76.8</w:t>
            </w: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1,238.3</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139.1</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4,310.4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215.9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980" w:type="dxa"/>
            <w:vAlign w:val="bottom"/>
          </w:tcPr>
          <w:p>
            <w:pPr>
              <w:ind w:left="160"/>
              <w:spacing w:after="0" w:line="201" w:lineRule="exact"/>
              <w:rPr>
                <w:sz w:val="20"/>
                <w:szCs w:val="20"/>
                <w:color w:val="auto"/>
              </w:rPr>
            </w:pPr>
            <w:r>
              <w:rPr>
                <w:rFonts w:ascii="Arial" w:cs="Arial" w:eastAsia="Arial" w:hAnsi="Arial"/>
                <w:sz w:val="18"/>
                <w:szCs w:val="18"/>
                <w:color w:val="auto"/>
              </w:rPr>
              <w:t>Residential mortgage-backed pass-through</w:t>
            </w: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980" w:type="dxa"/>
            <w:vAlign w:val="bottom"/>
          </w:tcPr>
          <w:p>
            <w:pPr>
              <w:ind w:left="340"/>
              <w:spacing w:after="0"/>
              <w:rPr>
                <w:sz w:val="20"/>
                <w:szCs w:val="20"/>
                <w:color w:val="auto"/>
              </w:rPr>
            </w:pPr>
            <w:r>
              <w:rPr>
                <w:rFonts w:ascii="Arial" w:cs="Arial" w:eastAsia="Arial" w:hAnsi="Arial"/>
                <w:sz w:val="18"/>
                <w:szCs w:val="18"/>
                <w:color w:val="auto"/>
              </w:rPr>
              <w:t>securities</w:t>
            </w:r>
          </w:p>
        </w:tc>
        <w:tc>
          <w:tcPr>
            <w:tcW w:w="220" w:type="dxa"/>
            <w:vAlign w:val="bottom"/>
          </w:tcPr>
          <w:p>
            <w:pPr>
              <w:spacing w:after="0"/>
              <w:rPr>
                <w:sz w:val="20"/>
                <w:szCs w:val="20"/>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18.0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395.3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6.3</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413.3</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Commercial mortgage-backed securities</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375.3</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395.0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59.9</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770.3</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160"/>
              <w:spacing w:after="0"/>
              <w:rPr>
                <w:sz w:val="20"/>
                <w:szCs w:val="20"/>
                <w:color w:val="auto"/>
              </w:rPr>
            </w:pPr>
            <w:r>
              <w:rPr>
                <w:rFonts w:ascii="Arial" w:cs="Arial" w:eastAsia="Arial" w:hAnsi="Arial"/>
                <w:sz w:val="18"/>
                <w:szCs w:val="18"/>
                <w:color w:val="auto"/>
              </w:rPr>
              <w:t>Collateralized debt obligations</w:t>
            </w:r>
          </w:p>
        </w:tc>
        <w:tc>
          <w:tcPr>
            <w:tcW w:w="22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114.8</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1.0</w:t>
            </w:r>
          </w:p>
        </w:tc>
        <w:tc>
          <w:tcPr>
            <w:tcW w:w="22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112.0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19.6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226.8</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 debt obligations</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971.2</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3.5</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432.7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1,403.9</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24.5</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9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fixed maturities, available-for-sale</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4,991.3</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87.1</w:t>
            </w:r>
          </w:p>
        </w:tc>
        <w:tc>
          <w:tcPr>
            <w:tcW w:w="22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2,886.3</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251.7</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7,877.6</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338.8</w:t>
            </w:r>
          </w:p>
        </w:tc>
        <w:tc>
          <w:tcPr>
            <w:tcW w:w="1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980" w:type="dxa"/>
            <w:vAlign w:val="bottom"/>
            <w:tcBorders>
              <w:bottom w:val="single" w:sz="8" w:color="CCEEFF"/>
            </w:tcBorders>
            <w:shd w:val="clear" w:color="auto" w:fill="CCEEFF"/>
          </w:tcPr>
          <w:p>
            <w:pPr>
              <w:spacing w:after="0" w:line="190" w:lineRule="exact"/>
              <w:rPr>
                <w:sz w:val="20"/>
                <w:szCs w:val="20"/>
                <w:color w:val="auto"/>
              </w:rPr>
            </w:pPr>
            <w:r>
              <w:rPr>
                <w:rFonts w:ascii="Arial" w:cs="Arial" w:eastAsia="Arial" w:hAnsi="Arial"/>
                <w:sz w:val="18"/>
                <w:szCs w:val="18"/>
                <w:color w:val="auto"/>
              </w:rPr>
              <w:t>Total equity securities, available-for-sale</w:t>
            </w:r>
          </w:p>
        </w:tc>
        <w:tc>
          <w:tcPr>
            <w:tcW w:w="220" w:type="dxa"/>
            <w:vAlign w:val="bottom"/>
            <w:tcBorders>
              <w:bottom w:val="single" w:sz="8" w:color="auto"/>
            </w:tcBorders>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36.0</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9.8</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46.0</w:t>
            </w:r>
          </w:p>
        </w:tc>
        <w:tc>
          <w:tcPr>
            <w:tcW w:w="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9.8</w:t>
            </w:r>
          </w:p>
        </w:tc>
        <w:tc>
          <w:tcPr>
            <w:tcW w:w="1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00" w:firstLine="648"/>
        <w:spacing w:after="0" w:line="279" w:lineRule="auto"/>
        <w:rPr>
          <w:sz w:val="20"/>
          <w:szCs w:val="20"/>
          <w:color w:val="auto"/>
        </w:rPr>
      </w:pPr>
      <w:r>
        <w:rPr>
          <w:rFonts w:ascii="Arial" w:cs="Arial" w:eastAsia="Arial" w:hAnsi="Arial"/>
          <w:sz w:val="17"/>
          <w:szCs w:val="17"/>
          <w:color w:val="auto"/>
        </w:rPr>
        <w:t>Of the total amounts, Principal Life’s consolidated portfolio represented $7,638.7 million in available-for-sale fixed maturities with gross unrealized losses of $310.8 million. Of those fixed maturity securities in Principal Life’s consolidated portfolio with a gross unrealized loss position, 80% were investment grade (rated AAA through BBB-) with an average price of 96 (carrying value/amortized cost) at December 31, 2014. Gross unrealized losses in our fixed maturities portfolio decreased during the year ended December 31, 2014, due primarily to a decrease in interest rates.</w:t>
      </w:r>
    </w:p>
    <w:p>
      <w:pPr>
        <w:spacing w:after="0" w:line="171"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For those securities that had been in a continuous unrealized loss position for less than twelve months, Principal Life’s consolidated portfolio held 685 securities with a carrying value of $4,907.1 million and unrealized losses of $85.4 million reflecting an average price of 98 at December 31, 2014. Of this portfolio, 77% was investment grade (rated AAA through BBB-) at December 31, 2014, with associated unrealized losses of $44.4 million. The unrealized losses on these securities can primarily be attributed to changes in market interest rates and changes in credit spreads since the securities were acquired.</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For those securities that had been in a continuous unrealized loss position greater than or equal to twelve months, Principal Life’s consolidated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portfolio held 429 securities with a carrying value of $2,731.6 million and unrealized losses of $225.4 million. The average rating of this portfolio was A with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 average price of 92 at December 31, 2014. Of the $225.4 million in unrealized losses, the commercial mortgage-backed securities sector accounts for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$59.9 million in unrealized losses with an average price of 87 and an average credit rating of A-. The remaining unrealized losses consist primarily of $113.0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million within the corporate sector at December 31, 2014. The average price of the corporate sector was 91 and the average credit rating was BBB+.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unrealized losses on these securities can primarily be attributed to changes in market interest rates and changes in credit spreads since the securities were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acquired.</w:t>
      </w:r>
    </w:p>
    <w:p>
      <w:pPr>
        <w:spacing w:after="0" w:line="211" w:lineRule="exact"/>
        <w:rPr>
          <w:sz w:val="20"/>
          <w:szCs w:val="20"/>
          <w:color w:val="auto"/>
        </w:rPr>
      </w:pPr>
    </w:p>
    <w:p>
      <w:pPr>
        <w:jc w:val="both"/>
        <w:ind w:right="40" w:firstLine="648"/>
        <w:spacing w:after="0" w:line="264" w:lineRule="auto"/>
        <w:rPr>
          <w:sz w:val="20"/>
          <w:szCs w:val="20"/>
          <w:color w:val="auto"/>
        </w:rPr>
      </w:pPr>
      <w:r>
        <w:rPr>
          <w:rFonts w:ascii="Arial" w:cs="Arial" w:eastAsia="Arial" w:hAnsi="Arial"/>
          <w:sz w:val="18"/>
          <w:szCs w:val="18"/>
          <w:color w:val="auto"/>
        </w:rPr>
        <w:t xml:space="preserve">Because we expected to recover our amortized cost, it was not our intent to sell the fixed maturity available-for-sale securities with unrealized losses and it was not more likely than not that we would be required to sell these securities before recovery of the amortized cost, which may be maturity, we did not consider these investments to be other-than-temporarily impaired at </w:t>
      </w:r>
      <w:r>
        <w:rPr>
          <w:rFonts w:ascii="Arial" w:cs="Arial" w:eastAsia="Arial" w:hAnsi="Arial"/>
          <w:sz w:val="17"/>
          <w:szCs w:val="17"/>
          <w:color w:val="auto"/>
        </w:rPr>
        <w:t>December 31, 2014.</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Unrealized Gains and Losses on Available-for-Sale Securities and Derivative Instruments</w:t>
      </w:r>
    </w:p>
    <w:p>
      <w:pPr>
        <w:spacing w:after="0" w:line="229" w:lineRule="exact"/>
        <w:rPr>
          <w:sz w:val="20"/>
          <w:szCs w:val="20"/>
          <w:color w:val="auto"/>
        </w:rPr>
      </w:pPr>
    </w:p>
    <w:p>
      <w:pPr>
        <w:jc w:val="center"/>
        <w:ind w:right="140"/>
        <w:spacing w:after="0"/>
        <w:rPr>
          <w:sz w:val="20"/>
          <w:szCs w:val="20"/>
          <w:color w:val="auto"/>
        </w:rPr>
      </w:pPr>
      <w:r>
        <w:rPr>
          <w:rFonts w:ascii="Arial" w:cs="Arial" w:eastAsia="Arial" w:hAnsi="Arial"/>
          <w:sz w:val="18"/>
          <w:szCs w:val="18"/>
          <w:color w:val="auto"/>
        </w:rPr>
        <w:t>The net unrealized gains and losses on investments in fixed maturities available-for-sale, equity securities available-for-sale and derivative</w:t>
      </w:r>
    </w:p>
    <w:p>
      <w:pPr>
        <w:spacing w:after="0" w:line="23" w:lineRule="exact"/>
        <w:rPr>
          <w:sz w:val="20"/>
          <w:szCs w:val="20"/>
          <w:color w:val="auto"/>
        </w:rPr>
      </w:pPr>
    </w:p>
    <w:p>
      <w:pPr>
        <w:jc w:val="both"/>
        <w:ind w:right="20"/>
        <w:spacing w:after="0" w:line="261" w:lineRule="auto"/>
        <w:rPr>
          <w:sz w:val="20"/>
          <w:szCs w:val="20"/>
          <w:color w:val="auto"/>
        </w:rPr>
      </w:pPr>
      <w:r>
        <w:rPr>
          <w:rFonts w:ascii="Arial" w:cs="Arial" w:eastAsia="Arial" w:hAnsi="Arial"/>
          <w:sz w:val="18"/>
          <w:szCs w:val="18"/>
          <w:color w:val="auto"/>
        </w:rPr>
        <w:t xml:space="preserve">instruments in cash flow hedge relationships are reported as a separate component of stockholders’ equity. </w:t>
      </w:r>
      <w:r>
        <w:rPr>
          <w:rFonts w:ascii="Arial" w:cs="Arial" w:eastAsia="Arial" w:hAnsi="Arial"/>
          <w:sz w:val="17"/>
          <w:szCs w:val="17"/>
          <w:color w:val="auto"/>
        </w:rPr>
        <w:t>The cumulative amount of net unrealized gains and</w:t>
      </w:r>
      <w:r>
        <w:rPr>
          <w:rFonts w:ascii="Arial" w:cs="Arial" w:eastAsia="Arial" w:hAnsi="Arial"/>
          <w:sz w:val="18"/>
          <w:szCs w:val="18"/>
          <w:color w:val="auto"/>
        </w:rPr>
        <w:t xml:space="preserve"> </w:t>
      </w:r>
      <w:r>
        <w:rPr>
          <w:rFonts w:ascii="Arial" w:cs="Arial" w:eastAsia="Arial" w:hAnsi="Arial"/>
          <w:sz w:val="17"/>
          <w:szCs w:val="17"/>
          <w:color w:val="auto"/>
        </w:rPr>
        <w:t>losses on available-for-sale securities and derivative instruments in cash flow hedge relationships net of adjustments related to DAC and related actuarial balances and applicable income taxes was as follows:</w:t>
      </w:r>
    </w:p>
    <w:p>
      <w:pPr>
        <w:spacing w:after="0" w:line="179" w:lineRule="exact"/>
        <w:rPr>
          <w:sz w:val="20"/>
          <w:szCs w:val="20"/>
          <w:color w:val="auto"/>
        </w:rPr>
      </w:pPr>
    </w:p>
    <w:p>
      <w:pPr>
        <w:ind w:left="8040"/>
        <w:spacing w:after="0"/>
        <w:tabs>
          <w:tab w:leader="none" w:pos="9920" w:val="left"/>
        </w:tabs>
        <w:rPr>
          <w:sz w:val="20"/>
          <w:szCs w:val="20"/>
          <w:color w:val="auto"/>
        </w:rPr>
      </w:pPr>
      <w:r>
        <w:rPr>
          <w:rFonts w:ascii="Arial" w:cs="Arial" w:eastAsia="Arial" w:hAnsi="Arial"/>
          <w:sz w:val="14"/>
          <w:szCs w:val="14"/>
          <w:b w:val="1"/>
          <w:bCs w:val="1"/>
          <w:color w:val="auto"/>
        </w:rPr>
        <w:t>September 30, 2015</w:t>
      </w:r>
      <w:r>
        <w:rPr>
          <w:sz w:val="20"/>
          <w:szCs w:val="20"/>
          <w:color w:val="auto"/>
        </w:rPr>
        <w:tab/>
      </w:r>
      <w:r>
        <w:rPr>
          <w:rFonts w:ascii="Arial" w:cs="Arial" w:eastAsia="Arial" w:hAnsi="Arial"/>
          <w:sz w:val="12"/>
          <w:szCs w:val="12"/>
          <w:b w:val="1"/>
          <w:bCs w:val="1"/>
          <w:color w:val="auto"/>
        </w:rPr>
        <w:t>December 31,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4979035</wp:posOffset>
            </wp:positionH>
            <wp:positionV relativeFrom="paragraph">
              <wp:posOffset>6350</wp:posOffset>
            </wp:positionV>
            <wp:extent cx="220408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2204085" cy="8890"/>
                    </a:xfrm>
                    <a:prstGeom prst="rect">
                      <a:avLst/>
                    </a:prstGeom>
                    <a:noFill/>
                  </pic:spPr>
                </pic:pic>
              </a:graphicData>
            </a:graphic>
          </wp:anchor>
        </w:drawing>
      </w:r>
    </w:p>
    <w:p>
      <w:pPr>
        <w:ind w:left="9200"/>
        <w:spacing w:after="0"/>
        <w:rPr>
          <w:sz w:val="20"/>
          <w:szCs w:val="20"/>
          <w:color w:val="auto"/>
        </w:rPr>
      </w:pPr>
      <w:r>
        <w:rPr>
          <w:rFonts w:ascii="Arial" w:cs="Arial" w:eastAsia="Arial" w:hAnsi="Arial"/>
          <w:sz w:val="14"/>
          <w:szCs w:val="14"/>
          <w:b w:val="1"/>
          <w:bCs w:val="1"/>
          <w:color w:val="auto"/>
        </w:rPr>
        <w:t>(in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246620" cy="137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ectPr>
          <w:pgSz w:w="11900" w:h="16838" w:orient="portrait"/>
          <w:cols w:equalWidth="0" w:num="1">
            <w:col w:w="11420"/>
          </w:cols>
          <w:pgMar w:left="240" w:top="125" w:right="239" w:bottom="0" w:gutter="0" w:footer="0" w:header="0"/>
        </w:sectPr>
      </w:pPr>
    </w:p>
    <w:p>
      <w:pPr>
        <w:spacing w:after="0"/>
        <w:tabs>
          <w:tab w:leader="none" w:pos="7820" w:val="left"/>
          <w:tab w:leader="none" w:pos="8880" w:val="left"/>
          <w:tab w:leader="none" w:pos="9720" w:val="left"/>
          <w:tab w:leader="none" w:pos="10760" w:val="left"/>
        </w:tabs>
        <w:rPr>
          <w:sz w:val="20"/>
          <w:szCs w:val="20"/>
          <w:color w:val="auto"/>
        </w:rPr>
      </w:pPr>
      <w:r>
        <w:rPr>
          <w:rFonts w:ascii="Arial" w:cs="Arial" w:eastAsia="Arial" w:hAnsi="Arial"/>
          <w:sz w:val="18"/>
          <w:szCs w:val="18"/>
          <w:color w:val="auto"/>
        </w:rPr>
        <w:t>Net unrealized gains on fixed maturities, available-for-sale (1)</w:t>
      </w:r>
      <w:r>
        <w:rPr>
          <w:sz w:val="20"/>
          <w:szCs w:val="20"/>
          <w:color w:val="auto"/>
        </w:rPr>
        <w:tab/>
      </w:r>
      <w:r>
        <w:rPr>
          <w:rFonts w:ascii="Arial" w:cs="Arial" w:eastAsia="Arial" w:hAnsi="Arial"/>
          <w:sz w:val="18"/>
          <w:szCs w:val="18"/>
          <w:b w:val="1"/>
          <w:bCs w:val="1"/>
          <w:color w:val="auto"/>
        </w:rPr>
        <w:t>$</w:t>
      </w:r>
      <w:r>
        <w:rPr>
          <w:sz w:val="20"/>
          <w:szCs w:val="20"/>
          <w:color w:val="auto"/>
        </w:rPr>
        <w:tab/>
      </w:r>
      <w:r>
        <w:rPr>
          <w:rFonts w:ascii="Arial" w:cs="Arial" w:eastAsia="Arial" w:hAnsi="Arial"/>
          <w:sz w:val="18"/>
          <w:szCs w:val="18"/>
          <w:b w:val="1"/>
          <w:bCs w:val="1"/>
          <w:color w:val="auto"/>
        </w:rPr>
        <w:t>2,076.3</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3,079.1</w:t>
      </w:r>
    </w:p>
    <w:p>
      <w:pPr>
        <w:sectPr>
          <w:pgSz w:w="11900" w:h="16838" w:orient="portrait"/>
          <w:cols w:equalWidth="0" w:num="1">
            <w:col w:w="11420"/>
          </w:cols>
          <w:pgMar w:left="240" w:top="125" w:right="239" w:bottom="0" w:gutter="0" w:footer="0" w:header="0"/>
          <w:type w:val="continuous"/>
        </w:sectPr>
      </w:pPr>
    </w:p>
    <w:bookmarkStart w:id="14" w:name="page15"/>
    <w:bookmarkEnd w:id="14"/>
    <w:tbl>
      <w:tblPr>
        <w:tblLayout w:type="fixed"/>
        <w:tblInd w:w="0" w:type="dxa"/>
        <w:tblCellMar>
          <w:top w:w="0" w:type="dxa"/>
          <w:left w:w="0" w:type="dxa"/>
          <w:bottom w:w="0" w:type="dxa"/>
          <w:right w:w="0" w:type="dxa"/>
        </w:tblCellMar>
      </w:tblPr>
      <w:tr>
        <w:trPr>
          <w:trHeight w:val="234"/>
        </w:trPr>
        <w:tc>
          <w:tcPr>
            <w:tcW w:w="7840" w:type="dxa"/>
            <w:vAlign w:val="bottom"/>
          </w:tcPr>
          <w:p>
            <w:pPr>
              <w:spacing w:after="0"/>
              <w:rPr>
                <w:sz w:val="20"/>
                <w:szCs w:val="20"/>
                <w:color w:val="auto"/>
              </w:rPr>
            </w:pPr>
            <w:r>
              <w:rPr>
                <w:rFonts w:ascii="Arial" w:cs="Arial" w:eastAsia="Arial" w:hAnsi="Arial"/>
                <w:sz w:val="18"/>
                <w:szCs w:val="18"/>
                <w:color w:val="auto"/>
              </w:rPr>
              <w:t>Noncredit component of impairment losses on fixed maturities, available-for-sale</w:t>
            </w:r>
          </w:p>
        </w:tc>
        <w:tc>
          <w:tcPr>
            <w:tcW w:w="620" w:type="dxa"/>
            <w:vAlign w:val="bottom"/>
          </w:tcPr>
          <w:p>
            <w:pPr>
              <w:spacing w:after="0"/>
              <w:rPr>
                <w:sz w:val="20"/>
                <w:szCs w:val="20"/>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(147.5)</w:t>
            </w:r>
          </w:p>
        </w:tc>
        <w:tc>
          <w:tcPr>
            <w:tcW w:w="520" w:type="dxa"/>
            <w:vAlign w:val="bottom"/>
          </w:tcPr>
          <w:p>
            <w:pPr>
              <w:spacing w:after="0"/>
              <w:rPr>
                <w:sz w:val="20"/>
                <w:szCs w:val="20"/>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(175.5)</w:t>
            </w:r>
          </w:p>
        </w:tc>
      </w:tr>
      <w:tr>
        <w:trPr>
          <w:trHeight w:val="216"/>
        </w:trPr>
        <w:tc>
          <w:tcPr>
            <w:tcW w:w="7840" w:type="dxa"/>
            <w:vAlign w:val="bottom"/>
            <w:shd w:val="clear" w:color="auto" w:fill="CCEEFF"/>
          </w:tcPr>
          <w:p>
            <w:pPr>
              <w:spacing w:after="0"/>
              <w:rPr>
                <w:sz w:val="20"/>
                <w:szCs w:val="20"/>
                <w:color w:val="auto"/>
              </w:rPr>
            </w:pPr>
            <w:r>
              <w:rPr>
                <w:rFonts w:ascii="Arial" w:cs="Arial" w:eastAsia="Arial" w:hAnsi="Arial"/>
                <w:sz w:val="18"/>
                <w:szCs w:val="18"/>
                <w:color w:val="auto"/>
              </w:rPr>
              <w:t>Net unrealized losses on equity securities, available-for-sale</w:t>
            </w:r>
          </w:p>
        </w:tc>
        <w:tc>
          <w:tcPr>
            <w:tcW w:w="6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(3.8)</w:t>
            </w:r>
          </w:p>
        </w:tc>
        <w:tc>
          <w:tcPr>
            <w:tcW w:w="5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w:t>
            </w:r>
          </w:p>
        </w:tc>
      </w:tr>
      <w:tr>
        <w:trPr>
          <w:trHeight w:val="216"/>
        </w:trPr>
        <w:tc>
          <w:tcPr>
            <w:tcW w:w="7840" w:type="dxa"/>
            <w:vAlign w:val="bottom"/>
          </w:tcPr>
          <w:p>
            <w:pPr>
              <w:spacing w:after="0"/>
              <w:rPr>
                <w:sz w:val="20"/>
                <w:szCs w:val="20"/>
                <w:color w:val="auto"/>
              </w:rPr>
            </w:pPr>
            <w:r>
              <w:rPr>
                <w:rFonts w:ascii="Arial" w:cs="Arial" w:eastAsia="Arial" w:hAnsi="Arial"/>
                <w:sz w:val="18"/>
                <w:szCs w:val="18"/>
                <w:color w:val="auto"/>
              </w:rPr>
              <w:t>Adjustments for assumed changes in amortization patterns</w:t>
            </w:r>
          </w:p>
        </w:tc>
        <w:tc>
          <w:tcPr>
            <w:tcW w:w="620" w:type="dxa"/>
            <w:vAlign w:val="bottom"/>
          </w:tcPr>
          <w:p>
            <w:pPr>
              <w:spacing w:after="0"/>
              <w:rPr>
                <w:sz w:val="18"/>
                <w:szCs w:val="18"/>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(211.5)</w:t>
            </w:r>
          </w:p>
        </w:tc>
        <w:tc>
          <w:tcPr>
            <w:tcW w:w="520" w:type="dxa"/>
            <w:vAlign w:val="bottom"/>
          </w:tcPr>
          <w:p>
            <w:pPr>
              <w:spacing w:after="0"/>
              <w:rPr>
                <w:sz w:val="18"/>
                <w:szCs w:val="18"/>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(346.8)</w:t>
            </w:r>
          </w:p>
        </w:tc>
      </w:tr>
      <w:tr>
        <w:trPr>
          <w:trHeight w:val="216"/>
        </w:trPr>
        <w:tc>
          <w:tcPr>
            <w:tcW w:w="7840" w:type="dxa"/>
            <w:vAlign w:val="bottom"/>
            <w:shd w:val="clear" w:color="auto" w:fill="CCEEFF"/>
          </w:tcPr>
          <w:p>
            <w:pPr>
              <w:spacing w:after="0"/>
              <w:rPr>
                <w:sz w:val="20"/>
                <w:szCs w:val="20"/>
                <w:color w:val="auto"/>
              </w:rPr>
            </w:pPr>
            <w:r>
              <w:rPr>
                <w:rFonts w:ascii="Arial" w:cs="Arial" w:eastAsia="Arial" w:hAnsi="Arial"/>
                <w:sz w:val="18"/>
                <w:szCs w:val="18"/>
                <w:color w:val="auto"/>
              </w:rPr>
              <w:t>Adjustments for assumed changes in policyholder liabilities</w:t>
            </w:r>
          </w:p>
        </w:tc>
        <w:tc>
          <w:tcPr>
            <w:tcW w:w="6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(542.3)</w:t>
            </w:r>
          </w:p>
        </w:tc>
        <w:tc>
          <w:tcPr>
            <w:tcW w:w="5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(1,078.6)</w:t>
            </w:r>
          </w:p>
        </w:tc>
      </w:tr>
      <w:tr>
        <w:trPr>
          <w:trHeight w:val="216"/>
        </w:trPr>
        <w:tc>
          <w:tcPr>
            <w:tcW w:w="7840" w:type="dxa"/>
            <w:vAlign w:val="bottom"/>
          </w:tcPr>
          <w:p>
            <w:pPr>
              <w:spacing w:after="0"/>
              <w:rPr>
                <w:sz w:val="20"/>
                <w:szCs w:val="20"/>
                <w:color w:val="auto"/>
              </w:rPr>
            </w:pPr>
            <w:r>
              <w:rPr>
                <w:rFonts w:ascii="Arial" w:cs="Arial" w:eastAsia="Arial" w:hAnsi="Arial"/>
                <w:sz w:val="18"/>
                <w:szCs w:val="18"/>
                <w:color w:val="auto"/>
              </w:rPr>
              <w:t>Net unrealized gains on derivative instruments</w:t>
            </w:r>
          </w:p>
        </w:tc>
        <w:tc>
          <w:tcPr>
            <w:tcW w:w="620" w:type="dxa"/>
            <w:vAlign w:val="bottom"/>
          </w:tcPr>
          <w:p>
            <w:pPr>
              <w:spacing w:after="0"/>
              <w:rPr>
                <w:sz w:val="18"/>
                <w:szCs w:val="18"/>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188.1</w:t>
            </w:r>
          </w:p>
        </w:tc>
        <w:tc>
          <w:tcPr>
            <w:tcW w:w="52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160.1</w:t>
            </w:r>
          </w:p>
        </w:tc>
      </w:tr>
      <w:tr>
        <w:trPr>
          <w:trHeight w:val="216"/>
        </w:trPr>
        <w:tc>
          <w:tcPr>
            <w:tcW w:w="7840" w:type="dxa"/>
            <w:vAlign w:val="bottom"/>
            <w:shd w:val="clear" w:color="auto" w:fill="CCEEFF"/>
          </w:tcPr>
          <w:p>
            <w:pPr>
              <w:spacing w:after="0"/>
              <w:rPr>
                <w:sz w:val="20"/>
                <w:szCs w:val="20"/>
                <w:color w:val="auto"/>
              </w:rPr>
            </w:pPr>
            <w:r>
              <w:rPr>
                <w:rFonts w:ascii="Arial" w:cs="Arial" w:eastAsia="Arial" w:hAnsi="Arial"/>
                <w:sz w:val="18"/>
                <w:szCs w:val="18"/>
                <w:color w:val="auto"/>
              </w:rPr>
              <w:t>Net unrealized gains on equity method subsidiaries and noncontrolling interest adjustments</w:t>
            </w:r>
          </w:p>
        </w:tc>
        <w:tc>
          <w:tcPr>
            <w:tcW w:w="6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92.7</w:t>
            </w:r>
          </w:p>
        </w:tc>
        <w:tc>
          <w:tcPr>
            <w:tcW w:w="5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88.9</w:t>
            </w:r>
          </w:p>
        </w:tc>
      </w:tr>
      <w:tr>
        <w:trPr>
          <w:trHeight w:val="216"/>
        </w:trPr>
        <w:tc>
          <w:tcPr>
            <w:tcW w:w="7840" w:type="dxa"/>
            <w:vAlign w:val="bottom"/>
          </w:tcPr>
          <w:p>
            <w:pPr>
              <w:spacing w:after="0"/>
              <w:rPr>
                <w:sz w:val="20"/>
                <w:szCs w:val="20"/>
                <w:color w:val="auto"/>
              </w:rPr>
            </w:pPr>
            <w:r>
              <w:rPr>
                <w:rFonts w:ascii="Arial" w:cs="Arial" w:eastAsia="Arial" w:hAnsi="Arial"/>
                <w:sz w:val="18"/>
                <w:szCs w:val="18"/>
                <w:color w:val="auto"/>
              </w:rPr>
              <w:t>Provision for deferred income taxes</w:t>
            </w:r>
          </w:p>
        </w:tc>
        <w:tc>
          <w:tcPr>
            <w:tcW w:w="620" w:type="dxa"/>
            <w:vAlign w:val="bottom"/>
          </w:tcPr>
          <w:p>
            <w:pPr>
              <w:spacing w:after="0"/>
              <w:rPr>
                <w:sz w:val="18"/>
                <w:szCs w:val="18"/>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(484.8)</w:t>
            </w:r>
          </w:p>
        </w:tc>
        <w:tc>
          <w:tcPr>
            <w:tcW w:w="520" w:type="dxa"/>
            <w:vAlign w:val="bottom"/>
          </w:tcPr>
          <w:p>
            <w:pPr>
              <w:spacing w:after="0"/>
              <w:rPr>
                <w:sz w:val="18"/>
                <w:szCs w:val="18"/>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(576.8)</w:t>
            </w:r>
          </w:p>
        </w:tc>
      </w:tr>
      <w:tr>
        <w:trPr>
          <w:trHeight w:val="210"/>
        </w:trPr>
        <w:tc>
          <w:tcPr>
            <w:tcW w:w="78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unrealized gains on available-for-sale securities and derivative instruments</w:t>
            </w:r>
          </w:p>
        </w:tc>
        <w:tc>
          <w:tcPr>
            <w:tcW w:w="620" w:type="dxa"/>
            <w:vAlign w:val="bottom"/>
            <w:tcBorders>
              <w:top w:val="single" w:sz="8" w:color="auto"/>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967.2</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520" w:type="dxa"/>
            <w:vAlign w:val="bottom"/>
            <w:tcBorders>
              <w:top w:val="single" w:sz="8" w:color="auto"/>
              <w:bottom w:val="single" w:sz="8" w:color="auto"/>
            </w:tcBorders>
            <w:shd w:val="clear" w:color="auto" w:fill="CCEEFF"/>
          </w:tcPr>
          <w:p>
            <w:pPr>
              <w:jc w:val="right"/>
              <w:ind w:right="36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1,148.3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784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Excludes net unrealized gains (losses) on fixed maturities, available-for-sale included in fair value hedging relationships.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Mortgage loans consist of commercial and residential mortgage loans. We evaluate risks inherent in our commercial mortgage loans in two classes:</w:t>
      </w:r>
    </w:p>
    <w:p>
      <w:pPr>
        <w:spacing w:after="0" w:line="46" w:lineRule="exact"/>
        <w:rPr>
          <w:sz w:val="20"/>
          <w:szCs w:val="20"/>
          <w:color w:val="auto"/>
        </w:rPr>
      </w:pPr>
    </w:p>
    <w:p>
      <w:pPr>
        <w:ind w:right="240" w:firstLine="8"/>
        <w:spacing w:after="0" w:line="302" w:lineRule="auto"/>
        <w:tabs>
          <w:tab w:leader="none" w:pos="255" w:val="left"/>
        </w:tabs>
        <w:numPr>
          <w:ilvl w:val="0"/>
          <w:numId w:val="7"/>
        </w:numPr>
        <w:rPr>
          <w:rFonts w:ascii="Arial" w:cs="Arial" w:eastAsia="Arial" w:hAnsi="Arial"/>
          <w:sz w:val="16"/>
          <w:szCs w:val="16"/>
          <w:color w:val="auto"/>
        </w:rPr>
      </w:pPr>
      <w:r>
        <w:rPr>
          <w:rFonts w:ascii="Arial" w:cs="Arial" w:eastAsia="Arial" w:hAnsi="Arial"/>
          <w:sz w:val="16"/>
          <w:szCs w:val="16"/>
          <w:color w:val="auto"/>
        </w:rPr>
        <w:t>brick and mortar property loans, including mezzanine loans, where we analyze the property’s rent payments as support for the loan, and (2) credit tenant loans (“CTL”), where we rely on the credit analysis of the tenant for the repayment of the loan. We evaluate risks inherent in our residential mortgage loan portfolio in two classes: (1) home equity mortgages and (2) first lien mortgages. The carrying amount of our mortgage loan portfolio was as follows: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4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94"/>
              </w:rPr>
              <w:t>September 30, 2015</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4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5"/>
              </w:rPr>
              <w:t>December 31, 2014</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820" w:type="dxa"/>
            <w:vAlign w:val="bottom"/>
          </w:tcPr>
          <w:p>
            <w:pPr>
              <w:spacing w:after="0"/>
              <w:rPr>
                <w:sz w:val="15"/>
                <w:szCs w:val="15"/>
                <w:color w:val="auto"/>
              </w:rPr>
            </w:pPr>
          </w:p>
        </w:tc>
        <w:tc>
          <w:tcPr>
            <w:tcW w:w="400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3340" w:type="dxa"/>
            <w:vAlign w:val="bottom"/>
            <w:tcBorders>
              <w:top w:val="single" w:sz="8" w:color="auto"/>
            </w:tcBorders>
            <w:gridSpan w:val="5"/>
          </w:tcPr>
          <w:p>
            <w:pPr>
              <w:jc w:val="right"/>
              <w:ind w:right="1293"/>
              <w:spacing w:after="0"/>
              <w:rPr>
                <w:sz w:val="20"/>
                <w:szCs w:val="20"/>
                <w:color w:val="auto"/>
              </w:rPr>
            </w:pPr>
            <w:r>
              <w:rPr>
                <w:rFonts w:ascii="Arial" w:cs="Arial" w:eastAsia="Arial" w:hAnsi="Arial"/>
                <w:sz w:val="14"/>
                <w:szCs w:val="14"/>
                <w:b w:val="1"/>
                <w:bCs w:val="1"/>
                <w:color w:val="auto"/>
              </w:rPr>
              <w:t>(in millions)</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3820" w:type="dxa"/>
            <w:vAlign w:val="bottom"/>
          </w:tcPr>
          <w:p>
            <w:pPr>
              <w:spacing w:after="0"/>
              <w:rPr>
                <w:sz w:val="15"/>
                <w:szCs w:val="15"/>
                <w:color w:val="auto"/>
              </w:rPr>
            </w:pPr>
          </w:p>
        </w:tc>
        <w:tc>
          <w:tcPr>
            <w:tcW w:w="40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 loans</w:t>
            </w:r>
          </w:p>
        </w:tc>
        <w:tc>
          <w:tcPr>
            <w:tcW w:w="41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11,179.8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10,723.8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Residential mortgage loans</w:t>
            </w:r>
          </w:p>
        </w:tc>
        <w:tc>
          <w:tcPr>
            <w:tcW w:w="4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1,108.9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1,144.3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82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amortized cost</w:t>
            </w:r>
          </w:p>
        </w:tc>
        <w:tc>
          <w:tcPr>
            <w:tcW w:w="40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12,288.7</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11,868.1</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82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Valuation allowance</w:t>
            </w:r>
          </w:p>
        </w:tc>
        <w:tc>
          <w:tcPr>
            <w:tcW w:w="4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(56.6)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Total carrying value</w:t>
            </w:r>
          </w:p>
        </w:tc>
        <w:tc>
          <w:tcPr>
            <w:tcW w:w="400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12,232.1</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11,811.6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4000" w:type="dxa"/>
            <w:vAlign w:val="bottom"/>
            <w:vMerge w:val="restart"/>
          </w:tcPr>
          <w:p>
            <w:pPr>
              <w:jc w:val="right"/>
              <w:ind w:right="1950"/>
              <w:spacing w:after="0"/>
              <w:rPr>
                <w:sz w:val="20"/>
                <w:szCs w:val="20"/>
                <w:color w:val="auto"/>
              </w:rPr>
            </w:pPr>
            <w:r>
              <w:rPr>
                <w:rFonts w:ascii="Arial" w:cs="Arial" w:eastAsia="Arial" w:hAnsi="Arial"/>
                <w:sz w:val="18"/>
                <w:szCs w:val="18"/>
                <w:color w:val="auto"/>
              </w:rPr>
              <w:t>20</w:t>
            </w: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400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3820" w:type="dxa"/>
            <w:vAlign w:val="bottom"/>
            <w:tcBorders>
              <w:bottom w:val="single" w:sz="8" w:color="808080"/>
            </w:tcBorders>
          </w:tcPr>
          <w:p>
            <w:pPr>
              <w:spacing w:after="0"/>
              <w:rPr>
                <w:sz w:val="11"/>
                <w:szCs w:val="11"/>
                <w:color w:val="auto"/>
              </w:rPr>
            </w:pPr>
          </w:p>
        </w:tc>
        <w:tc>
          <w:tcPr>
            <w:tcW w:w="40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46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4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80" w:firstLine="648"/>
        <w:spacing w:after="0" w:line="254" w:lineRule="auto"/>
        <w:rPr>
          <w:sz w:val="20"/>
          <w:szCs w:val="20"/>
          <w:color w:val="auto"/>
        </w:rPr>
      </w:pPr>
      <w:r>
        <w:rPr>
          <w:rFonts w:ascii="Arial" w:cs="Arial" w:eastAsia="Arial" w:hAnsi="Arial"/>
          <w:sz w:val="18"/>
          <w:szCs w:val="18"/>
          <w:color w:val="auto"/>
        </w:rPr>
        <w:t>We periodically purchase mortgage loans as well as sell mortgage loans we have originated. We purchased $73.2 million and $35.6 million of residential mortgage loans during the three months ended September 30, 2015 and 2014, and $216.3 million and $115.7 million during the nine months ended September 30, 2015 and 2014, respectively. We sold $17.5 million and $0.0 million of residential mortgage loans during the three months ended September 30, 2015 and 2014, and $60.3 million and $0.0 million during the nine months ended September 30, 2015 and 2014, respectively. We purchased $53.9 million and $0.0 million of commercial mortgage loans during the three months ended September 30, 2015 and 2014, and $200.8 million and $33.4 million during the nine months ended September 30, 2015 and 2014, respectively. We sold $0.0 million and $0.0 million of commercial mortgage loans during the three months ended September 30, 2015 and 2014, and $1.0 million and $1.1 million during the nine months ended September 30, 2015 and 2014, respectively.</w:t>
      </w:r>
    </w:p>
    <w:p>
      <w:pPr>
        <w:spacing w:after="0" w:line="192"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Our commercial mortgage loan portfolio consists primarily of non-recourse, fixed rate mortgages on stabilized properties. Our commercial mortgage loan portfolio is diversified by geographic region and specific collateral property type as follows: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9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360" w:type="dxa"/>
            <w:vAlign w:val="bottom"/>
            <w:tcBorders>
              <w:bottom w:val="single" w:sz="8" w:color="auto"/>
            </w:tcBorders>
            <w:gridSpan w:val="3"/>
          </w:tcPr>
          <w:p>
            <w:pPr>
              <w:ind w:left="680"/>
              <w:spacing w:after="0"/>
              <w:rPr>
                <w:sz w:val="20"/>
                <w:szCs w:val="20"/>
                <w:color w:val="auto"/>
              </w:rPr>
            </w:pPr>
            <w:r>
              <w:rPr>
                <w:rFonts w:ascii="Arial" w:cs="Arial" w:eastAsia="Arial" w:hAnsi="Arial"/>
                <w:sz w:val="14"/>
                <w:szCs w:val="14"/>
                <w:b w:val="1"/>
                <w:bCs w:val="1"/>
                <w:color w:val="auto"/>
              </w:rPr>
              <w:t>September 30, 2015</w:t>
            </w:r>
          </w:p>
        </w:tc>
        <w:tc>
          <w:tcPr>
            <w:tcW w:w="42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3"/>
          </w:tcPr>
          <w:p>
            <w:pPr>
              <w:ind w:left="620"/>
              <w:spacing w:after="0"/>
              <w:rPr>
                <w:sz w:val="20"/>
                <w:szCs w:val="20"/>
                <w:color w:val="auto"/>
              </w:rPr>
            </w:pPr>
            <w:r>
              <w:rPr>
                <w:rFonts w:ascii="Arial" w:cs="Arial" w:eastAsia="Arial" w:hAnsi="Arial"/>
                <w:sz w:val="14"/>
                <w:szCs w:val="14"/>
                <w:b w:val="1"/>
                <w:bCs w:val="1"/>
                <w:color w:val="auto"/>
                <w:w w:val="90"/>
              </w:rPr>
              <w:t>December 31, 2014</w:t>
            </w:r>
          </w:p>
        </w:tc>
        <w:tc>
          <w:tcPr>
            <w:tcW w:w="9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9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20" w:type="dxa"/>
            <w:vAlign w:val="bottom"/>
            <w:gridSpan w:val="2"/>
          </w:tcPr>
          <w:p>
            <w:pPr>
              <w:jc w:val="center"/>
              <w:ind w:right="500"/>
              <w:spacing w:after="0" w:line="119" w:lineRule="exact"/>
              <w:rPr>
                <w:sz w:val="20"/>
                <w:szCs w:val="20"/>
                <w:color w:val="auto"/>
              </w:rPr>
            </w:pPr>
            <w:r>
              <w:rPr>
                <w:rFonts w:ascii="Arial" w:cs="Arial" w:eastAsia="Arial" w:hAnsi="Arial"/>
                <w:sz w:val="13"/>
                <w:szCs w:val="13"/>
                <w:b w:val="1"/>
                <w:bCs w:val="1"/>
                <w:color w:val="auto"/>
              </w:rPr>
              <w:t>Amortized</w:t>
            </w:r>
          </w:p>
        </w:tc>
        <w:tc>
          <w:tcPr>
            <w:tcW w:w="940" w:type="dxa"/>
            <w:vAlign w:val="bottom"/>
          </w:tcPr>
          <w:p>
            <w:pPr>
              <w:ind w:left="440"/>
              <w:spacing w:after="0" w:line="119" w:lineRule="exact"/>
              <w:rPr>
                <w:sz w:val="20"/>
                <w:szCs w:val="20"/>
                <w:color w:val="auto"/>
              </w:rPr>
            </w:pPr>
            <w:r>
              <w:rPr>
                <w:rFonts w:ascii="Arial" w:cs="Arial" w:eastAsia="Arial" w:hAnsi="Arial"/>
                <w:sz w:val="13"/>
                <w:szCs w:val="13"/>
                <w:b w:val="1"/>
                <w:bCs w:val="1"/>
                <w:color w:val="auto"/>
              </w:rPr>
              <w:t>Percent</w:t>
            </w:r>
          </w:p>
        </w:tc>
        <w:tc>
          <w:tcPr>
            <w:tcW w:w="4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780" w:type="dxa"/>
            <w:vAlign w:val="bottom"/>
            <w:gridSpan w:val="3"/>
          </w:tcPr>
          <w:p>
            <w:pPr>
              <w:jc w:val="center"/>
              <w:ind w:right="1040"/>
              <w:spacing w:after="0" w:line="119" w:lineRule="exact"/>
              <w:rPr>
                <w:sz w:val="20"/>
                <w:szCs w:val="20"/>
                <w:color w:val="auto"/>
              </w:rPr>
            </w:pPr>
            <w:r>
              <w:rPr>
                <w:rFonts w:ascii="Arial" w:cs="Arial" w:eastAsia="Arial" w:hAnsi="Arial"/>
                <w:sz w:val="13"/>
                <w:szCs w:val="13"/>
                <w:b w:val="1"/>
                <w:bCs w:val="1"/>
                <w:color w:val="auto"/>
              </w:rPr>
              <w:t>Amortized</w:t>
            </w:r>
          </w:p>
        </w:tc>
        <w:tc>
          <w:tcPr>
            <w:tcW w:w="920" w:type="dxa"/>
            <w:vAlign w:val="bottom"/>
          </w:tcPr>
          <w:p>
            <w:pPr>
              <w:jc w:val="right"/>
              <w:ind w:right="352"/>
              <w:spacing w:after="0" w:line="119" w:lineRule="exact"/>
              <w:rPr>
                <w:sz w:val="20"/>
                <w:szCs w:val="20"/>
                <w:color w:val="auto"/>
              </w:rPr>
            </w:pPr>
            <w:r>
              <w:rPr>
                <w:rFonts w:ascii="Arial" w:cs="Arial" w:eastAsia="Arial" w:hAnsi="Arial"/>
                <w:sz w:val="13"/>
                <w:szCs w:val="13"/>
                <w:b w:val="1"/>
                <w:bCs w:val="1"/>
                <w:color w:val="auto"/>
                <w:w w:val="96"/>
              </w:rPr>
              <w:t>Percent</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2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3"/>
              </w:rPr>
              <w:t>cost</w:t>
            </w:r>
          </w:p>
        </w:tc>
        <w:tc>
          <w:tcPr>
            <w:tcW w:w="940" w:type="dxa"/>
            <w:vAlign w:val="bottom"/>
          </w:tcPr>
          <w:p>
            <w:pPr>
              <w:ind w:left="460"/>
              <w:spacing w:after="0"/>
              <w:rPr>
                <w:sz w:val="20"/>
                <w:szCs w:val="20"/>
                <w:color w:val="auto"/>
              </w:rPr>
            </w:pPr>
            <w:r>
              <w:rPr>
                <w:rFonts w:ascii="Arial" w:cs="Arial" w:eastAsia="Arial" w:hAnsi="Arial"/>
                <w:sz w:val="14"/>
                <w:szCs w:val="14"/>
                <w:b w:val="1"/>
                <w:bCs w:val="1"/>
                <w:color w:val="auto"/>
                <w:w w:val="98"/>
              </w:rPr>
              <w:t>of total</w:t>
            </w:r>
          </w:p>
        </w:tc>
        <w:tc>
          <w:tcPr>
            <w:tcW w:w="4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780" w:type="dxa"/>
            <w:vAlign w:val="bottom"/>
            <w:gridSpan w:val="3"/>
          </w:tcPr>
          <w:p>
            <w:pPr>
              <w:jc w:val="center"/>
              <w:ind w:right="1020"/>
              <w:spacing w:after="0"/>
              <w:rPr>
                <w:sz w:val="20"/>
                <w:szCs w:val="20"/>
                <w:color w:val="auto"/>
              </w:rPr>
            </w:pPr>
            <w:r>
              <w:rPr>
                <w:rFonts w:ascii="Arial" w:cs="Arial" w:eastAsia="Arial" w:hAnsi="Arial"/>
                <w:sz w:val="14"/>
                <w:szCs w:val="14"/>
                <w:b w:val="1"/>
                <w:bCs w:val="1"/>
                <w:color w:val="auto"/>
                <w:w w:val="83"/>
              </w:rPr>
              <w:t>cost</w:t>
            </w:r>
          </w:p>
        </w:tc>
        <w:tc>
          <w:tcPr>
            <w:tcW w:w="1080" w:type="dxa"/>
            <w:vAlign w:val="bottom"/>
            <w:gridSpan w:val="2"/>
          </w:tcPr>
          <w:p>
            <w:pPr>
              <w:jc w:val="right"/>
              <w:ind w:right="530"/>
              <w:spacing w:after="0"/>
              <w:rPr>
                <w:sz w:val="20"/>
                <w:szCs w:val="20"/>
                <w:color w:val="auto"/>
              </w:rPr>
            </w:pPr>
            <w:r>
              <w:rPr>
                <w:rFonts w:ascii="Arial" w:cs="Arial" w:eastAsia="Arial" w:hAnsi="Arial"/>
                <w:sz w:val="14"/>
                <w:szCs w:val="14"/>
                <w:b w:val="1"/>
                <w:bCs w:val="1"/>
                <w:color w:val="auto"/>
                <w:w w:val="94"/>
              </w:rPr>
              <w:t>of total</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0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 in millions)</w:t>
            </w:r>
          </w:p>
        </w:tc>
        <w:tc>
          <w:tcPr>
            <w:tcW w:w="106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Geographic distribution</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New England</w:t>
            </w:r>
          </w:p>
        </w:tc>
        <w:tc>
          <w:tcPr>
            <w:tcW w:w="220" w:type="dxa"/>
            <w:vAlign w:val="bottom"/>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522.4</w:t>
            </w:r>
          </w:p>
        </w:tc>
        <w:tc>
          <w:tcPr>
            <w:tcW w:w="940" w:type="dxa"/>
            <w:vAlign w:val="bottom"/>
          </w:tcPr>
          <w:p>
            <w:pPr>
              <w:spacing w:after="0"/>
              <w:rPr>
                <w:sz w:val="18"/>
                <w:szCs w:val="18"/>
                <w:color w:val="auto"/>
              </w:rPr>
            </w:pPr>
          </w:p>
        </w:tc>
        <w:tc>
          <w:tcPr>
            <w:tcW w:w="76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4.7%</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528.0</w:t>
            </w:r>
          </w:p>
        </w:tc>
        <w:tc>
          <w:tcPr>
            <w:tcW w:w="44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Middle Atlantic</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3,149.7</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28.2</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2,951.0</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27.5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East North Central</w:t>
            </w:r>
          </w:p>
        </w:tc>
        <w:tc>
          <w:tcPr>
            <w:tcW w:w="22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444.1</w:t>
            </w:r>
          </w:p>
        </w:tc>
        <w:tc>
          <w:tcPr>
            <w:tcW w:w="940" w:type="dxa"/>
            <w:vAlign w:val="bottom"/>
          </w:tcPr>
          <w:p>
            <w:pPr>
              <w:spacing w:after="0"/>
              <w:rPr>
                <w:sz w:val="18"/>
                <w:szCs w:val="18"/>
                <w:color w:val="auto"/>
              </w:rPr>
            </w:pPr>
          </w:p>
        </w:tc>
        <w:tc>
          <w:tcPr>
            <w:tcW w:w="76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4.0</w:t>
            </w:r>
          </w:p>
        </w:tc>
        <w:tc>
          <w:tcPr>
            <w:tcW w:w="30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442.1</w:t>
            </w:r>
          </w:p>
        </w:tc>
        <w:tc>
          <w:tcPr>
            <w:tcW w:w="440" w:type="dxa"/>
            <w:vAlign w:val="bottom"/>
          </w:tcPr>
          <w:p>
            <w:pPr>
              <w:spacing w:after="0"/>
              <w:rPr>
                <w:sz w:val="18"/>
                <w:szCs w:val="18"/>
                <w:color w:val="auto"/>
              </w:rPr>
            </w:pPr>
          </w:p>
        </w:tc>
        <w:tc>
          <w:tcPr>
            <w:tcW w:w="1080" w:type="dxa"/>
            <w:vAlign w:val="bottom"/>
            <w:gridSpan w:val="2"/>
          </w:tcPr>
          <w:p>
            <w:pPr>
              <w:jc w:val="right"/>
              <w:ind w:right="7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West North Central</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275.8</w:t>
            </w:r>
          </w:p>
        </w:tc>
        <w:tc>
          <w:tcPr>
            <w:tcW w:w="9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2.5</w:t>
            </w:r>
          </w:p>
        </w:tc>
        <w:tc>
          <w:tcPr>
            <w:tcW w:w="3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233.3</w:t>
            </w:r>
          </w:p>
        </w:tc>
        <w:tc>
          <w:tcPr>
            <w:tcW w:w="4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South Atlantic</w:t>
            </w: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2,004.5</w:t>
            </w: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6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17.9</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1,970.9</w:t>
            </w: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gridSpan w:val="2"/>
          </w:tcPr>
          <w:p>
            <w:pPr>
              <w:jc w:val="right"/>
              <w:ind w:right="70"/>
              <w:spacing w:after="0"/>
              <w:rPr>
                <w:sz w:val="20"/>
                <w:szCs w:val="20"/>
                <w:color w:val="auto"/>
              </w:rPr>
            </w:pPr>
            <w:r>
              <w:rPr>
                <w:rFonts w:ascii="Arial" w:cs="Arial" w:eastAsia="Arial" w:hAnsi="Arial"/>
                <w:sz w:val="18"/>
                <w:szCs w:val="18"/>
                <w:color w:val="auto"/>
              </w:rPr>
              <w:t>18.4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East South Central</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214.9</w:t>
            </w:r>
          </w:p>
        </w:tc>
        <w:tc>
          <w:tcPr>
            <w:tcW w:w="9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1.9</w:t>
            </w:r>
          </w:p>
        </w:tc>
        <w:tc>
          <w:tcPr>
            <w:tcW w:w="3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197.4</w:t>
            </w:r>
          </w:p>
        </w:tc>
        <w:tc>
          <w:tcPr>
            <w:tcW w:w="4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West South Central</w:t>
            </w: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1,079.5</w:t>
            </w: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6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9.7</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1,023.9</w:t>
            </w: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gridSpan w:val="2"/>
          </w:tcPr>
          <w:p>
            <w:pPr>
              <w:jc w:val="right"/>
              <w:ind w:right="70"/>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Mountain</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879.7</w:t>
            </w:r>
          </w:p>
        </w:tc>
        <w:tc>
          <w:tcPr>
            <w:tcW w:w="9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7.9</w:t>
            </w:r>
          </w:p>
        </w:tc>
        <w:tc>
          <w:tcPr>
            <w:tcW w:w="3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772.0</w:t>
            </w:r>
          </w:p>
        </w:tc>
        <w:tc>
          <w:tcPr>
            <w:tcW w:w="4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Pacific</w:t>
            </w: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2,545.6</w:t>
            </w: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6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22.7</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2,565.5</w:t>
            </w: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gridSpan w:val="2"/>
          </w:tcPr>
          <w:p>
            <w:pPr>
              <w:jc w:val="right"/>
              <w:ind w:right="70"/>
              <w:spacing w:after="0"/>
              <w:rPr>
                <w:sz w:val="20"/>
                <w:szCs w:val="20"/>
                <w:color w:val="auto"/>
              </w:rPr>
            </w:pPr>
            <w:r>
              <w:rPr>
                <w:rFonts w:ascii="Arial" w:cs="Arial" w:eastAsia="Arial" w:hAnsi="Arial"/>
                <w:sz w:val="18"/>
                <w:szCs w:val="18"/>
                <w:color w:val="auto"/>
              </w:rPr>
              <w:t>24.0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International</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63.6</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0.5</w:t>
            </w:r>
          </w:p>
        </w:tc>
        <w:tc>
          <w:tcPr>
            <w:tcW w:w="3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39.7</w:t>
            </w:r>
          </w:p>
        </w:tc>
        <w:tc>
          <w:tcPr>
            <w:tcW w:w="4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00" w:type="dxa"/>
            <w:vAlign w:val="bottom"/>
            <w:vMerge w:val="restart"/>
          </w:tcPr>
          <w:p>
            <w:pPr>
              <w:spacing w:after="0"/>
              <w:rPr>
                <w:sz w:val="20"/>
                <w:szCs w:val="20"/>
                <w:color w:val="auto"/>
              </w:rPr>
            </w:pPr>
            <w:r>
              <w:rPr>
                <w:rFonts w:ascii="Arial" w:cs="Arial" w:eastAsia="Arial" w:hAnsi="Arial"/>
                <w:sz w:val="18"/>
                <w:szCs w:val="18"/>
                <w:color w:val="auto"/>
              </w:rPr>
              <w:t>Total</w:t>
            </w:r>
          </w:p>
        </w:tc>
        <w:tc>
          <w:tcPr>
            <w:tcW w:w="2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4900" w:type="dxa"/>
            <w:vAlign w:val="bottom"/>
            <w:vMerge w:val="continue"/>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11,179.8</w:t>
            </w:r>
          </w:p>
        </w:tc>
        <w:tc>
          <w:tcPr>
            <w:tcW w:w="280" w:type="dxa"/>
            <w:vAlign w:val="bottom"/>
            <w:vMerge w:val="continue"/>
          </w:tcPr>
          <w:p>
            <w:pPr>
              <w:spacing w:after="0"/>
              <w:rPr>
                <w:sz w:val="21"/>
                <w:szCs w:val="21"/>
                <w:color w:val="auto"/>
              </w:rPr>
            </w:pPr>
          </w:p>
        </w:tc>
        <w:tc>
          <w:tcPr>
            <w:tcW w:w="940" w:type="dxa"/>
            <w:vAlign w:val="bottom"/>
          </w:tcPr>
          <w:p>
            <w:pPr>
              <w:spacing w:after="0"/>
              <w:rPr>
                <w:sz w:val="21"/>
                <w:szCs w:val="21"/>
                <w:color w:val="auto"/>
              </w:rPr>
            </w:pPr>
          </w:p>
        </w:tc>
        <w:tc>
          <w:tcPr>
            <w:tcW w:w="76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w w:val="94"/>
              </w:rPr>
              <w:t>100.0%</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10,723.8</w:t>
            </w:r>
          </w:p>
        </w:tc>
        <w:tc>
          <w:tcPr>
            <w:tcW w:w="280" w:type="dxa"/>
            <w:vAlign w:val="bottom"/>
            <w:vMerge w:val="continue"/>
          </w:tcPr>
          <w:p>
            <w:pPr>
              <w:spacing w:after="0"/>
              <w:rPr>
                <w:sz w:val="21"/>
                <w:szCs w:val="21"/>
                <w:color w:val="auto"/>
              </w:rPr>
            </w:pPr>
          </w:p>
        </w:tc>
        <w:tc>
          <w:tcPr>
            <w:tcW w:w="440" w:type="dxa"/>
            <w:vAlign w:val="bottom"/>
          </w:tcPr>
          <w:p>
            <w:pPr>
              <w:spacing w:after="0"/>
              <w:rPr>
                <w:sz w:val="21"/>
                <w:szCs w:val="21"/>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9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42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b w:val="1"/>
                <w:bCs w:val="1"/>
                <w:color w:val="auto"/>
              </w:rPr>
              <w:t>Property type distribution</w:t>
            </w: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Office</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3,863.4</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34.6%</w:t>
            </w: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3,646.1</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Retail</w:t>
            </w: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2,633.8</w:t>
            </w: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6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23.6</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2,512.1</w:t>
            </w: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gridSpan w:val="2"/>
          </w:tcPr>
          <w:p>
            <w:pPr>
              <w:jc w:val="right"/>
              <w:ind w:right="70"/>
              <w:spacing w:after="0"/>
              <w:rPr>
                <w:sz w:val="20"/>
                <w:szCs w:val="20"/>
                <w:color w:val="auto"/>
              </w:rPr>
            </w:pPr>
            <w:r>
              <w:rPr>
                <w:rFonts w:ascii="Arial" w:cs="Arial" w:eastAsia="Arial" w:hAnsi="Arial"/>
                <w:sz w:val="18"/>
                <w:szCs w:val="18"/>
                <w:color w:val="auto"/>
              </w:rPr>
              <w:t>23.4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Industrial</w:t>
            </w: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1,839.7</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16.5</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1,918.7</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17.9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Apartments</w:t>
            </w: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2,379.8</w:t>
            </w: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6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21.3</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2,200.5</w:t>
            </w: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gridSpan w:val="2"/>
          </w:tcPr>
          <w:p>
            <w:pPr>
              <w:jc w:val="right"/>
              <w:ind w:right="70"/>
              <w:spacing w:after="0"/>
              <w:rPr>
                <w:sz w:val="20"/>
                <w:szCs w:val="20"/>
                <w:color w:val="auto"/>
              </w:rPr>
            </w:pPr>
            <w:r>
              <w:rPr>
                <w:rFonts w:ascii="Arial" w:cs="Arial" w:eastAsia="Arial" w:hAnsi="Arial"/>
                <w:sz w:val="18"/>
                <w:szCs w:val="18"/>
                <w:color w:val="auto"/>
              </w:rPr>
              <w:t>20.5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Hotel</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323.1</w:t>
            </w:r>
          </w:p>
        </w:tc>
        <w:tc>
          <w:tcPr>
            <w:tcW w:w="9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2.8</w:t>
            </w:r>
          </w:p>
        </w:tc>
        <w:tc>
          <w:tcPr>
            <w:tcW w:w="3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331.5</w:t>
            </w:r>
          </w:p>
        </w:tc>
        <w:tc>
          <w:tcPr>
            <w:tcW w:w="4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Mixed use/other</w:t>
            </w:r>
          </w:p>
        </w:tc>
        <w:tc>
          <w:tcPr>
            <w:tcW w:w="22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140.0</w:t>
            </w:r>
          </w:p>
        </w:tc>
        <w:tc>
          <w:tcPr>
            <w:tcW w:w="940" w:type="dxa"/>
            <w:vAlign w:val="bottom"/>
          </w:tcPr>
          <w:p>
            <w:pPr>
              <w:spacing w:after="0"/>
              <w:rPr>
                <w:sz w:val="18"/>
                <w:szCs w:val="18"/>
                <w:color w:val="auto"/>
              </w:rPr>
            </w:pPr>
          </w:p>
        </w:tc>
        <w:tc>
          <w:tcPr>
            <w:tcW w:w="76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1.2</w:t>
            </w:r>
          </w:p>
        </w:tc>
        <w:tc>
          <w:tcPr>
            <w:tcW w:w="30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114.9</w:t>
            </w:r>
          </w:p>
        </w:tc>
        <w:tc>
          <w:tcPr>
            <w:tcW w:w="440" w:type="dxa"/>
            <w:vAlign w:val="bottom"/>
          </w:tcPr>
          <w:p>
            <w:pPr>
              <w:spacing w:after="0"/>
              <w:rPr>
                <w:sz w:val="18"/>
                <w:szCs w:val="18"/>
                <w:color w:val="auto"/>
              </w:rPr>
            </w:pPr>
          </w:p>
        </w:tc>
        <w:tc>
          <w:tcPr>
            <w:tcW w:w="1080" w:type="dxa"/>
            <w:vAlign w:val="bottom"/>
            <w:gridSpan w:val="2"/>
          </w:tcPr>
          <w:p>
            <w:pPr>
              <w:jc w:val="right"/>
              <w:ind w:right="7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9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11,179.8</w:t>
            </w: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940" w:type="dxa"/>
            <w:vAlign w:val="bottom"/>
            <w:tcBorders>
              <w:top w:val="single" w:sz="8" w:color="auto"/>
              <w:bottom w:val="single" w:sz="8" w:color="auto"/>
            </w:tcBorders>
            <w:shd w:val="clear" w:color="auto" w:fill="CCEEFF"/>
          </w:tcPr>
          <w:p>
            <w:pPr>
              <w:spacing w:after="0"/>
              <w:rPr>
                <w:sz w:val="19"/>
                <w:szCs w:val="19"/>
                <w:color w:val="auto"/>
              </w:rPr>
            </w:pPr>
          </w:p>
        </w:tc>
        <w:tc>
          <w:tcPr>
            <w:tcW w:w="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8"/>
              </w:rPr>
              <w:t>100.0</w:t>
            </w:r>
          </w:p>
        </w:tc>
        <w:tc>
          <w:tcPr>
            <w:tcW w:w="340" w:type="dxa"/>
            <w:vAlign w:val="bottom"/>
            <w:tcBorders>
              <w:top w:val="single" w:sz="8" w:color="CCEEFF"/>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99"/>
              </w:rPr>
              <w:t>%</w:t>
            </w:r>
          </w:p>
        </w:tc>
        <w:tc>
          <w:tcPr>
            <w:tcW w:w="300" w:type="dxa"/>
            <w:vAlign w:val="bottom"/>
            <w:tcBorders>
              <w:top w:val="single" w:sz="8" w:color="auto"/>
              <w:bottom w:val="single" w:sz="8" w:color="auto"/>
            </w:tcBorders>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10,723.8</w:t>
            </w: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440" w:type="dxa"/>
            <w:vAlign w:val="bottom"/>
            <w:tcBorders>
              <w:top w:val="single" w:sz="8" w:color="auto"/>
              <w:bottom w:val="single" w:sz="8" w:color="auto"/>
            </w:tcBorders>
            <w:shd w:val="clear" w:color="auto" w:fill="CCEEFF"/>
          </w:tcPr>
          <w:p>
            <w:pPr>
              <w:spacing w:after="0"/>
              <w:rPr>
                <w:sz w:val="19"/>
                <w:szCs w:val="19"/>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6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60"/>
          </w:cols>
          <w:pgMar w:left="240" w:top="121" w:right="199" w:bottom="0" w:gutter="0" w:footer="0" w:header="0"/>
        </w:sectPr>
      </w:pPr>
    </w:p>
    <w:bookmarkStart w:id="15" w:name="page16"/>
    <w:bookmarkEnd w:id="15"/>
    <w:p>
      <w:pPr>
        <w:spacing w:after="0" w:line="62"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Our residential mortgage loan portfolio is composed of home equity mortgages with an amortized cost of $234.1 million and $283.4 million and first lien mortgages with an amortized cost of $874.8 million and $860.9 million as of September 30, 2015 and December 31, 2014, respectively. Our residential home equity mortgages are concentrated in the United States and are generally second lien mortgages comprised of closed-end loans and lines of credit. The majority of our first lien loans are concentrated in the Chilean market.</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 Credit Monitoring</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Commercial Credit Risk Profile Based on Internal Rating</w:t>
      </w:r>
    </w:p>
    <w:p>
      <w:pPr>
        <w:spacing w:after="0" w:line="225" w:lineRule="exact"/>
        <w:rPr>
          <w:sz w:val="20"/>
          <w:szCs w:val="20"/>
          <w:color w:val="auto"/>
        </w:rPr>
      </w:pPr>
    </w:p>
    <w:p>
      <w:pPr>
        <w:ind w:right="60" w:firstLine="648"/>
        <w:spacing w:after="0" w:line="291" w:lineRule="auto"/>
        <w:rPr>
          <w:sz w:val="20"/>
          <w:szCs w:val="20"/>
          <w:color w:val="auto"/>
        </w:rPr>
      </w:pPr>
      <w:r>
        <w:rPr>
          <w:rFonts w:ascii="Arial" w:cs="Arial" w:eastAsia="Arial" w:hAnsi="Arial"/>
          <w:sz w:val="16"/>
          <w:szCs w:val="16"/>
          <w:color w:val="auto"/>
        </w:rPr>
        <w:t>We actively monitor and manage our commercial mortgage loan portfolio. All commercial mortgage loans are analyzed regularly and substantially all are internally rated, based on a proprietary risk rating cash flow model, in order to monitor the financial quality of these assets. The model stresses expected cash flows at various levels and at different points in time depending on the durability of the income stream, which includes our assessment of factors such as location (macro and micro markets), tenant quality and lease expirations. Our internal rating analysis presents expected losses in terms of a Standard &amp; Poor’s (“S&amp;P”) bond equivalent rating. As the credit risk for commercial mortgage loans increases, we adjust our internal ratings downward with loans in the category “B+ and below” having the highest risk for credit loss. Internal ratings on commercial mortgage loans are updated at least annually and potentially more often for certain loans with material changes in collateral value or occupancy and for loans on an internal “watch list”.</w:t>
      </w:r>
    </w:p>
    <w:p>
      <w:pPr>
        <w:spacing w:after="0" w:line="167" w:lineRule="exact"/>
        <w:rPr>
          <w:sz w:val="20"/>
          <w:szCs w:val="20"/>
          <w:color w:val="auto"/>
        </w:rPr>
      </w:pPr>
    </w:p>
    <w:p>
      <w:pPr>
        <w:ind w:firstLine="648"/>
        <w:spacing w:after="0" w:line="312" w:lineRule="auto"/>
        <w:rPr>
          <w:sz w:val="20"/>
          <w:szCs w:val="20"/>
          <w:color w:val="auto"/>
        </w:rPr>
      </w:pPr>
      <w:r>
        <w:rPr>
          <w:rFonts w:ascii="Arial" w:cs="Arial" w:eastAsia="Arial" w:hAnsi="Arial"/>
          <w:sz w:val="16"/>
          <w:szCs w:val="16"/>
          <w:color w:val="auto"/>
        </w:rPr>
        <w:t>Commercial mortgage loans that require more frequent and detailed attention than other loans in our portfolio are identified and placed on an internal “watch list”. Among the criteria that would indicate a potential problem are significant negative changes in ratios of loan to value or contract rents to debt service, major tenant vacancies or bankruptcies, borrower sponsorship problems, late payments, delinquent taxes and loan relief/restructuring requests.</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amortized cost of our commercial mortgage loan portfolio by credit risk, as determined by our internal rating system expressed in terms of an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S&amp;P bond equivalent rating, was as follows:</w:t>
      </w:r>
    </w:p>
    <w:p>
      <w:pPr>
        <w:sectPr>
          <w:pgSz w:w="11900" w:h="16900" w:orient="portrait"/>
          <w:cols w:equalWidth="0" w:num="1">
            <w:col w:w="11420"/>
          </w:cols>
          <w:pgMar w:left="240" w:top="34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A- and above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BBB+ thru BBB-</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BB+ thru BB-</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 and below</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color w:val="auto"/>
        </w:rPr>
        <w:t>A- and above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BBB+ thru BBB-</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BB+ thru BB-</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 and below</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w:t>
      </w:r>
    </w:p>
    <w:p>
      <w:pPr>
        <w:spacing w:after="0" w:line="265"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Residential Credit Risk Profile Based on Performance Status</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ind w:left="1740"/>
        <w:spacing w:after="0"/>
        <w:rPr>
          <w:sz w:val="20"/>
          <w:szCs w:val="20"/>
          <w:color w:val="auto"/>
        </w:rPr>
      </w:pPr>
      <w:r>
        <w:rPr>
          <w:rFonts w:ascii="Arial" w:cs="Arial" w:eastAsia="Arial" w:hAnsi="Arial"/>
          <w:sz w:val="14"/>
          <w:szCs w:val="14"/>
          <w:b w:val="1"/>
          <w:bCs w:val="1"/>
          <w:color w:val="auto"/>
        </w:rPr>
        <w:t>September 30, 2015</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120" w:type="dxa"/>
            <w:vAlign w:val="bottom"/>
            <w:tcBorders>
              <w:top w:val="single" w:sz="8" w:color="auto"/>
              <w:bottom w:val="single" w:sz="8" w:color="auto"/>
            </w:tcBorders>
          </w:tcPr>
          <w:p>
            <w:pPr>
              <w:spacing w:after="0"/>
              <w:rPr>
                <w:sz w:val="12"/>
                <w:szCs w:val="12"/>
                <w:color w:val="auto"/>
              </w:rPr>
            </w:pPr>
          </w:p>
        </w:tc>
        <w:tc>
          <w:tcPr>
            <w:tcW w:w="1560" w:type="dxa"/>
            <w:vAlign w:val="bottom"/>
            <w:tcBorders>
              <w:top w:val="single" w:sz="8" w:color="auto"/>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rPr>
              <w:t>Brick and mortar</w:t>
            </w:r>
          </w:p>
        </w:tc>
        <w:tc>
          <w:tcPr>
            <w:tcW w:w="180" w:type="dxa"/>
            <w:vAlign w:val="bottom"/>
            <w:tcBorders>
              <w:top w:val="single" w:sz="8" w:color="auto"/>
              <w:bottom w:val="single" w:sz="8" w:color="auto"/>
            </w:tcBorders>
          </w:tcPr>
          <w:p>
            <w:pPr>
              <w:spacing w:after="0"/>
              <w:rPr>
                <w:sz w:val="12"/>
                <w:szCs w:val="12"/>
                <w:color w:val="auto"/>
              </w:rPr>
            </w:pPr>
          </w:p>
        </w:tc>
        <w:tc>
          <w:tcPr>
            <w:tcW w:w="1460" w:type="dxa"/>
            <w:vAlign w:val="bottom"/>
            <w:tcBorders>
              <w:top w:val="single" w:sz="8" w:color="auto"/>
              <w:bottom w:val="single" w:sz="8" w:color="auto"/>
            </w:tcBorders>
            <w:gridSpan w:val="2"/>
          </w:tcPr>
          <w:p>
            <w:pPr>
              <w:jc w:val="center"/>
              <w:ind w:right="480"/>
              <w:spacing w:after="0" w:line="142" w:lineRule="exact"/>
              <w:rPr>
                <w:sz w:val="20"/>
                <w:szCs w:val="20"/>
                <w:color w:val="auto"/>
              </w:rPr>
            </w:pPr>
            <w:r>
              <w:rPr>
                <w:rFonts w:ascii="Arial" w:cs="Arial" w:eastAsia="Arial" w:hAnsi="Arial"/>
                <w:sz w:val="14"/>
                <w:szCs w:val="14"/>
                <w:b w:val="1"/>
                <w:bCs w:val="1"/>
                <w:color w:val="auto"/>
              </w:rPr>
              <w:t>CTL</w:t>
            </w:r>
          </w:p>
        </w:tc>
        <w:tc>
          <w:tcPr>
            <w:tcW w:w="30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33"/>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r>
      <w:tr>
        <w:trPr>
          <w:trHeight w:val="124"/>
        </w:trPr>
        <w:tc>
          <w:tcPr>
            <w:tcW w:w="1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60" w:type="dxa"/>
            <w:vAlign w:val="bottom"/>
            <w:gridSpan w:val="2"/>
          </w:tcPr>
          <w:p>
            <w:pPr>
              <w:jc w:val="center"/>
              <w:ind w:right="520"/>
              <w:spacing w:after="0" w:line="124" w:lineRule="exact"/>
              <w:rPr>
                <w:sz w:val="20"/>
                <w:szCs w:val="20"/>
                <w:color w:val="auto"/>
              </w:rPr>
            </w:pPr>
            <w:r>
              <w:rPr>
                <w:rFonts w:ascii="Arial" w:cs="Arial" w:eastAsia="Arial" w:hAnsi="Arial"/>
                <w:sz w:val="14"/>
                <w:szCs w:val="14"/>
                <w:b w:val="1"/>
                <w:bCs w:val="1"/>
                <w:color w:val="auto"/>
                <w:w w:val="94"/>
              </w:rPr>
              <w:t>(in millions)</w:t>
            </w:r>
          </w:p>
        </w:tc>
        <w:tc>
          <w:tcPr>
            <w:tcW w:w="3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216"/>
        </w:trPr>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9,755.2</w:t>
            </w:r>
          </w:p>
        </w:tc>
        <w:tc>
          <w:tcPr>
            <w:tcW w:w="300" w:type="dxa"/>
            <w:vAlign w:val="bottom"/>
          </w:tcPr>
          <w:p>
            <w:pPr>
              <w:spacing w:after="0"/>
              <w:rPr>
                <w:sz w:val="18"/>
                <w:szCs w:val="18"/>
                <w:color w:val="auto"/>
              </w:rPr>
            </w:pPr>
          </w:p>
        </w:tc>
        <w:tc>
          <w:tcPr>
            <w:tcW w:w="180" w:type="dxa"/>
            <w:vAlign w:val="bottom"/>
          </w:tcPr>
          <w:p>
            <w:pPr>
              <w:jc w:val="right"/>
              <w:ind w:right="26"/>
              <w:spacing w:after="0"/>
              <w:rPr>
                <w:sz w:val="20"/>
                <w:szCs w:val="20"/>
                <w:color w:val="auto"/>
              </w:rPr>
            </w:pPr>
            <w:r>
              <w:rPr>
                <w:rFonts w:ascii="Arial" w:cs="Arial" w:eastAsia="Arial" w:hAnsi="Arial"/>
                <w:sz w:val="15"/>
                <w:szCs w:val="15"/>
                <w:b w:val="1"/>
                <w:bCs w:val="1"/>
                <w:color w:val="auto"/>
                <w:w w:val="71"/>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187.5</w:t>
            </w:r>
          </w:p>
        </w:tc>
        <w:tc>
          <w:tcPr>
            <w:tcW w:w="300" w:type="dxa"/>
            <w:vAlign w:val="bottom"/>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9,942.7</w:t>
            </w:r>
          </w:p>
        </w:tc>
      </w:tr>
      <w:tr>
        <w:trPr>
          <w:trHeight w:val="216"/>
        </w:trPr>
        <w:tc>
          <w:tcPr>
            <w:tcW w:w="120" w:type="dxa"/>
            <w:vAlign w:val="bottom"/>
          </w:tcPr>
          <w:p>
            <w:pPr>
              <w:spacing w:after="0"/>
              <w:rPr>
                <w:sz w:val="18"/>
                <w:szCs w:val="18"/>
                <w:color w:val="auto"/>
              </w:rPr>
            </w:pPr>
          </w:p>
        </w:tc>
        <w:tc>
          <w:tcPr>
            <w:tcW w:w="15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910.7</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127.3</w:t>
            </w:r>
          </w:p>
        </w:tc>
        <w:tc>
          <w:tcPr>
            <w:tcW w:w="3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1,038.0</w:t>
            </w:r>
          </w:p>
        </w:tc>
      </w:tr>
      <w:tr>
        <w:trPr>
          <w:trHeight w:val="216"/>
        </w:trPr>
        <w:tc>
          <w:tcPr>
            <w:tcW w:w="120" w:type="dxa"/>
            <w:vAlign w:val="bottom"/>
          </w:tcPr>
          <w:p>
            <w:pPr>
              <w:spacing w:after="0"/>
              <w:rPr>
                <w:sz w:val="18"/>
                <w:szCs w:val="18"/>
                <w:color w:val="auto"/>
              </w:rPr>
            </w:pPr>
          </w:p>
        </w:tc>
        <w:tc>
          <w:tcPr>
            <w:tcW w:w="15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152.7</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0.1</w:t>
            </w:r>
          </w:p>
        </w:tc>
        <w:tc>
          <w:tcPr>
            <w:tcW w:w="3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152.8</w:t>
            </w:r>
          </w:p>
        </w:tc>
      </w:tr>
      <w:tr>
        <w:trPr>
          <w:trHeight w:val="234"/>
        </w:trPr>
        <w:tc>
          <w:tcPr>
            <w:tcW w:w="120" w:type="dxa"/>
            <w:vAlign w:val="bottom"/>
          </w:tcPr>
          <w:p>
            <w:pPr>
              <w:spacing w:after="0"/>
              <w:rPr>
                <w:sz w:val="20"/>
                <w:szCs w:val="20"/>
                <w:color w:val="auto"/>
              </w:rPr>
            </w:pPr>
          </w:p>
        </w:tc>
        <w:tc>
          <w:tcPr>
            <w:tcW w:w="15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45.6</w:t>
            </w:r>
          </w:p>
        </w:tc>
        <w:tc>
          <w:tcPr>
            <w:tcW w:w="180" w:type="dxa"/>
            <w:vAlign w:val="bottom"/>
          </w:tcPr>
          <w:p>
            <w:pPr>
              <w:spacing w:after="0"/>
              <w:rPr>
                <w:sz w:val="20"/>
                <w:szCs w:val="20"/>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0.7</w:t>
            </w:r>
          </w:p>
        </w:tc>
        <w:tc>
          <w:tcPr>
            <w:tcW w:w="300" w:type="dxa"/>
            <w:vAlign w:val="bottom"/>
          </w:tcPr>
          <w:p>
            <w:pPr>
              <w:spacing w:after="0"/>
              <w:rPr>
                <w:sz w:val="20"/>
                <w:szCs w:val="20"/>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46.3</w:t>
            </w:r>
          </w:p>
        </w:tc>
      </w:tr>
      <w:tr>
        <w:trPr>
          <w:trHeight w:val="210"/>
        </w:trPr>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10,864.2</w:t>
            </w:r>
          </w:p>
        </w:tc>
        <w:tc>
          <w:tcPr>
            <w:tcW w:w="300" w:type="dxa"/>
            <w:vAlign w:val="bottom"/>
          </w:tcPr>
          <w:p>
            <w:pPr>
              <w:spacing w:after="0"/>
              <w:rPr>
                <w:sz w:val="18"/>
                <w:szCs w:val="18"/>
                <w:color w:val="auto"/>
              </w:rPr>
            </w:pPr>
          </w:p>
        </w:tc>
        <w:tc>
          <w:tcPr>
            <w:tcW w:w="180" w:type="dxa"/>
            <w:vAlign w:val="bottom"/>
            <w:tcBorders>
              <w:top w:val="single" w:sz="8" w:color="auto"/>
            </w:tcBorders>
          </w:tcPr>
          <w:p>
            <w:pPr>
              <w:jc w:val="right"/>
              <w:ind w:right="26"/>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315.6</w:t>
            </w:r>
          </w:p>
        </w:tc>
        <w:tc>
          <w:tcPr>
            <w:tcW w:w="280" w:type="dxa"/>
            <w:vAlign w:val="bottom"/>
          </w:tcPr>
          <w:p>
            <w:pPr>
              <w:spacing w:after="0"/>
              <w:rPr>
                <w:sz w:val="18"/>
                <w:szCs w:val="18"/>
                <w:color w:val="auto"/>
              </w:rPr>
            </w:pPr>
          </w:p>
        </w:tc>
        <w:tc>
          <w:tcPr>
            <w:tcW w:w="3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108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b w:val="1"/>
                <w:bCs w:val="1"/>
                <w:color w:val="auto"/>
              </w:rPr>
              <w:t>11,179.8</w:t>
            </w:r>
          </w:p>
        </w:tc>
      </w:tr>
      <w:tr>
        <w:trPr>
          <w:trHeight w:val="20"/>
        </w:trPr>
        <w:tc>
          <w:tcPr>
            <w:tcW w:w="1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60" w:type="dxa"/>
            <w:vAlign w:val="bottom"/>
            <w:tcBorders>
              <w:top w:val="single" w:sz="8" w:color="auto"/>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45"/>
        </w:trPr>
        <w:tc>
          <w:tcPr>
            <w:tcW w:w="1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3"/>
          </w:tcPr>
          <w:p>
            <w:pPr>
              <w:jc w:val="center"/>
              <w:ind w:right="320"/>
              <w:spacing w:after="0"/>
              <w:rPr>
                <w:sz w:val="20"/>
                <w:szCs w:val="20"/>
                <w:color w:val="auto"/>
              </w:rPr>
            </w:pPr>
            <w:r>
              <w:rPr>
                <w:rFonts w:ascii="Arial" w:cs="Arial" w:eastAsia="Arial" w:hAnsi="Arial"/>
                <w:sz w:val="14"/>
                <w:szCs w:val="14"/>
                <w:b w:val="1"/>
                <w:bCs w:val="1"/>
                <w:color w:val="auto"/>
                <w:w w:val="91"/>
              </w:rPr>
              <w:t>December 31, 2014</w:t>
            </w: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42"/>
        </w:trPr>
        <w:tc>
          <w:tcPr>
            <w:tcW w:w="120" w:type="dxa"/>
            <w:vAlign w:val="bottom"/>
            <w:tcBorders>
              <w:bottom w:val="single" w:sz="8" w:color="auto"/>
            </w:tcBorders>
          </w:tcPr>
          <w:p>
            <w:pPr>
              <w:spacing w:after="0"/>
              <w:rPr>
                <w:sz w:val="12"/>
                <w:szCs w:val="12"/>
                <w:color w:val="auto"/>
              </w:rPr>
            </w:pPr>
          </w:p>
        </w:tc>
        <w:tc>
          <w:tcPr>
            <w:tcW w:w="1560" w:type="dxa"/>
            <w:vAlign w:val="bottom"/>
            <w:tcBorders>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rPr>
              <w:t>Brick and mortar</w:t>
            </w:r>
          </w:p>
        </w:tc>
        <w:tc>
          <w:tcPr>
            <w:tcW w:w="180" w:type="dxa"/>
            <w:vAlign w:val="bottom"/>
            <w:tcBorders>
              <w:bottom w:val="single" w:sz="8" w:color="auto"/>
            </w:tcBorders>
          </w:tcPr>
          <w:p>
            <w:pPr>
              <w:spacing w:after="0"/>
              <w:rPr>
                <w:sz w:val="12"/>
                <w:szCs w:val="12"/>
                <w:color w:val="auto"/>
              </w:rPr>
            </w:pPr>
          </w:p>
        </w:tc>
        <w:tc>
          <w:tcPr>
            <w:tcW w:w="1460" w:type="dxa"/>
            <w:vAlign w:val="bottom"/>
            <w:tcBorders>
              <w:bottom w:val="single" w:sz="8" w:color="auto"/>
            </w:tcBorders>
            <w:gridSpan w:val="2"/>
          </w:tcPr>
          <w:p>
            <w:pPr>
              <w:jc w:val="center"/>
              <w:ind w:right="480"/>
              <w:spacing w:after="0" w:line="142" w:lineRule="exact"/>
              <w:rPr>
                <w:sz w:val="20"/>
                <w:szCs w:val="20"/>
                <w:color w:val="auto"/>
              </w:rPr>
            </w:pPr>
            <w:r>
              <w:rPr>
                <w:rFonts w:ascii="Arial" w:cs="Arial" w:eastAsia="Arial" w:hAnsi="Arial"/>
                <w:sz w:val="14"/>
                <w:szCs w:val="14"/>
                <w:b w:val="1"/>
                <w:bCs w:val="1"/>
                <w:color w:val="auto"/>
              </w:rPr>
              <w:t>CTL</w:t>
            </w:r>
          </w:p>
        </w:tc>
        <w:tc>
          <w:tcPr>
            <w:tcW w:w="30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jc w:val="right"/>
              <w:ind w:right="433"/>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r>
      <w:tr>
        <w:trPr>
          <w:trHeight w:val="128"/>
        </w:trPr>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gridSpan w:val="2"/>
          </w:tcPr>
          <w:p>
            <w:pPr>
              <w:jc w:val="center"/>
              <w:ind w:right="520"/>
              <w:spacing w:after="0" w:line="128" w:lineRule="exact"/>
              <w:rPr>
                <w:sz w:val="20"/>
                <w:szCs w:val="20"/>
                <w:color w:val="auto"/>
              </w:rPr>
            </w:pPr>
            <w:r>
              <w:rPr>
                <w:rFonts w:ascii="Arial" w:cs="Arial" w:eastAsia="Arial" w:hAnsi="Arial"/>
                <w:sz w:val="14"/>
                <w:szCs w:val="14"/>
                <w:b w:val="1"/>
                <w:bCs w:val="1"/>
                <w:color w:val="auto"/>
                <w:w w:val="94"/>
              </w:rPr>
              <w:t>(in millions)</w:t>
            </w:r>
          </w:p>
        </w:tc>
        <w:tc>
          <w:tcPr>
            <w:tcW w:w="3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216"/>
        </w:trPr>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560" w:type="dxa"/>
            <w:vAlign w:val="bottom"/>
            <w:gridSpan w:val="2"/>
          </w:tcPr>
          <w:p>
            <w:pPr>
              <w:jc w:val="right"/>
              <w:ind w:right="300"/>
              <w:spacing w:after="0"/>
              <w:rPr>
                <w:sz w:val="20"/>
                <w:szCs w:val="20"/>
                <w:color w:val="auto"/>
              </w:rPr>
            </w:pPr>
            <w:r>
              <w:rPr>
                <w:rFonts w:ascii="Arial" w:cs="Arial" w:eastAsia="Arial" w:hAnsi="Arial"/>
                <w:sz w:val="18"/>
                <w:szCs w:val="18"/>
                <w:color w:val="auto"/>
              </w:rPr>
              <w:t>9,115.8</w:t>
            </w:r>
          </w:p>
        </w:tc>
        <w:tc>
          <w:tcPr>
            <w:tcW w:w="180" w:type="dxa"/>
            <w:vAlign w:val="bottom"/>
          </w:tcPr>
          <w:p>
            <w:pPr>
              <w:jc w:val="right"/>
              <w:ind w:right="26"/>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168.8</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9,284.6</w:t>
            </w:r>
          </w:p>
        </w:tc>
      </w:tr>
      <w:tr>
        <w:trPr>
          <w:trHeight w:val="216"/>
        </w:trPr>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1,041.0</w:t>
            </w: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178.5</w:t>
            </w:r>
          </w:p>
        </w:tc>
        <w:tc>
          <w:tcPr>
            <w:tcW w:w="3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1,219.5</w:t>
            </w:r>
          </w:p>
        </w:tc>
      </w:tr>
      <w:tr>
        <w:trPr>
          <w:trHeight w:val="216"/>
        </w:trPr>
        <w:tc>
          <w:tcPr>
            <w:tcW w:w="120" w:type="dxa"/>
            <w:vAlign w:val="bottom"/>
          </w:tcPr>
          <w:p>
            <w:pPr>
              <w:spacing w:after="0"/>
              <w:rPr>
                <w:sz w:val="18"/>
                <w:szCs w:val="18"/>
                <w:color w:val="auto"/>
              </w:rPr>
            </w:pPr>
          </w:p>
        </w:tc>
        <w:tc>
          <w:tcPr>
            <w:tcW w:w="1560" w:type="dxa"/>
            <w:vAlign w:val="bottom"/>
            <w:gridSpan w:val="2"/>
          </w:tcPr>
          <w:p>
            <w:pPr>
              <w:jc w:val="right"/>
              <w:ind w:right="300"/>
              <w:spacing w:after="0"/>
              <w:rPr>
                <w:sz w:val="20"/>
                <w:szCs w:val="20"/>
                <w:color w:val="auto"/>
              </w:rPr>
            </w:pPr>
            <w:r>
              <w:rPr>
                <w:rFonts w:ascii="Arial" w:cs="Arial" w:eastAsia="Arial" w:hAnsi="Arial"/>
                <w:sz w:val="18"/>
                <w:szCs w:val="18"/>
                <w:color w:val="auto"/>
              </w:rPr>
              <w:t>148.3</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148.3</w:t>
            </w:r>
          </w:p>
        </w:tc>
      </w:tr>
      <w:tr>
        <w:trPr>
          <w:trHeight w:val="230"/>
        </w:trPr>
        <w:tc>
          <w:tcPr>
            <w:tcW w:w="120" w:type="dxa"/>
            <w:vAlign w:val="bottom"/>
          </w:tcPr>
          <w:p>
            <w:pPr>
              <w:spacing w:after="0"/>
              <w:rPr>
                <w:sz w:val="20"/>
                <w:szCs w:val="20"/>
                <w:color w:val="auto"/>
              </w:rPr>
            </w:pPr>
          </w:p>
        </w:tc>
        <w:tc>
          <w:tcPr>
            <w:tcW w:w="1560" w:type="dxa"/>
            <w:vAlign w:val="bottom"/>
            <w:gridSpan w:val="2"/>
          </w:tcPr>
          <w:p>
            <w:pPr>
              <w:jc w:val="right"/>
              <w:ind w:right="300"/>
              <w:spacing w:after="0"/>
              <w:rPr>
                <w:sz w:val="20"/>
                <w:szCs w:val="20"/>
                <w:color w:val="auto"/>
              </w:rPr>
            </w:pPr>
            <w:r>
              <w:rPr>
                <w:rFonts w:ascii="Arial" w:cs="Arial" w:eastAsia="Arial" w:hAnsi="Arial"/>
                <w:sz w:val="18"/>
                <w:szCs w:val="18"/>
                <w:color w:val="auto"/>
              </w:rPr>
              <w:t>69.8</w:t>
            </w:r>
          </w:p>
        </w:tc>
        <w:tc>
          <w:tcPr>
            <w:tcW w:w="180" w:type="dxa"/>
            <w:vAlign w:val="bottom"/>
          </w:tcPr>
          <w:p>
            <w:pPr>
              <w:spacing w:after="0"/>
              <w:rPr>
                <w:sz w:val="20"/>
                <w:szCs w:val="20"/>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1.6</w:t>
            </w:r>
          </w:p>
        </w:tc>
        <w:tc>
          <w:tcPr>
            <w:tcW w:w="300" w:type="dxa"/>
            <w:vAlign w:val="bottom"/>
          </w:tcPr>
          <w:p>
            <w:pPr>
              <w:spacing w:after="0"/>
              <w:rPr>
                <w:sz w:val="20"/>
                <w:szCs w:val="20"/>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71.4</w:t>
            </w:r>
          </w:p>
        </w:tc>
      </w:tr>
      <w:tr>
        <w:trPr>
          <w:trHeight w:val="210"/>
        </w:trPr>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10,374.9</w:t>
            </w:r>
          </w:p>
        </w:tc>
        <w:tc>
          <w:tcPr>
            <w:tcW w:w="3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6"/>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348.9</w:t>
            </w:r>
          </w:p>
        </w:tc>
        <w:tc>
          <w:tcPr>
            <w:tcW w:w="28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10,723.8</w:t>
            </w:r>
          </w:p>
        </w:tc>
      </w:tr>
      <w:tr>
        <w:trPr>
          <w:trHeight w:val="20"/>
        </w:trPr>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-4210685</wp:posOffset>
            </wp:positionH>
            <wp:positionV relativeFrom="paragraph">
              <wp:posOffset>-1877695</wp:posOffset>
            </wp:positionV>
            <wp:extent cx="7246620" cy="1371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-1602740</wp:posOffset>
            </wp:positionV>
            <wp:extent cx="7246620" cy="1371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-1328420</wp:posOffset>
            </wp:positionV>
            <wp:extent cx="7246620" cy="1543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46620" cy="154305"/>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-719455</wp:posOffset>
            </wp:positionV>
            <wp:extent cx="7246620" cy="1371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-445135</wp:posOffset>
            </wp:positionV>
            <wp:extent cx="7246620" cy="1371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-170815</wp:posOffset>
            </wp:positionV>
            <wp:extent cx="7246620" cy="1543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154305"/>
                    </a:xfrm>
                    <a:prstGeom prst="rect">
                      <a:avLst/>
                    </a:prstGeom>
                    <a:noFill/>
                  </pic:spPr>
                </pic:pic>
              </a:graphicData>
            </a:graphic>
          </wp:anchor>
        </w:drawing>
      </w:r>
    </w:p>
    <w:p>
      <w:pPr>
        <w:spacing w:after="0" w:line="574" w:lineRule="exact"/>
        <w:rPr>
          <w:sz w:val="20"/>
          <w:szCs w:val="20"/>
          <w:color w:val="auto"/>
        </w:rPr>
      </w:pPr>
    </w:p>
    <w:p>
      <w:pPr>
        <w:sectPr>
          <w:pgSz w:w="11900" w:h="16900" w:orient="portrait"/>
          <w:cols w:equalWidth="0" w:num="2">
            <w:col w:w="5920" w:space="720"/>
            <w:col w:w="4780"/>
          </w:cols>
          <w:pgMar w:left="240" w:top="341" w:right="239" w:bottom="0" w:gutter="0" w:footer="0" w:header="0"/>
          <w:type w:val="continuous"/>
        </w:sectPr>
      </w:pPr>
    </w:p>
    <w:p>
      <w:pPr>
        <w:spacing w:after="0" w:line="60"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Our residential mortgage loan portfolio is monitored based on performance of the loans. Monitoring on a residential mortgage loan increases when the loan is delinquent or earlier if there is an indication of impairment. We define non-performing residential mortgage loans as loans 90 days or greater delinquent or on non-accrual status.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amortized cost of our performing and non-performing residential mortgage loans was as follows: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6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3"/>
          </w:tcPr>
          <w:p>
            <w:pPr>
              <w:jc w:val="center"/>
              <w:ind w:right="320"/>
              <w:spacing w:after="0"/>
              <w:rPr>
                <w:sz w:val="20"/>
                <w:szCs w:val="20"/>
                <w:color w:val="auto"/>
              </w:rPr>
            </w:pPr>
            <w:r>
              <w:rPr>
                <w:rFonts w:ascii="Arial" w:cs="Arial" w:eastAsia="Arial" w:hAnsi="Arial"/>
                <w:sz w:val="14"/>
                <w:szCs w:val="14"/>
                <w:b w:val="1"/>
                <w:bCs w:val="1"/>
                <w:color w:val="auto"/>
                <w:w w:val="91"/>
              </w:rPr>
              <w:t>September 30, 2015</w:t>
            </w:r>
          </w:p>
        </w:tc>
        <w:tc>
          <w:tcPr>
            <w:tcW w:w="3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62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1480" w:type="dxa"/>
            <w:vAlign w:val="bottom"/>
            <w:tcBorders>
              <w:bottom w:val="single" w:sz="8" w:color="auto"/>
            </w:tcBorders>
            <w:gridSpan w:val="2"/>
          </w:tcPr>
          <w:p>
            <w:pPr>
              <w:ind w:left="100"/>
              <w:spacing w:after="0" w:line="142" w:lineRule="exact"/>
              <w:rPr>
                <w:sz w:val="20"/>
                <w:szCs w:val="20"/>
                <w:color w:val="auto"/>
              </w:rPr>
            </w:pPr>
            <w:r>
              <w:rPr>
                <w:rFonts w:ascii="Arial" w:cs="Arial" w:eastAsia="Arial" w:hAnsi="Arial"/>
                <w:sz w:val="14"/>
                <w:szCs w:val="14"/>
                <w:b w:val="1"/>
                <w:bCs w:val="1"/>
                <w:color w:val="auto"/>
              </w:rPr>
              <w:t>Home equity</w:t>
            </w:r>
          </w:p>
        </w:tc>
        <w:tc>
          <w:tcPr>
            <w:tcW w:w="180" w:type="dxa"/>
            <w:vAlign w:val="bottom"/>
            <w:tcBorders>
              <w:bottom w:val="single" w:sz="8" w:color="auto"/>
            </w:tcBorders>
          </w:tcPr>
          <w:p>
            <w:pPr>
              <w:spacing w:after="0"/>
              <w:rPr>
                <w:sz w:val="12"/>
                <w:szCs w:val="12"/>
                <w:color w:val="auto"/>
              </w:rPr>
            </w:pPr>
          </w:p>
        </w:tc>
        <w:tc>
          <w:tcPr>
            <w:tcW w:w="1460" w:type="dxa"/>
            <w:vAlign w:val="bottom"/>
            <w:tcBorders>
              <w:bottom w:val="single" w:sz="8" w:color="auto"/>
            </w:tcBorders>
            <w:gridSpan w:val="2"/>
          </w:tcPr>
          <w:p>
            <w:pPr>
              <w:jc w:val="center"/>
              <w:ind w:right="460"/>
              <w:spacing w:after="0" w:line="142" w:lineRule="exact"/>
              <w:rPr>
                <w:sz w:val="20"/>
                <w:szCs w:val="20"/>
                <w:color w:val="auto"/>
              </w:rPr>
            </w:pPr>
            <w:r>
              <w:rPr>
                <w:rFonts w:ascii="Arial" w:cs="Arial" w:eastAsia="Arial" w:hAnsi="Arial"/>
                <w:sz w:val="14"/>
                <w:szCs w:val="14"/>
                <w:b w:val="1"/>
                <w:bCs w:val="1"/>
                <w:color w:val="auto"/>
                <w:w w:val="90"/>
              </w:rPr>
              <w:t>First liens</w:t>
            </w:r>
          </w:p>
        </w:tc>
        <w:tc>
          <w:tcPr>
            <w:tcW w:w="30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jc w:val="right"/>
              <w:ind w:right="436"/>
              <w:spacing w:after="0" w:line="142"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6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94"/>
              </w:rPr>
              <w:t>(in millions)</w:t>
            </w:r>
          </w:p>
        </w:tc>
        <w:tc>
          <w:tcPr>
            <w:tcW w:w="3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6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Performing</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4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222.2</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4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863.1</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1,085.3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tcPr>
          <w:p>
            <w:pPr>
              <w:spacing w:after="0"/>
              <w:rPr>
                <w:sz w:val="20"/>
                <w:szCs w:val="20"/>
                <w:color w:val="auto"/>
              </w:rPr>
            </w:pPr>
            <w:r>
              <w:rPr>
                <w:rFonts w:ascii="Arial" w:cs="Arial" w:eastAsia="Arial" w:hAnsi="Arial"/>
                <w:sz w:val="18"/>
                <w:szCs w:val="18"/>
                <w:color w:val="auto"/>
              </w:rPr>
              <w:t>Nonperforming</w:t>
            </w:r>
          </w:p>
        </w:tc>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11.9</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11.7</w:t>
            </w:r>
          </w:p>
        </w:tc>
        <w:tc>
          <w:tcPr>
            <w:tcW w:w="3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23.6</w:t>
            </w: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620" w:type="dxa"/>
            <w:vAlign w:val="bottom"/>
            <w:tcBorders>
              <w:top w:val="single" w:sz="8" w:color="CCEEFF"/>
            </w:tcBorders>
            <w:shd w:val="clear" w:color="auto" w:fill="CCEEFF"/>
          </w:tcPr>
          <w:p>
            <w:pPr>
              <w:spacing w:after="0" w:line="185" w:lineRule="exact"/>
              <w:rPr>
                <w:sz w:val="20"/>
                <w:szCs w:val="20"/>
                <w:color w:val="auto"/>
              </w:rPr>
            </w:pPr>
            <w:r>
              <w:rPr>
                <w:rFonts w:ascii="Arial" w:cs="Arial" w:eastAsia="Arial" w:hAnsi="Arial"/>
                <w:sz w:val="18"/>
                <w:szCs w:val="18"/>
                <w:color w:val="auto"/>
              </w:rPr>
              <w:t>Total</w:t>
            </w:r>
          </w:p>
        </w:tc>
        <w:tc>
          <w:tcPr>
            <w:tcW w:w="200" w:type="dxa"/>
            <w:vAlign w:val="bottom"/>
            <w:tcBorders>
              <w:top w:val="single" w:sz="8" w:color="auto"/>
            </w:tcBorders>
            <w:shd w:val="clear" w:color="auto" w:fill="CCEEFF"/>
          </w:tcPr>
          <w:p>
            <w:pPr>
              <w:spacing w:after="0"/>
              <w:rPr>
                <w:sz w:val="16"/>
                <w:szCs w:val="16"/>
                <w:color w:val="auto"/>
              </w:rPr>
            </w:pPr>
          </w:p>
        </w:tc>
        <w:tc>
          <w:tcPr>
            <w:tcW w:w="118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118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CCEEFF"/>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10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bl>
    <w:p>
      <w:pPr>
        <w:sectPr>
          <w:pgSz w:w="11900" w:h="16900" w:orient="portrait"/>
          <w:cols w:equalWidth="0" w:num="1">
            <w:col w:w="11420"/>
          </w:cols>
          <w:pgMar w:left="240" w:top="341" w:right="239" w:bottom="0" w:gutter="0" w:footer="0" w:header="0"/>
          <w:type w:val="continuous"/>
        </w:sectPr>
      </w:pPr>
    </w:p>
    <w:bookmarkStart w:id="16" w:name="page17"/>
    <w:bookmarkEnd w:id="1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6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4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234.1</w:t>
            </w:r>
          </w:p>
        </w:tc>
        <w:tc>
          <w:tcPr>
            <w:tcW w:w="180" w:type="dxa"/>
            <w:vAlign w:val="bottom"/>
            <w:shd w:val="clear" w:color="auto" w:fill="CCEEFF"/>
          </w:tcPr>
          <w:p>
            <w:pPr>
              <w:jc w:val="right"/>
              <w:ind w:right="26"/>
              <w:spacing w:after="0"/>
              <w:rPr>
                <w:sz w:val="20"/>
                <w:szCs w:val="20"/>
                <w:color w:val="auto"/>
              </w:rPr>
            </w:pPr>
            <w:r>
              <w:rPr>
                <w:rFonts w:ascii="Arial" w:cs="Arial" w:eastAsia="Arial" w:hAnsi="Arial"/>
                <w:sz w:val="15"/>
                <w:szCs w:val="15"/>
                <w:b w:val="1"/>
                <w:bCs w:val="1"/>
                <w:color w:val="auto"/>
                <w:w w:val="71"/>
              </w:rPr>
              <w:t>$</w:t>
            </w:r>
          </w:p>
        </w:tc>
        <w:tc>
          <w:tcPr>
            <w:tcW w:w="14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874.8</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1,108.9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6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gridSpan w:val="2"/>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2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3"/>
          </w:tcPr>
          <w:p>
            <w:pPr>
              <w:jc w:val="center"/>
              <w:ind w:right="320"/>
              <w:spacing w:after="0"/>
              <w:rPr>
                <w:sz w:val="20"/>
                <w:szCs w:val="20"/>
                <w:color w:val="auto"/>
              </w:rPr>
            </w:pPr>
            <w:r>
              <w:rPr>
                <w:rFonts w:ascii="Arial" w:cs="Arial" w:eastAsia="Arial" w:hAnsi="Arial"/>
                <w:sz w:val="14"/>
                <w:szCs w:val="14"/>
                <w:b w:val="1"/>
                <w:bCs w:val="1"/>
                <w:color w:val="auto"/>
                <w:w w:val="91"/>
              </w:rPr>
              <w:t>December 31, 2014</w:t>
            </w: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62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1480" w:type="dxa"/>
            <w:vAlign w:val="bottom"/>
            <w:tcBorders>
              <w:bottom w:val="single" w:sz="8" w:color="auto"/>
            </w:tcBorders>
            <w:gridSpan w:val="2"/>
          </w:tcPr>
          <w:p>
            <w:pPr>
              <w:ind w:left="100"/>
              <w:spacing w:after="0" w:line="142" w:lineRule="exact"/>
              <w:rPr>
                <w:sz w:val="20"/>
                <w:szCs w:val="20"/>
                <w:color w:val="auto"/>
              </w:rPr>
            </w:pPr>
            <w:r>
              <w:rPr>
                <w:rFonts w:ascii="Arial" w:cs="Arial" w:eastAsia="Arial" w:hAnsi="Arial"/>
                <w:sz w:val="14"/>
                <w:szCs w:val="14"/>
                <w:b w:val="1"/>
                <w:bCs w:val="1"/>
                <w:color w:val="auto"/>
              </w:rPr>
              <w:t>Home equity</w:t>
            </w:r>
          </w:p>
        </w:tc>
        <w:tc>
          <w:tcPr>
            <w:tcW w:w="180" w:type="dxa"/>
            <w:vAlign w:val="bottom"/>
            <w:tcBorders>
              <w:bottom w:val="single" w:sz="8" w:color="auto"/>
            </w:tcBorders>
          </w:tcPr>
          <w:p>
            <w:pPr>
              <w:spacing w:after="0"/>
              <w:rPr>
                <w:sz w:val="12"/>
                <w:szCs w:val="12"/>
                <w:color w:val="auto"/>
              </w:rPr>
            </w:pPr>
          </w:p>
        </w:tc>
        <w:tc>
          <w:tcPr>
            <w:tcW w:w="1460" w:type="dxa"/>
            <w:vAlign w:val="bottom"/>
            <w:tcBorders>
              <w:bottom w:val="single" w:sz="8" w:color="auto"/>
            </w:tcBorders>
            <w:gridSpan w:val="2"/>
          </w:tcPr>
          <w:p>
            <w:pPr>
              <w:jc w:val="center"/>
              <w:ind w:right="460"/>
              <w:spacing w:after="0" w:line="142" w:lineRule="exact"/>
              <w:rPr>
                <w:sz w:val="20"/>
                <w:szCs w:val="20"/>
                <w:color w:val="auto"/>
              </w:rPr>
            </w:pPr>
            <w:r>
              <w:rPr>
                <w:rFonts w:ascii="Arial" w:cs="Arial" w:eastAsia="Arial" w:hAnsi="Arial"/>
                <w:sz w:val="14"/>
                <w:szCs w:val="14"/>
                <w:b w:val="1"/>
                <w:bCs w:val="1"/>
                <w:color w:val="auto"/>
                <w:w w:val="90"/>
              </w:rPr>
              <w:t>First liens</w:t>
            </w:r>
          </w:p>
        </w:tc>
        <w:tc>
          <w:tcPr>
            <w:tcW w:w="30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jc w:val="right"/>
              <w:ind w:right="434"/>
              <w:spacing w:after="0" w:line="142"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6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94"/>
              </w:rPr>
              <w:t>(in millions)</w:t>
            </w:r>
          </w:p>
        </w:tc>
        <w:tc>
          <w:tcPr>
            <w:tcW w:w="3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6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80" w:type="dxa"/>
            <w:vAlign w:val="bottom"/>
            <w:gridSpan w:val="2"/>
          </w:tcPr>
          <w:p>
            <w:pPr>
              <w:spacing w:after="0"/>
              <w:rPr>
                <w:sz w:val="15"/>
                <w:szCs w:val="15"/>
                <w:color w:val="auto"/>
              </w:rPr>
            </w:pPr>
          </w:p>
        </w:tc>
        <w:tc>
          <w:tcPr>
            <w:tcW w:w="180" w:type="dxa"/>
            <w:vAlign w:val="bottom"/>
          </w:tcPr>
          <w:p>
            <w:pPr>
              <w:spacing w:after="0"/>
              <w:rPr>
                <w:sz w:val="15"/>
                <w:szCs w:val="15"/>
                <w:color w:val="auto"/>
              </w:rPr>
            </w:pPr>
          </w:p>
        </w:tc>
        <w:tc>
          <w:tcPr>
            <w:tcW w:w="1460" w:type="dxa"/>
            <w:vAlign w:val="bottom"/>
            <w:gridSpan w:val="2"/>
          </w:tcPr>
          <w:p>
            <w:pPr>
              <w:spacing w:after="0"/>
              <w:rPr>
                <w:sz w:val="15"/>
                <w:szCs w:val="15"/>
                <w:color w:val="auto"/>
              </w:rPr>
            </w:pPr>
          </w:p>
        </w:tc>
        <w:tc>
          <w:tcPr>
            <w:tcW w:w="300" w:type="dxa"/>
            <w:vAlign w:val="bottom"/>
          </w:tcPr>
          <w:p>
            <w:pPr>
              <w:spacing w:after="0"/>
              <w:rPr>
                <w:sz w:val="15"/>
                <w:szCs w:val="15"/>
                <w:color w:val="auto"/>
              </w:rPr>
            </w:pPr>
          </w:p>
        </w:tc>
        <w:tc>
          <w:tcPr>
            <w:tcW w:w="1160" w:type="dxa"/>
            <w:vAlign w:val="bottom"/>
            <w:gridSpan w:val="2"/>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Performing</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4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268.4</w:t>
            </w:r>
          </w:p>
        </w:tc>
        <w:tc>
          <w:tcPr>
            <w:tcW w:w="180" w:type="dxa"/>
            <w:vAlign w:val="bottom"/>
            <w:shd w:val="clear" w:color="auto" w:fill="CCEEFF"/>
          </w:tcPr>
          <w:p>
            <w:pPr>
              <w:jc w:val="right"/>
              <w:ind w:right="26"/>
              <w:spacing w:after="0"/>
              <w:rPr>
                <w:sz w:val="20"/>
                <w:szCs w:val="20"/>
                <w:color w:val="auto"/>
              </w:rPr>
            </w:pPr>
            <w:r>
              <w:rPr>
                <w:rFonts w:ascii="Arial" w:cs="Arial" w:eastAsia="Arial" w:hAnsi="Arial"/>
                <w:sz w:val="15"/>
                <w:szCs w:val="15"/>
                <w:color w:val="auto"/>
                <w:w w:val="71"/>
              </w:rPr>
              <w:t>$</w:t>
            </w:r>
          </w:p>
        </w:tc>
        <w:tc>
          <w:tcPr>
            <w:tcW w:w="14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847.6</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tcPr>
          <w:p>
            <w:pPr>
              <w:spacing w:after="0"/>
              <w:rPr>
                <w:sz w:val="20"/>
                <w:szCs w:val="20"/>
                <w:color w:val="auto"/>
              </w:rPr>
            </w:pPr>
            <w:r>
              <w:rPr>
                <w:rFonts w:ascii="Arial" w:cs="Arial" w:eastAsia="Arial" w:hAnsi="Arial"/>
                <w:sz w:val="18"/>
                <w:szCs w:val="18"/>
                <w:color w:val="auto"/>
              </w:rPr>
              <w:t>Nonperforming</w:t>
            </w:r>
          </w:p>
        </w:tc>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15.0</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13.3</w:t>
            </w:r>
          </w:p>
        </w:tc>
        <w:tc>
          <w:tcPr>
            <w:tcW w:w="3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28.3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283.4</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6"/>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860.9</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1,144.3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6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Non-Accrual Mortgage Loans</w:t>
      </w:r>
    </w:p>
    <w:p>
      <w:pPr>
        <w:spacing w:after="0" w:line="229" w:lineRule="exact"/>
        <w:rPr>
          <w:sz w:val="20"/>
          <w:szCs w:val="20"/>
          <w:color w:val="auto"/>
        </w:rPr>
      </w:pPr>
    </w:p>
    <w:p>
      <w:pPr>
        <w:ind w:right="100" w:firstLine="648"/>
        <w:spacing w:after="0" w:line="271" w:lineRule="auto"/>
        <w:rPr>
          <w:sz w:val="20"/>
          <w:szCs w:val="20"/>
          <w:color w:val="auto"/>
        </w:rPr>
      </w:pPr>
      <w:r>
        <w:rPr>
          <w:rFonts w:ascii="Arial" w:cs="Arial" w:eastAsia="Arial" w:hAnsi="Arial"/>
          <w:sz w:val="17"/>
          <w:szCs w:val="17"/>
          <w:color w:val="auto"/>
        </w:rPr>
        <w:t>Commercial and residential mortgage loans are placed on non-accrual status if we have concern regarding the collectability of future payments or if a loan has matured without being paid off or extended. Factors considered may include conversations with the borrower, loss of major tenant, bankruptcy of borrower or major tenant, decreased property cash flow for commercial mortgage loans or number of days past due and other circumstances for residential mortgage loans. Based on an assessment as to the collectability of the principal, a determination is made to apply any payments received either against the principal or according to the contractual terms of the loan. When a loan is placed on nonaccrual status, the accrued unpaid interest receivable is reversed against interest income. Accrual of interest resumes after factors resulting in doubts about collectability have improved. Residential first lien mortgages in the Chilean market are carried on accrual for a longer period of delinquency than domestic loans, as assessment of collectability is based on the nature of the loans and collection practices in that market.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amortized cost of mortgage loans on non-accrual status was as follows: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28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gridSpan w:val="7"/>
          </w:tcPr>
          <w:p>
            <w:pPr>
              <w:jc w:val="right"/>
              <w:ind w:right="220"/>
              <w:spacing w:after="0"/>
              <w:rPr>
                <w:sz w:val="20"/>
                <w:szCs w:val="20"/>
                <w:color w:val="auto"/>
              </w:rPr>
            </w:pPr>
            <w:r>
              <w:rPr>
                <w:rFonts w:ascii="Arial" w:cs="Arial" w:eastAsia="Arial" w:hAnsi="Arial"/>
                <w:sz w:val="14"/>
                <w:szCs w:val="14"/>
                <w:b w:val="1"/>
                <w:bCs w:val="1"/>
                <w:color w:val="auto"/>
                <w:w w:val="90"/>
              </w:rPr>
              <w:t>September 30, 2015</w:t>
            </w:r>
          </w:p>
        </w:tc>
        <w:tc>
          <w:tcPr>
            <w:tcW w:w="280" w:type="dxa"/>
            <w:vAlign w:val="bottom"/>
          </w:tcPr>
          <w:p>
            <w:pPr>
              <w:spacing w:after="0"/>
              <w:rPr>
                <w:sz w:val="14"/>
                <w:szCs w:val="14"/>
                <w:color w:val="auto"/>
              </w:rPr>
            </w:pPr>
          </w:p>
        </w:tc>
        <w:tc>
          <w:tcPr>
            <w:tcW w:w="1680" w:type="dxa"/>
            <w:vAlign w:val="bottom"/>
            <w:gridSpan w:val="8"/>
          </w:tcPr>
          <w:p>
            <w:pPr>
              <w:ind w:left="200"/>
              <w:spacing w:after="0"/>
              <w:rPr>
                <w:sz w:val="20"/>
                <w:szCs w:val="20"/>
                <w:color w:val="auto"/>
              </w:rPr>
            </w:pPr>
            <w:r>
              <w:rPr>
                <w:rFonts w:ascii="Arial" w:cs="Arial" w:eastAsia="Arial" w:hAnsi="Arial"/>
                <w:sz w:val="14"/>
                <w:szCs w:val="14"/>
                <w:b w:val="1"/>
                <w:bCs w:val="1"/>
                <w:color w:val="auto"/>
              </w:rPr>
              <w:t>December 31, 2014</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gridSpan w:val="6"/>
          </w:tcPr>
          <w:p>
            <w:pPr>
              <w:jc w:val="center"/>
              <w:ind w:right="28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w:t>
            </w: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tcPr>
          <w:p>
            <w:pPr>
              <w:ind w:left="200"/>
              <w:spacing w:after="0"/>
              <w:rPr>
                <w:sz w:val="20"/>
                <w:szCs w:val="20"/>
                <w:color w:val="auto"/>
              </w:rPr>
            </w:pPr>
            <w:r>
              <w:rPr>
                <w:rFonts w:ascii="Arial" w:cs="Arial" w:eastAsia="Arial" w:hAnsi="Arial"/>
                <w:sz w:val="18"/>
                <w:szCs w:val="18"/>
                <w:color w:val="auto"/>
              </w:rPr>
              <w:t>Brick and mortar</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gridSpan w:val="4"/>
          </w:tcPr>
          <w:p>
            <w:pPr>
              <w:jc w:val="right"/>
              <w:ind w:right="20"/>
              <w:spacing w:after="0"/>
              <w:rPr>
                <w:sz w:val="20"/>
                <w:szCs w:val="20"/>
                <w:color w:val="auto"/>
              </w:rPr>
            </w:pPr>
            <w:r>
              <w:rPr>
                <w:rFonts w:ascii="Arial" w:cs="Arial" w:eastAsia="Arial" w:hAnsi="Arial"/>
                <w:sz w:val="18"/>
                <w:szCs w:val="18"/>
                <w:b w:val="1"/>
                <w:bCs w:val="1"/>
                <w:color w:val="auto"/>
              </w:rPr>
              <w:t>31.7</w:t>
            </w:r>
          </w:p>
        </w:tc>
        <w:tc>
          <w:tcPr>
            <w:tcW w:w="620" w:type="dxa"/>
            <w:vAlign w:val="bottom"/>
            <w:gridSpan w:val="2"/>
          </w:tcPr>
          <w:p>
            <w:pPr>
              <w:jc w:val="right"/>
              <w:ind w:right="187"/>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9.6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Residential:</w:t>
            </w: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tcPr>
          <w:p>
            <w:pPr>
              <w:ind w:left="200"/>
              <w:spacing w:after="0"/>
              <w:rPr>
                <w:sz w:val="20"/>
                <w:szCs w:val="20"/>
                <w:color w:val="auto"/>
              </w:rPr>
            </w:pPr>
            <w:r>
              <w:rPr>
                <w:rFonts w:ascii="Arial" w:cs="Arial" w:eastAsia="Arial" w:hAnsi="Arial"/>
                <w:sz w:val="18"/>
                <w:szCs w:val="18"/>
                <w:color w:val="auto"/>
              </w:rPr>
              <w:t>Home equity</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gridSpan w:val="4"/>
          </w:tcPr>
          <w:p>
            <w:pPr>
              <w:jc w:val="right"/>
              <w:ind w:right="20"/>
              <w:spacing w:after="0"/>
              <w:rPr>
                <w:sz w:val="20"/>
                <w:szCs w:val="20"/>
                <w:color w:val="auto"/>
              </w:rPr>
            </w:pPr>
            <w:r>
              <w:rPr>
                <w:rFonts w:ascii="Arial" w:cs="Arial" w:eastAsia="Arial" w:hAnsi="Arial"/>
                <w:sz w:val="18"/>
                <w:szCs w:val="18"/>
                <w:b w:val="1"/>
                <w:bCs w:val="1"/>
                <w:color w:val="auto"/>
              </w:rPr>
              <w:t>11.9</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First liens</w:t>
            </w: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7.6</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880" w:type="dxa"/>
            <w:vAlign w:val="bottom"/>
            <w:gridSpan w:val="2"/>
          </w:tcPr>
          <w:p>
            <w:pPr>
              <w:spacing w:after="0"/>
              <w:rPr>
                <w:sz w:val="20"/>
                <w:szCs w:val="20"/>
                <w:color w:val="auto"/>
              </w:rPr>
            </w:pPr>
            <w:r>
              <w:rPr>
                <w:rFonts w:ascii="Arial" w:cs="Arial" w:eastAsia="Arial" w:hAnsi="Arial"/>
                <w:sz w:val="18"/>
                <w:szCs w:val="18"/>
                <w:color w:val="auto"/>
              </w:rPr>
              <w:t>Total</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60" w:type="dxa"/>
            <w:vAlign w:val="bottom"/>
            <w:tcBorders>
              <w:top w:val="single" w:sz="8" w:color="auto"/>
              <w:bottom w:val="single" w:sz="8" w:color="auto"/>
            </w:tcBorders>
          </w:tcPr>
          <w:p>
            <w:pPr>
              <w:spacing w:after="0"/>
              <w:rPr>
                <w:sz w:val="18"/>
                <w:szCs w:val="18"/>
                <w:color w:val="auto"/>
              </w:rPr>
            </w:pPr>
          </w:p>
        </w:tc>
        <w:tc>
          <w:tcPr>
            <w:tcW w:w="4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51.2</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120" w:type="dxa"/>
            <w:vAlign w:val="bottom"/>
            <w:tcBorders>
              <w:top w:val="single" w:sz="8" w:color="auto"/>
              <w:bottom w:val="single" w:sz="8" w:color="auto"/>
            </w:tcBorders>
          </w:tcPr>
          <w:p>
            <w:pPr>
              <w:spacing w:after="0"/>
              <w:rPr>
                <w:sz w:val="18"/>
                <w:szCs w:val="18"/>
                <w:color w:val="auto"/>
              </w:rPr>
            </w:pPr>
          </w:p>
        </w:tc>
        <w:tc>
          <w:tcPr>
            <w:tcW w:w="40" w:type="dxa"/>
            <w:vAlign w:val="bottom"/>
            <w:tcBorders>
              <w:top w:val="single" w:sz="8" w:color="auto"/>
              <w:bottom w:val="single" w:sz="8" w:color="auto"/>
            </w:tcBorders>
          </w:tcPr>
          <w:p>
            <w:pPr>
              <w:spacing w:after="0"/>
              <w:rPr>
                <w:sz w:val="18"/>
                <w:szCs w:val="18"/>
                <w:color w:val="auto"/>
              </w:rPr>
            </w:pPr>
          </w:p>
        </w:tc>
        <w:tc>
          <w:tcPr>
            <w:tcW w:w="60" w:type="dxa"/>
            <w:vAlign w:val="bottom"/>
            <w:tcBorders>
              <w:top w:val="single" w:sz="8" w:color="auto"/>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460" w:type="dxa"/>
            <w:vAlign w:val="bottom"/>
            <w:gridSpan w:val="17"/>
            <w:vMerge w:val="restart"/>
          </w:tcPr>
          <w:p>
            <w:pPr>
              <w:ind w:left="660"/>
              <w:spacing w:after="0"/>
              <w:rPr>
                <w:sz w:val="20"/>
                <w:szCs w:val="20"/>
                <w:color w:val="auto"/>
              </w:rPr>
            </w:pPr>
            <w:r>
              <w:rPr>
                <w:rFonts w:ascii="Arial" w:cs="Arial" w:eastAsia="Arial" w:hAnsi="Arial"/>
                <w:sz w:val="18"/>
                <w:szCs w:val="18"/>
                <w:color w:val="auto"/>
                <w:w w:val="96"/>
              </w:rPr>
              <w:t>The aging of our mortgage loans, based on amortized cost, was as follows:</w:t>
            </w: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460" w:type="dxa"/>
            <w:vAlign w:val="bottom"/>
            <w:gridSpan w:val="17"/>
            <w:vMerge w:val="continue"/>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12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w w:val="90"/>
              </w:rPr>
              <w:t>September 30, 2015</w:t>
            </w:r>
          </w:p>
        </w:tc>
        <w:tc>
          <w:tcPr>
            <w:tcW w:w="8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128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jc w:val="center"/>
              <w:ind w:right="17"/>
              <w:spacing w:after="0" w:line="119" w:lineRule="exact"/>
              <w:rPr>
                <w:sz w:val="20"/>
                <w:szCs w:val="20"/>
                <w:color w:val="auto"/>
              </w:rPr>
            </w:pPr>
            <w:r>
              <w:rPr>
                <w:rFonts w:ascii="Arial" w:cs="Arial" w:eastAsia="Arial" w:hAnsi="Arial"/>
                <w:sz w:val="13"/>
                <w:szCs w:val="13"/>
                <w:b w:val="1"/>
                <w:bCs w:val="1"/>
                <w:color w:val="auto"/>
                <w:w w:val="99"/>
              </w:rPr>
              <w:t>Recorded</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4"/>
            <w:vMerge w:val="restart"/>
          </w:tcPr>
          <w:p>
            <w:pPr>
              <w:jc w:val="center"/>
              <w:ind w:right="128"/>
              <w:spacing w:after="0"/>
              <w:rPr>
                <w:sz w:val="20"/>
                <w:szCs w:val="20"/>
                <w:color w:val="auto"/>
              </w:rPr>
            </w:pPr>
            <w:r>
              <w:rPr>
                <w:rFonts w:ascii="Arial" w:cs="Arial" w:eastAsia="Arial" w:hAnsi="Arial"/>
                <w:sz w:val="14"/>
                <w:szCs w:val="14"/>
                <w:b w:val="1"/>
                <w:bCs w:val="1"/>
                <w:color w:val="auto"/>
                <w:w w:val="89"/>
              </w:rPr>
              <w:t>90 days or</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investment</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40" w:type="dxa"/>
            <w:vAlign w:val="bottom"/>
            <w:gridSpan w:val="4"/>
            <w:vMerge w:val="restart"/>
          </w:tcPr>
          <w:p>
            <w:pPr>
              <w:jc w:val="right"/>
              <w:ind w:right="56"/>
              <w:spacing w:after="0"/>
              <w:rPr>
                <w:sz w:val="20"/>
                <w:szCs w:val="20"/>
                <w:color w:val="auto"/>
              </w:rPr>
            </w:pPr>
            <w:r>
              <w:rPr>
                <w:rFonts w:ascii="Arial" w:cs="Arial" w:eastAsia="Arial" w:hAnsi="Arial"/>
                <w:sz w:val="14"/>
                <w:szCs w:val="14"/>
                <w:b w:val="1"/>
                <w:bCs w:val="1"/>
                <w:color w:val="auto"/>
              </w:rPr>
              <w:t>30-59 days</w:t>
            </w:r>
          </w:p>
        </w:tc>
        <w:tc>
          <w:tcPr>
            <w:tcW w:w="220" w:type="dxa"/>
            <w:vAlign w:val="bottom"/>
          </w:tcPr>
          <w:p>
            <w:pPr>
              <w:spacing w:after="0"/>
              <w:rPr>
                <w:sz w:val="12"/>
                <w:szCs w:val="12"/>
                <w:color w:val="auto"/>
              </w:rPr>
            </w:pPr>
          </w:p>
        </w:tc>
        <w:tc>
          <w:tcPr>
            <w:tcW w:w="980" w:type="dxa"/>
            <w:vAlign w:val="bottom"/>
            <w:gridSpan w:val="5"/>
            <w:vMerge w:val="restart"/>
          </w:tcPr>
          <w:p>
            <w:pPr>
              <w:jc w:val="center"/>
              <w:ind w:right="40"/>
              <w:spacing w:after="0"/>
              <w:rPr>
                <w:sz w:val="20"/>
                <w:szCs w:val="20"/>
                <w:color w:val="auto"/>
              </w:rPr>
            </w:pPr>
            <w:r>
              <w:rPr>
                <w:rFonts w:ascii="Arial" w:cs="Arial" w:eastAsia="Arial" w:hAnsi="Arial"/>
                <w:sz w:val="14"/>
                <w:szCs w:val="14"/>
                <w:b w:val="1"/>
                <w:bCs w:val="1"/>
                <w:color w:val="auto"/>
                <w:w w:val="92"/>
              </w:rPr>
              <w:t>60-89 days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Total past</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90 days or</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40" w:type="dxa"/>
            <w:vAlign w:val="bottom"/>
            <w:gridSpan w:val="4"/>
            <w:vMerge w:val="continue"/>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gridSpan w:val="5"/>
            <w:vMerge w:val="continue"/>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4"/>
          </w:tcPr>
          <w:p>
            <w:pPr>
              <w:jc w:val="center"/>
              <w:ind w:right="128"/>
              <w:spacing w:after="0" w:line="149" w:lineRule="exact"/>
              <w:rPr>
                <w:sz w:val="20"/>
                <w:szCs w:val="20"/>
                <w:color w:val="auto"/>
              </w:rPr>
            </w:pPr>
            <w:r>
              <w:rPr>
                <w:rFonts w:ascii="Arial" w:cs="Arial" w:eastAsia="Arial" w:hAnsi="Arial"/>
                <w:sz w:val="14"/>
                <w:szCs w:val="14"/>
                <w:b w:val="1"/>
                <w:bCs w:val="1"/>
                <w:color w:val="auto"/>
                <w:w w:val="92"/>
              </w:rPr>
              <w:t>more past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3"/>
            <w:vMerge w:val="restart"/>
          </w:tcPr>
          <w:p>
            <w:pPr>
              <w:jc w:val="right"/>
              <w:ind w:right="320"/>
              <w:spacing w:after="0"/>
              <w:rPr>
                <w:sz w:val="20"/>
                <w:szCs w:val="20"/>
                <w:color w:val="auto"/>
              </w:rPr>
            </w:pPr>
            <w:r>
              <w:rPr>
                <w:rFonts w:ascii="Arial" w:cs="Arial" w:eastAsia="Arial" w:hAnsi="Arial"/>
                <w:sz w:val="14"/>
                <w:szCs w:val="14"/>
                <w:b w:val="1"/>
                <w:bCs w:val="1"/>
                <w:color w:val="auto"/>
              </w:rPr>
              <w:t>Current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6"/>
            <w:vMerge w:val="restart"/>
          </w:tcPr>
          <w:p>
            <w:pPr>
              <w:ind w:left="160"/>
              <w:spacing w:after="0"/>
              <w:rPr>
                <w:sz w:val="20"/>
                <w:szCs w:val="20"/>
                <w:color w:val="auto"/>
              </w:rPr>
            </w:pPr>
            <w:r>
              <w:rPr>
                <w:rFonts w:ascii="Arial" w:cs="Arial" w:eastAsia="Arial" w:hAnsi="Arial"/>
                <w:sz w:val="14"/>
                <w:szCs w:val="14"/>
                <w:b w:val="1"/>
                <w:bCs w:val="1"/>
                <w:color w:val="auto"/>
              </w:rPr>
              <w:t>Total loans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more and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128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940" w:type="dxa"/>
            <w:vAlign w:val="bottom"/>
            <w:gridSpan w:val="4"/>
          </w:tcPr>
          <w:p>
            <w:pPr>
              <w:jc w:val="right"/>
              <w:ind w:right="136"/>
              <w:spacing w:after="0"/>
              <w:rPr>
                <w:sz w:val="20"/>
                <w:szCs w:val="20"/>
                <w:color w:val="auto"/>
              </w:rPr>
            </w:pPr>
            <w:r>
              <w:rPr>
                <w:rFonts w:ascii="Arial" w:cs="Arial" w:eastAsia="Arial" w:hAnsi="Arial"/>
                <w:sz w:val="14"/>
                <w:szCs w:val="14"/>
                <w:b w:val="1"/>
                <w:bCs w:val="1"/>
                <w:color w:val="auto"/>
              </w:rPr>
              <w:t>past due</w:t>
            </w:r>
          </w:p>
        </w:tc>
        <w:tc>
          <w:tcPr>
            <w:tcW w:w="220" w:type="dxa"/>
            <w:vAlign w:val="bottom"/>
          </w:tcPr>
          <w:p>
            <w:pPr>
              <w:spacing w:after="0"/>
              <w:rPr>
                <w:sz w:val="14"/>
                <w:szCs w:val="14"/>
                <w:color w:val="auto"/>
              </w:rPr>
            </w:pPr>
          </w:p>
        </w:tc>
        <w:tc>
          <w:tcPr>
            <w:tcW w:w="980" w:type="dxa"/>
            <w:vAlign w:val="bottom"/>
            <w:gridSpan w:val="5"/>
          </w:tcPr>
          <w:p>
            <w:pPr>
              <w:jc w:val="center"/>
              <w:ind w:right="60"/>
              <w:spacing w:after="0"/>
              <w:rPr>
                <w:sz w:val="20"/>
                <w:szCs w:val="20"/>
                <w:color w:val="auto"/>
              </w:rPr>
            </w:pPr>
            <w:r>
              <w:rPr>
                <w:rFonts w:ascii="Arial" w:cs="Arial" w:eastAsia="Arial" w:hAnsi="Arial"/>
                <w:sz w:val="14"/>
                <w:szCs w:val="14"/>
                <w:b w:val="1"/>
                <w:bCs w:val="1"/>
                <w:color w:val="auto"/>
                <w:w w:val="90"/>
              </w:rPr>
              <w:t>past due</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jc w:val="center"/>
              <w:ind w:left="35"/>
              <w:spacing w:after="0"/>
              <w:rPr>
                <w:sz w:val="20"/>
                <w:szCs w:val="20"/>
                <w:color w:val="auto"/>
              </w:rPr>
            </w:pPr>
            <w:r>
              <w:rPr>
                <w:rFonts w:ascii="Arial" w:cs="Arial" w:eastAsia="Arial" w:hAnsi="Arial"/>
                <w:sz w:val="14"/>
                <w:szCs w:val="14"/>
                <w:b w:val="1"/>
                <w:bCs w:val="1"/>
                <w:color w:val="auto"/>
                <w:w w:val="88"/>
              </w:rPr>
              <w:t>due</w:t>
            </w: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gridSpan w:val="3"/>
          </w:tcPr>
          <w:p>
            <w:pPr>
              <w:ind w:left="200"/>
              <w:spacing w:after="0"/>
              <w:rPr>
                <w:sz w:val="20"/>
                <w:szCs w:val="20"/>
                <w:color w:val="auto"/>
              </w:rPr>
            </w:pPr>
            <w:r>
              <w:rPr>
                <w:rFonts w:ascii="Arial" w:cs="Arial" w:eastAsia="Arial" w:hAnsi="Arial"/>
                <w:sz w:val="14"/>
                <w:szCs w:val="14"/>
                <w:b w:val="1"/>
                <w:bCs w:val="1"/>
                <w:color w:val="auto"/>
              </w:rPr>
              <w:t>due</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6"/>
            <w:vMerge w:val="continue"/>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accruing</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8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gridSpan w:val="4"/>
          </w:tcPr>
          <w:p>
            <w:pPr>
              <w:ind w:left="80"/>
              <w:spacing w:after="0" w:line="142" w:lineRule="exact"/>
              <w:rPr>
                <w:sz w:val="20"/>
                <w:szCs w:val="20"/>
                <w:color w:val="auto"/>
              </w:rPr>
            </w:pPr>
            <w:r>
              <w:rPr>
                <w:rFonts w:ascii="Arial" w:cs="Arial" w:eastAsia="Arial" w:hAnsi="Arial"/>
                <w:sz w:val="14"/>
                <w:szCs w:val="14"/>
                <w:b w:val="1"/>
                <w:bCs w:val="1"/>
                <w:color w:val="auto"/>
                <w:w w:val="99"/>
              </w:rPr>
              <w:t>(in millions)</w:t>
            </w: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Commercial-brick and mortar</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27.4</w:t>
            </w:r>
          </w:p>
        </w:tc>
        <w:tc>
          <w:tcPr>
            <w:tcW w:w="800" w:type="dxa"/>
            <w:vAlign w:val="bottom"/>
            <w:gridSpan w:val="2"/>
            <w:shd w:val="clear" w:color="auto" w:fill="CCEEFF"/>
          </w:tcPr>
          <w:p>
            <w:pPr>
              <w:jc w:val="center"/>
              <w:ind w:right="197"/>
              <w:spacing w:after="0"/>
              <w:rPr>
                <w:sz w:val="20"/>
                <w:szCs w:val="20"/>
                <w:color w:val="auto"/>
              </w:rPr>
            </w:pPr>
            <w:r>
              <w:rPr>
                <w:rFonts w:ascii="Arial" w:cs="Arial" w:eastAsia="Arial" w:hAnsi="Arial"/>
                <w:sz w:val="18"/>
                <w:szCs w:val="18"/>
                <w:b w:val="1"/>
                <w:bCs w:val="1"/>
                <w:color w:val="auto"/>
                <w:w w:val="79"/>
              </w:rPr>
              <w:t>$</w:t>
            </w:r>
          </w:p>
        </w:tc>
        <w:tc>
          <w:tcPr>
            <w:tcW w:w="40" w:type="dxa"/>
            <w:vAlign w:val="bottom"/>
            <w:shd w:val="clear" w:color="auto" w:fill="CCEEFF"/>
          </w:tcPr>
          <w:p>
            <w:pPr>
              <w:spacing w:after="0"/>
              <w:rPr>
                <w:sz w:val="18"/>
                <w:szCs w:val="18"/>
                <w:color w:val="auto"/>
              </w:rPr>
            </w:pPr>
          </w:p>
        </w:tc>
        <w:tc>
          <w:tcPr>
            <w:tcW w:w="3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580" w:type="dxa"/>
            <w:vAlign w:val="bottom"/>
            <w:shd w:val="clear" w:color="auto" w:fill="CCEEFF"/>
          </w:tcPr>
          <w:p>
            <w:pPr>
              <w:spacing w:after="0"/>
              <w:rPr>
                <w:sz w:val="18"/>
                <w:szCs w:val="18"/>
                <w:color w:val="auto"/>
              </w:rPr>
            </w:pPr>
          </w:p>
        </w:tc>
        <w:tc>
          <w:tcPr>
            <w:tcW w:w="320" w:type="dxa"/>
            <w:vAlign w:val="bottom"/>
            <w:gridSpan w:val="3"/>
            <w:shd w:val="clear" w:color="auto" w:fill="CCEEFF"/>
          </w:tcPr>
          <w:p>
            <w:pPr>
              <w:jc w:val="right"/>
              <w:ind w:right="8"/>
              <w:spacing w:after="0"/>
              <w:rPr>
                <w:sz w:val="20"/>
                <w:szCs w:val="20"/>
                <w:color w:val="auto"/>
              </w:rPr>
            </w:pPr>
            <w:r>
              <w:rPr>
                <w:rFonts w:ascii="Arial" w:cs="Arial" w:eastAsia="Arial" w:hAnsi="Arial"/>
                <w:sz w:val="18"/>
                <w:szCs w:val="18"/>
                <w:b w:val="1"/>
                <w:bCs w:val="1"/>
                <w:color w:val="auto"/>
                <w:w w:val="87"/>
              </w:rPr>
              <w:t>4.4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31.8</w:t>
            </w: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10,832.4</w:t>
            </w:r>
          </w:p>
        </w:tc>
        <w:tc>
          <w:tcPr>
            <w:tcW w:w="420" w:type="dxa"/>
            <w:vAlign w:val="bottom"/>
            <w:gridSpan w:val="3"/>
            <w:shd w:val="clear" w:color="auto" w:fill="CCEEFF"/>
          </w:tcPr>
          <w:p>
            <w:pPr>
              <w:jc w:val="right"/>
              <w:ind w:right="107"/>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780" w:type="dxa"/>
            <w:vAlign w:val="bottom"/>
            <w:gridSpan w:val="4"/>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10,864.2</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tcPr>
          <w:p>
            <w:pPr>
              <w:spacing w:after="0"/>
              <w:rPr>
                <w:sz w:val="20"/>
                <w:szCs w:val="20"/>
                <w:color w:val="auto"/>
              </w:rPr>
            </w:pPr>
            <w:r>
              <w:rPr>
                <w:rFonts w:ascii="Arial" w:cs="Arial" w:eastAsia="Arial" w:hAnsi="Arial"/>
                <w:sz w:val="18"/>
                <w:szCs w:val="18"/>
                <w:color w:val="auto"/>
              </w:rPr>
              <w:t>Commercial-CTL</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gridSpan w:val="3"/>
          </w:tcPr>
          <w:p>
            <w:pPr>
              <w:jc w:val="right"/>
              <w:ind w:right="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gridSpan w:val="3"/>
          </w:tcPr>
          <w:p>
            <w:pPr>
              <w:jc w:val="right"/>
              <w:ind w:right="8"/>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3"/>
          </w:tcPr>
          <w:p>
            <w:pPr>
              <w:jc w:val="right"/>
              <w:ind w:right="6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b w:val="1"/>
                <w:bCs w:val="1"/>
                <w:color w:val="auto"/>
              </w:rPr>
              <w:t>315.6</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80" w:type="dxa"/>
            <w:vAlign w:val="bottom"/>
            <w:gridSpan w:val="4"/>
          </w:tcPr>
          <w:p>
            <w:pPr>
              <w:jc w:val="right"/>
              <w:ind w:right="40"/>
              <w:spacing w:after="0"/>
              <w:rPr>
                <w:sz w:val="20"/>
                <w:szCs w:val="20"/>
                <w:color w:val="auto"/>
              </w:rPr>
            </w:pPr>
            <w:r>
              <w:rPr>
                <w:rFonts w:ascii="Arial" w:cs="Arial" w:eastAsia="Arial" w:hAnsi="Arial"/>
                <w:sz w:val="18"/>
                <w:szCs w:val="18"/>
                <w:b w:val="1"/>
                <w:bCs w:val="1"/>
                <w:color w:val="auto"/>
              </w:rPr>
              <w:t>315.6</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Residential-home equity</w:t>
            </w: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1.9</w:t>
            </w: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0.5</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gridSpan w:val="3"/>
            <w:shd w:val="clear" w:color="auto" w:fill="CCEEFF"/>
          </w:tcPr>
          <w:p>
            <w:pPr>
              <w:jc w:val="right"/>
              <w:ind w:right="8"/>
              <w:spacing w:after="0"/>
              <w:rPr>
                <w:sz w:val="20"/>
                <w:szCs w:val="20"/>
                <w:color w:val="auto"/>
              </w:rPr>
            </w:pPr>
            <w:r>
              <w:rPr>
                <w:rFonts w:ascii="Arial" w:cs="Arial" w:eastAsia="Arial" w:hAnsi="Arial"/>
                <w:sz w:val="18"/>
                <w:szCs w:val="18"/>
                <w:b w:val="1"/>
                <w:bCs w:val="1"/>
                <w:color w:val="auto"/>
                <w:w w:val="87"/>
              </w:rPr>
              <w:t>1.5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3.9</w:t>
            </w: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230.2</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780" w:type="dxa"/>
            <w:vAlign w:val="bottom"/>
            <w:gridSpan w:val="4"/>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234.1</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tcPr>
          <w:p>
            <w:pPr>
              <w:spacing w:after="0"/>
              <w:rPr>
                <w:sz w:val="20"/>
                <w:szCs w:val="20"/>
                <w:color w:val="auto"/>
              </w:rPr>
            </w:pPr>
            <w:r>
              <w:rPr>
                <w:rFonts w:ascii="Arial" w:cs="Arial" w:eastAsia="Arial" w:hAnsi="Arial"/>
                <w:sz w:val="18"/>
                <w:szCs w:val="18"/>
                <w:color w:val="auto"/>
              </w:rPr>
              <w:t>Residential-first liens</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gridSpan w:val="2"/>
          </w:tcPr>
          <w:p>
            <w:pPr>
              <w:jc w:val="right"/>
              <w:spacing w:after="0"/>
              <w:rPr>
                <w:sz w:val="20"/>
                <w:szCs w:val="20"/>
                <w:color w:val="auto"/>
              </w:rPr>
            </w:pPr>
            <w:r>
              <w:rPr>
                <w:rFonts w:ascii="Arial" w:cs="Arial" w:eastAsia="Arial" w:hAnsi="Arial"/>
                <w:sz w:val="18"/>
                <w:szCs w:val="18"/>
                <w:b w:val="1"/>
                <w:bCs w:val="1"/>
                <w:color w:val="auto"/>
              </w:rPr>
              <w:t>18.9</w:t>
            </w: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gridSpan w:val="3"/>
          </w:tcPr>
          <w:p>
            <w:pPr>
              <w:jc w:val="right"/>
              <w:ind w:right="40"/>
              <w:spacing w:after="0"/>
              <w:rPr>
                <w:sz w:val="20"/>
                <w:szCs w:val="20"/>
                <w:color w:val="auto"/>
              </w:rPr>
            </w:pPr>
            <w:r>
              <w:rPr>
                <w:rFonts w:ascii="Arial" w:cs="Arial" w:eastAsia="Arial" w:hAnsi="Arial"/>
                <w:sz w:val="18"/>
                <w:szCs w:val="18"/>
                <w:b w:val="1"/>
                <w:bCs w:val="1"/>
                <w:color w:val="auto"/>
              </w:rPr>
              <w:t>5.8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4"/>
          </w:tcPr>
          <w:p>
            <w:pPr>
              <w:jc w:val="right"/>
              <w:ind w:right="8"/>
              <w:spacing w:after="0"/>
              <w:rPr>
                <w:sz w:val="20"/>
                <w:szCs w:val="20"/>
                <w:color w:val="auto"/>
              </w:rPr>
            </w:pPr>
            <w:r>
              <w:rPr>
                <w:rFonts w:ascii="Arial" w:cs="Arial" w:eastAsia="Arial" w:hAnsi="Arial"/>
                <w:sz w:val="18"/>
                <w:szCs w:val="18"/>
                <w:b w:val="1"/>
                <w:bCs w:val="1"/>
                <w:color w:val="auto"/>
              </w:rPr>
              <w:t>10.4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3"/>
          </w:tcPr>
          <w:p>
            <w:pPr>
              <w:jc w:val="right"/>
              <w:ind w:right="60"/>
              <w:spacing w:after="0"/>
              <w:rPr>
                <w:sz w:val="20"/>
                <w:szCs w:val="20"/>
                <w:color w:val="auto"/>
              </w:rPr>
            </w:pPr>
            <w:r>
              <w:rPr>
                <w:rFonts w:ascii="Arial" w:cs="Arial" w:eastAsia="Arial" w:hAnsi="Arial"/>
                <w:sz w:val="18"/>
                <w:szCs w:val="18"/>
                <w:b w:val="1"/>
                <w:bCs w:val="1"/>
                <w:color w:val="auto"/>
              </w:rPr>
              <w:t>35.1</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b w:val="1"/>
                <w:bCs w:val="1"/>
                <w:color w:val="auto"/>
              </w:rPr>
              <w:t>839.7</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80" w:type="dxa"/>
            <w:vAlign w:val="bottom"/>
            <w:gridSpan w:val="4"/>
          </w:tcPr>
          <w:p>
            <w:pPr>
              <w:jc w:val="right"/>
              <w:ind w:right="40"/>
              <w:spacing w:after="0"/>
              <w:rPr>
                <w:sz w:val="20"/>
                <w:szCs w:val="20"/>
                <w:color w:val="auto"/>
              </w:rPr>
            </w:pPr>
            <w:r>
              <w:rPr>
                <w:rFonts w:ascii="Arial" w:cs="Arial" w:eastAsia="Arial" w:hAnsi="Arial"/>
                <w:sz w:val="18"/>
                <w:szCs w:val="18"/>
                <w:b w:val="1"/>
                <w:bCs w:val="1"/>
                <w:color w:val="auto"/>
              </w:rPr>
              <w:t>874.8</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88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CCEEFF"/>
              <w:bottom w:val="single" w:sz="8" w:color="CCEEFF"/>
            </w:tcBorders>
            <w:shd w:val="clear" w:color="auto" w:fill="CCEEFF"/>
          </w:tcPr>
          <w:p>
            <w:pPr>
              <w:spacing w:after="0"/>
              <w:rPr>
                <w:sz w:val="18"/>
                <w:szCs w:val="18"/>
                <w:color w:val="auto"/>
              </w:rPr>
            </w:pPr>
          </w:p>
        </w:tc>
        <w:tc>
          <w:tcPr>
            <w:tcW w:w="480" w:type="dxa"/>
            <w:vAlign w:val="bottom"/>
            <w:tcBorders>
              <w:top w:val="single" w:sz="8" w:color="auto"/>
              <w:bottom w:val="single" w:sz="8" w:color="auto"/>
            </w:tcBorders>
            <w:shd w:val="clear" w:color="auto" w:fill="CCEEFF"/>
          </w:tcPr>
          <w:p>
            <w:pPr>
              <w:jc w:val="right"/>
              <w:ind w:right="320"/>
              <w:spacing w:after="0"/>
              <w:rPr>
                <w:sz w:val="20"/>
                <w:szCs w:val="20"/>
                <w:color w:val="auto"/>
              </w:rPr>
            </w:pPr>
            <w:r>
              <w:rPr>
                <w:rFonts w:ascii="Arial" w:cs="Arial" w:eastAsia="Arial" w:hAnsi="Arial"/>
                <w:sz w:val="15"/>
                <w:szCs w:val="15"/>
                <w:b w:val="1"/>
                <w:bCs w:val="1"/>
                <w:color w:val="auto"/>
                <w:w w:val="71"/>
              </w:rPr>
              <w:t>$</w:t>
            </w: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48.2</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shd w:val="clear" w:color="auto" w:fill="CCEEFF"/>
          </w:tcPr>
          <w:p>
            <w:pPr>
              <w:jc w:val="center"/>
              <w:ind w:right="417"/>
              <w:spacing w:after="0"/>
              <w:rPr>
                <w:sz w:val="20"/>
                <w:szCs w:val="20"/>
                <w:color w:val="auto"/>
              </w:rPr>
            </w:pPr>
            <w:r>
              <w:rPr>
                <w:rFonts w:ascii="Arial" w:cs="Arial" w:eastAsia="Arial" w:hAnsi="Arial"/>
                <w:sz w:val="18"/>
                <w:szCs w:val="18"/>
                <w:b w:val="1"/>
                <w:bCs w:val="1"/>
                <w:color w:val="auto"/>
                <w:w w:val="79"/>
              </w:rPr>
              <w:t>$</w:t>
            </w:r>
          </w:p>
        </w:tc>
        <w:tc>
          <w:tcPr>
            <w:tcW w:w="40" w:type="dxa"/>
            <w:vAlign w:val="bottom"/>
            <w:tcBorders>
              <w:top w:val="single" w:sz="8" w:color="auto"/>
              <w:bottom w:val="single" w:sz="8" w:color="auto"/>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6.3</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16.3</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70.8</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12,217.9</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b w:val="1"/>
                <w:bCs w:val="1"/>
                <w:color w:val="auto"/>
                <w:w w:val="71"/>
              </w:rPr>
              <w:t>$</w:t>
            </w: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12,288.7</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12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gridSpan w:val="2"/>
          </w:tcPr>
          <w:p>
            <w:pPr>
              <w:jc w:val="center"/>
              <w:spacing w:after="0"/>
              <w:rPr>
                <w:sz w:val="20"/>
                <w:szCs w:val="20"/>
                <w:color w:val="auto"/>
              </w:rPr>
            </w:pPr>
            <w:r>
              <w:rPr>
                <w:rFonts w:ascii="Arial" w:cs="Arial" w:eastAsia="Arial" w:hAnsi="Arial"/>
                <w:sz w:val="18"/>
                <w:szCs w:val="18"/>
                <w:color w:val="auto"/>
                <w:w w:val="89"/>
              </w:rPr>
              <w:t>23</w:t>
            </w: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16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6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2880" w:type="dxa"/>
            <w:vAlign w:val="bottom"/>
            <w:gridSpan w:val="2"/>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1280" w:type="dxa"/>
            <w:vAlign w:val="bottom"/>
            <w:tcBorders>
              <w:top w:val="single" w:sz="8" w:color="0000EE"/>
            </w:tcBorders>
          </w:tcPr>
          <w:p>
            <w:pPr>
              <w:spacing w:after="0"/>
              <w:rPr>
                <w:sz w:val="24"/>
                <w:szCs w:val="24"/>
                <w:color w:val="auto"/>
              </w:rPr>
            </w:pP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40" w:type="dxa"/>
            <w:vAlign w:val="bottom"/>
            <w:gridSpan w:val="14"/>
          </w:tcPr>
          <w:p>
            <w:pPr>
              <w:jc w:val="center"/>
              <w:spacing w:after="0"/>
              <w:rPr>
                <w:sz w:val="20"/>
                <w:szCs w:val="20"/>
                <w:color w:val="auto"/>
              </w:rPr>
            </w:pPr>
            <w:r>
              <w:rPr>
                <w:rFonts w:ascii="Arial" w:cs="Arial" w:eastAsia="Arial" w:hAnsi="Arial"/>
                <w:sz w:val="18"/>
                <w:szCs w:val="18"/>
                <w:b w:val="1"/>
                <w:bCs w:val="1"/>
                <w:color w:val="auto"/>
                <w:w w:val="93"/>
              </w:rPr>
              <w:t>Principal Financial Group, Inc.</w:t>
            </w: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20" w:type="dxa"/>
            <w:vAlign w:val="bottom"/>
            <w:gridSpan w:val="19"/>
          </w:tcPr>
          <w:p>
            <w:pPr>
              <w:jc w:val="center"/>
              <w:ind w:right="36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60" w:type="dxa"/>
            <w:vAlign w:val="bottom"/>
            <w:gridSpan w:val="8"/>
          </w:tcPr>
          <w:p>
            <w:pPr>
              <w:jc w:val="center"/>
              <w:ind w:left="277"/>
              <w:spacing w:after="0"/>
              <w:rPr>
                <w:sz w:val="20"/>
                <w:szCs w:val="20"/>
                <w:color w:val="auto"/>
              </w:rPr>
            </w:pPr>
            <w:r>
              <w:rPr>
                <w:rFonts w:ascii="Arial" w:cs="Arial" w:eastAsia="Arial" w:hAnsi="Arial"/>
                <w:sz w:val="18"/>
                <w:szCs w:val="18"/>
                <w:b w:val="1"/>
                <w:bCs w:val="1"/>
                <w:color w:val="auto"/>
                <w:w w:val="89"/>
              </w:rPr>
              <w:t>September 30, 2015</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28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40" w:type="dxa"/>
            <w:vAlign w:val="bottom"/>
            <w:gridSpan w:val="6"/>
          </w:tcPr>
          <w:p>
            <w:pPr>
              <w:jc w:val="center"/>
              <w:ind w:right="175"/>
              <w:spacing w:after="0"/>
              <w:rPr>
                <w:sz w:val="20"/>
                <w:szCs w:val="20"/>
                <w:color w:val="auto"/>
              </w:rPr>
            </w:pPr>
            <w:r>
              <w:rPr>
                <w:rFonts w:ascii="Arial" w:cs="Arial" w:eastAsia="Arial" w:hAnsi="Arial"/>
                <w:sz w:val="18"/>
                <w:szCs w:val="18"/>
                <w:b w:val="1"/>
                <w:bCs w:val="1"/>
                <w:color w:val="auto"/>
                <w:w w:val="93"/>
              </w:rPr>
              <w:t>(Unaudited)</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12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gridSpan w:val="8"/>
          </w:tcPr>
          <w:p>
            <w:pPr>
              <w:jc w:val="center"/>
              <w:ind w:right="60"/>
              <w:spacing w:after="0"/>
              <w:rPr>
                <w:sz w:val="20"/>
                <w:szCs w:val="20"/>
                <w:color w:val="auto"/>
              </w:rPr>
            </w:pPr>
            <w:r>
              <w:rPr>
                <w:rFonts w:ascii="Arial" w:cs="Arial" w:eastAsia="Arial" w:hAnsi="Arial"/>
                <w:sz w:val="14"/>
                <w:szCs w:val="14"/>
                <w:b w:val="1"/>
                <w:bCs w:val="1"/>
                <w:color w:val="auto"/>
                <w:w w:val="91"/>
              </w:rPr>
              <w:t>December 31, 2014</w:t>
            </w: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128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line="119" w:lineRule="exact"/>
              <w:rPr>
                <w:sz w:val="20"/>
                <w:szCs w:val="20"/>
                <w:color w:val="auto"/>
              </w:rPr>
            </w:pPr>
            <w:r>
              <w:rPr>
                <w:rFonts w:ascii="Arial" w:cs="Arial" w:eastAsia="Arial" w:hAnsi="Arial"/>
                <w:sz w:val="13"/>
                <w:szCs w:val="13"/>
                <w:b w:val="1"/>
                <w:bCs w:val="1"/>
                <w:color w:val="auto"/>
              </w:rPr>
              <w:t>Recorded</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80" w:type="dxa"/>
            <w:vAlign w:val="bottom"/>
            <w:gridSpan w:val="3"/>
            <w:vMerge w:val="restart"/>
          </w:tcPr>
          <w:p>
            <w:pPr>
              <w:jc w:val="center"/>
              <w:ind w:right="95"/>
              <w:spacing w:after="0"/>
              <w:rPr>
                <w:sz w:val="20"/>
                <w:szCs w:val="20"/>
                <w:color w:val="auto"/>
              </w:rPr>
            </w:pPr>
            <w:r>
              <w:rPr>
                <w:rFonts w:ascii="Arial" w:cs="Arial" w:eastAsia="Arial" w:hAnsi="Arial"/>
                <w:sz w:val="14"/>
                <w:szCs w:val="14"/>
                <w:b w:val="1"/>
                <w:bCs w:val="1"/>
                <w:color w:val="auto"/>
                <w:w w:val="89"/>
              </w:rPr>
              <w:t>90 days or</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investment</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gridSpan w:val="3"/>
            <w:vMerge w:val="restart"/>
          </w:tcPr>
          <w:p>
            <w:pPr>
              <w:jc w:val="center"/>
              <w:ind w:right="220"/>
              <w:spacing w:after="0"/>
              <w:rPr>
                <w:sz w:val="20"/>
                <w:szCs w:val="20"/>
                <w:color w:val="auto"/>
              </w:rPr>
            </w:pPr>
            <w:r>
              <w:rPr>
                <w:rFonts w:ascii="Arial" w:cs="Arial" w:eastAsia="Arial" w:hAnsi="Arial"/>
                <w:sz w:val="14"/>
                <w:szCs w:val="14"/>
                <w:b w:val="1"/>
                <w:bCs w:val="1"/>
                <w:color w:val="auto"/>
                <w:w w:val="92"/>
              </w:rPr>
              <w:t>30-59 days</w:t>
            </w:r>
          </w:p>
        </w:tc>
        <w:tc>
          <w:tcPr>
            <w:tcW w:w="160" w:type="dxa"/>
            <w:vAlign w:val="bottom"/>
          </w:tcPr>
          <w:p>
            <w:pPr>
              <w:spacing w:after="0"/>
              <w:rPr>
                <w:sz w:val="12"/>
                <w:szCs w:val="12"/>
                <w:color w:val="auto"/>
              </w:rPr>
            </w:pPr>
          </w:p>
        </w:tc>
        <w:tc>
          <w:tcPr>
            <w:tcW w:w="1080" w:type="dxa"/>
            <w:vAlign w:val="bottom"/>
            <w:gridSpan w:val="4"/>
            <w:vMerge w:val="restart"/>
          </w:tcPr>
          <w:p>
            <w:pPr>
              <w:jc w:val="center"/>
              <w:ind w:right="40"/>
              <w:spacing w:after="0"/>
              <w:rPr>
                <w:sz w:val="20"/>
                <w:szCs w:val="20"/>
                <w:color w:val="auto"/>
              </w:rPr>
            </w:pPr>
            <w:r>
              <w:rPr>
                <w:rFonts w:ascii="Arial" w:cs="Arial" w:eastAsia="Arial" w:hAnsi="Arial"/>
                <w:sz w:val="14"/>
                <w:szCs w:val="14"/>
                <w:b w:val="1"/>
                <w:bCs w:val="1"/>
                <w:color w:val="auto"/>
                <w:w w:val="89"/>
              </w:rPr>
              <w:t>60-89 days</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80" w:type="dxa"/>
            <w:vAlign w:val="bottom"/>
            <w:gridSpan w:val="3"/>
            <w:vMerge w:val="continue"/>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5"/>
            <w:vMerge w:val="restart"/>
          </w:tcPr>
          <w:p>
            <w:pPr>
              <w:jc w:val="center"/>
              <w:ind w:right="300"/>
              <w:spacing w:after="0"/>
              <w:rPr>
                <w:sz w:val="20"/>
                <w:szCs w:val="20"/>
                <w:color w:val="auto"/>
              </w:rPr>
            </w:pPr>
            <w:r>
              <w:rPr>
                <w:rFonts w:ascii="Arial" w:cs="Arial" w:eastAsia="Arial" w:hAnsi="Arial"/>
                <w:sz w:val="14"/>
                <w:szCs w:val="14"/>
                <w:b w:val="1"/>
                <w:bCs w:val="1"/>
                <w:color w:val="auto"/>
                <w:w w:val="90"/>
              </w:rPr>
              <w:t>Total past</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rPr>
              <w:t>90 days or</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4"/>
            <w:vMerge w:val="continue"/>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80" w:type="dxa"/>
            <w:vAlign w:val="bottom"/>
            <w:gridSpan w:val="3"/>
          </w:tcPr>
          <w:p>
            <w:pPr>
              <w:jc w:val="center"/>
              <w:ind w:right="95"/>
              <w:spacing w:after="0" w:line="149" w:lineRule="exact"/>
              <w:rPr>
                <w:sz w:val="20"/>
                <w:szCs w:val="20"/>
                <w:color w:val="auto"/>
              </w:rPr>
            </w:pPr>
            <w:r>
              <w:rPr>
                <w:rFonts w:ascii="Arial" w:cs="Arial" w:eastAsia="Arial" w:hAnsi="Arial"/>
                <w:sz w:val="14"/>
                <w:szCs w:val="14"/>
                <w:b w:val="1"/>
                <w:bCs w:val="1"/>
                <w:color w:val="auto"/>
                <w:w w:val="92"/>
              </w:rPr>
              <w:t>more past</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5"/>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3"/>
            <w:vMerge w:val="restart"/>
          </w:tcPr>
          <w:p>
            <w:pPr>
              <w:jc w:val="right"/>
              <w:ind w:right="420"/>
              <w:spacing w:after="0"/>
              <w:rPr>
                <w:sz w:val="20"/>
                <w:szCs w:val="20"/>
                <w:color w:val="auto"/>
              </w:rPr>
            </w:pPr>
            <w:r>
              <w:rPr>
                <w:rFonts w:ascii="Arial" w:cs="Arial" w:eastAsia="Arial" w:hAnsi="Arial"/>
                <w:sz w:val="14"/>
                <w:szCs w:val="14"/>
                <w:b w:val="1"/>
                <w:bCs w:val="1"/>
                <w:color w:val="auto"/>
              </w:rPr>
              <w:t>Current</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6"/>
            <w:vMerge w:val="restart"/>
          </w:tcPr>
          <w:p>
            <w:pPr>
              <w:jc w:val="center"/>
              <w:ind w:right="260"/>
              <w:spacing w:after="0"/>
              <w:rPr>
                <w:sz w:val="20"/>
                <w:szCs w:val="20"/>
                <w:color w:val="auto"/>
              </w:rPr>
            </w:pPr>
            <w:r>
              <w:rPr>
                <w:rFonts w:ascii="Arial" w:cs="Arial" w:eastAsia="Arial" w:hAnsi="Arial"/>
                <w:sz w:val="14"/>
                <w:szCs w:val="14"/>
                <w:b w:val="1"/>
                <w:bCs w:val="1"/>
                <w:color w:val="auto"/>
                <w:w w:val="91"/>
              </w:rPr>
              <w:t>Total loans</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more and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128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86"/>
              </w:rPr>
              <w:t>past due</w:t>
            </w: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0"/>
              </w:rPr>
              <w:t>past due</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gridSpan w:val="2"/>
          </w:tcPr>
          <w:p>
            <w:pPr>
              <w:jc w:val="center"/>
              <w:ind w:right="275"/>
              <w:spacing w:after="0"/>
              <w:rPr>
                <w:sz w:val="20"/>
                <w:szCs w:val="20"/>
                <w:color w:val="auto"/>
              </w:rPr>
            </w:pPr>
            <w:r>
              <w:rPr>
                <w:rFonts w:ascii="Arial" w:cs="Arial" w:eastAsia="Arial" w:hAnsi="Arial"/>
                <w:sz w:val="14"/>
                <w:szCs w:val="14"/>
                <w:b w:val="1"/>
                <w:bCs w:val="1"/>
                <w:color w:val="auto"/>
                <w:w w:val="88"/>
              </w:rPr>
              <w:t>due</w:t>
            </w: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gridSpan w:val="3"/>
          </w:tcPr>
          <w:p>
            <w:pPr>
              <w:jc w:val="center"/>
              <w:ind w:right="520"/>
              <w:spacing w:after="0"/>
              <w:rPr>
                <w:sz w:val="20"/>
                <w:szCs w:val="20"/>
                <w:color w:val="auto"/>
              </w:rPr>
            </w:pPr>
            <w:r>
              <w:rPr>
                <w:rFonts w:ascii="Arial" w:cs="Arial" w:eastAsia="Arial" w:hAnsi="Arial"/>
                <w:sz w:val="14"/>
                <w:szCs w:val="14"/>
                <w:b w:val="1"/>
                <w:bCs w:val="1"/>
                <w:color w:val="auto"/>
                <w:w w:val="88"/>
              </w:rPr>
              <w:t>due</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6"/>
            <w:vMerge w:val="continue"/>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ind w:left="40"/>
              <w:spacing w:after="0"/>
              <w:rPr>
                <w:sz w:val="20"/>
                <w:szCs w:val="20"/>
                <w:color w:val="auto"/>
              </w:rPr>
            </w:pPr>
            <w:r>
              <w:rPr>
                <w:rFonts w:ascii="Arial" w:cs="Arial" w:eastAsia="Arial" w:hAnsi="Arial"/>
                <w:sz w:val="14"/>
                <w:szCs w:val="14"/>
                <w:b w:val="1"/>
                <w:bCs w:val="1"/>
                <w:color w:val="auto"/>
              </w:rPr>
              <w:t>accruing</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100" w:type="dxa"/>
            <w:vAlign w:val="bottom"/>
            <w:tcBorders>
              <w:top w:val="single" w:sz="8" w:color="auto"/>
            </w:tcBorders>
            <w:gridSpan w:val="6"/>
          </w:tcPr>
          <w:p>
            <w:pPr>
              <w:jc w:val="center"/>
              <w:ind w:right="32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Commercial-brick and mortar</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ind w:right="56"/>
              <w:spacing w:after="0"/>
              <w:rPr>
                <w:sz w:val="20"/>
                <w:szCs w:val="20"/>
                <w:color w:val="auto"/>
              </w:rPr>
            </w:pPr>
            <w:r>
              <w:rPr>
                <w:rFonts w:ascii="Arial" w:cs="Arial" w:eastAsia="Arial" w:hAnsi="Arial"/>
                <w:sz w:val="18"/>
                <w:szCs w:val="18"/>
                <w:color w:val="auto"/>
              </w:rPr>
              <w:t>$</w:t>
            </w: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4.5</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w:t>
            </w:r>
          </w:p>
        </w:tc>
        <w:tc>
          <w:tcPr>
            <w:tcW w:w="6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10,369.7</w:t>
            </w:r>
          </w:p>
        </w:tc>
        <w:tc>
          <w:tcPr>
            <w:tcW w:w="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w w:val="85"/>
              </w:rPr>
              <w:t>10,374.9</w:t>
            </w:r>
          </w:p>
        </w:tc>
        <w:tc>
          <w:tcPr>
            <w:tcW w:w="4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tcPr>
          <w:p>
            <w:pPr>
              <w:spacing w:after="0"/>
              <w:rPr>
                <w:sz w:val="20"/>
                <w:szCs w:val="20"/>
                <w:color w:val="auto"/>
              </w:rPr>
            </w:pPr>
            <w:r>
              <w:rPr>
                <w:rFonts w:ascii="Arial" w:cs="Arial" w:eastAsia="Arial" w:hAnsi="Arial"/>
                <w:sz w:val="18"/>
                <w:szCs w:val="18"/>
                <w:color w:val="auto"/>
              </w:rPr>
              <w:t>Commercial-CTL</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348.9</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gridSpan w:val="3"/>
          </w:tcPr>
          <w:p>
            <w:pPr>
              <w:jc w:val="right"/>
              <w:ind w:right="120"/>
              <w:spacing w:after="0"/>
              <w:rPr>
                <w:sz w:val="20"/>
                <w:szCs w:val="20"/>
                <w:color w:val="auto"/>
              </w:rPr>
            </w:pPr>
            <w:r>
              <w:rPr>
                <w:rFonts w:ascii="Arial" w:cs="Arial" w:eastAsia="Arial" w:hAnsi="Arial"/>
                <w:sz w:val="18"/>
                <w:szCs w:val="18"/>
                <w:color w:val="auto"/>
              </w:rPr>
              <w:t>348.9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Residential-home equity</w:t>
            </w:r>
          </w:p>
        </w:tc>
        <w:tc>
          <w:tcPr>
            <w:tcW w:w="14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2.3</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6.9</w:t>
            </w: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276.5</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283.4</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tcPr>
          <w:p>
            <w:pPr>
              <w:spacing w:after="0"/>
              <w:rPr>
                <w:sz w:val="20"/>
                <w:szCs w:val="20"/>
                <w:color w:val="auto"/>
              </w:rPr>
            </w:pPr>
            <w:r>
              <w:rPr>
                <w:rFonts w:ascii="Arial" w:cs="Arial" w:eastAsia="Arial" w:hAnsi="Arial"/>
                <w:sz w:val="18"/>
                <w:szCs w:val="18"/>
                <w:color w:val="auto"/>
              </w:rPr>
              <w:t>Residential-first liens</w:t>
            </w:r>
          </w:p>
        </w:tc>
        <w:tc>
          <w:tcPr>
            <w:tcW w:w="140" w:type="dxa"/>
            <w:vAlign w:val="bottom"/>
          </w:tcPr>
          <w:p>
            <w:pPr>
              <w:spacing w:after="0"/>
              <w:rPr>
                <w:sz w:val="18"/>
                <w:szCs w:val="18"/>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24.2</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rPr>
              <w:t>7.0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12.1</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43.3</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817.6</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gridSpan w:val="3"/>
          </w:tcPr>
          <w:p>
            <w:pPr>
              <w:jc w:val="right"/>
              <w:ind w:right="120"/>
              <w:spacing w:after="0"/>
              <w:rPr>
                <w:sz w:val="20"/>
                <w:szCs w:val="20"/>
                <w:color w:val="auto"/>
              </w:rPr>
            </w:pPr>
            <w:r>
              <w:rPr>
                <w:rFonts w:ascii="Arial" w:cs="Arial" w:eastAsia="Arial" w:hAnsi="Arial"/>
                <w:sz w:val="18"/>
                <w:szCs w:val="18"/>
                <w:color w:val="auto"/>
              </w:rPr>
              <w:t>860.9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88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26.5</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 w:type="dxa"/>
            <w:vAlign w:val="bottom"/>
            <w:tcBorders>
              <w:top w:val="single" w:sz="8" w:color="auto"/>
              <w:bottom w:val="single" w:sz="8" w:color="auto"/>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16.2</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55.4</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11,812.</w:t>
            </w:r>
            <w:r>
              <w:rPr>
                <w:rFonts w:ascii="Arial" w:cs="Arial" w:eastAsia="Arial" w:hAnsi="Arial"/>
                <w:sz w:val="18"/>
                <w:szCs w:val="18"/>
                <w:u w:val="single" w:color="auto"/>
                <w:color w:val="auto"/>
              </w:rPr>
              <w:t>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85"/>
              </w:rPr>
              <w:t>11,868.</w:t>
            </w:r>
            <w:r>
              <w:rPr>
                <w:rFonts w:ascii="Arial" w:cs="Arial" w:eastAsia="Arial" w:hAnsi="Arial"/>
                <w:sz w:val="18"/>
                <w:szCs w:val="18"/>
                <w:u w:val="single" w:color="auto"/>
                <w:color w:val="auto"/>
                <w:w w:val="85"/>
              </w:rPr>
              <w:t>1</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-2608580</wp:posOffset>
            </wp:positionV>
            <wp:extent cx="12700"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-2608580</wp:posOffset>
            </wp:positionV>
            <wp:extent cx="12700"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 Valuation Allowance</w:t>
      </w:r>
    </w:p>
    <w:p>
      <w:pPr>
        <w:spacing w:after="0" w:line="229" w:lineRule="exact"/>
        <w:rPr>
          <w:sz w:val="20"/>
          <w:szCs w:val="20"/>
          <w:color w:val="auto"/>
        </w:rPr>
      </w:pPr>
    </w:p>
    <w:p>
      <w:pPr>
        <w:ind w:right="60" w:firstLine="648"/>
        <w:spacing w:after="0" w:line="291" w:lineRule="auto"/>
        <w:rPr>
          <w:sz w:val="20"/>
          <w:szCs w:val="20"/>
          <w:color w:val="auto"/>
        </w:rPr>
      </w:pPr>
      <w:r>
        <w:rPr>
          <w:rFonts w:ascii="Arial" w:cs="Arial" w:eastAsia="Arial" w:hAnsi="Arial"/>
          <w:sz w:val="16"/>
          <w:szCs w:val="16"/>
          <w:color w:val="auto"/>
        </w:rPr>
        <w:t>We establish a valuation allowance to provide for the risk of credit losses inherent in our portfolio. The valuation allowance includes loan specific reserves for loans that are deemed to be impaired as well as reserves for pools of loans with similar risk characteristics where a property risk or market specific risk has not been identified but for which we anticipate a loss may occur. Mortgage loans on real estate are considered impaired when, based on current information and events, it is probable that we will be unable to collect all amounts due according to contractual terms of the loan agreement. When we determine that a loan is impaired, a valuation allowance is established equal to the difference between the carrying amount of the mortgage loan and the estimated value reduced by the cost to sell. Estimated value is based on either the present value of the expected future cash flows discounted at the loan’s effective interest rate, the loan’s observable market price or fair value of the collateral. Subsequent changes in the estimated value are reflected in the</w:t>
      </w:r>
    </w:p>
    <w:p>
      <w:pPr>
        <w:sectPr>
          <w:pgSz w:w="11900" w:h="16838" w:orient="portrait"/>
          <w:cols w:equalWidth="0" w:num="1">
            <w:col w:w="11460"/>
          </w:cols>
          <w:pgMar w:left="240" w:top="140" w:right="199" w:bottom="0" w:gutter="0" w:footer="0" w:header="0"/>
        </w:sectPr>
      </w:pPr>
    </w:p>
    <w:bookmarkStart w:id="17" w:name="page18"/>
    <w:bookmarkEnd w:id="17"/>
    <w:p>
      <w:pPr>
        <w:ind w:right="200"/>
        <w:spacing w:after="0" w:line="277" w:lineRule="auto"/>
        <w:rPr>
          <w:sz w:val="20"/>
          <w:szCs w:val="20"/>
          <w:color w:val="auto"/>
        </w:rPr>
      </w:pPr>
      <w:r>
        <w:rPr>
          <w:rFonts w:ascii="Arial" w:cs="Arial" w:eastAsia="Arial" w:hAnsi="Arial"/>
          <w:sz w:val="18"/>
          <w:szCs w:val="18"/>
          <w:color w:val="auto"/>
        </w:rPr>
        <w:t>valuation allowance. Amounts on loans deemed to be uncollectible are charged off and removed from the valuation allowance. The change in the valuation allowance provision is included in net realized capital gains (losses) on our consolidated statements of operations.</w:t>
      </w:r>
    </w:p>
    <w:p>
      <w:pPr>
        <w:spacing w:after="0" w:line="170" w:lineRule="exact"/>
        <w:rPr>
          <w:sz w:val="20"/>
          <w:szCs w:val="20"/>
          <w:color w:val="auto"/>
        </w:rPr>
      </w:pPr>
    </w:p>
    <w:p>
      <w:pPr>
        <w:ind w:right="60" w:firstLine="648"/>
        <w:spacing w:after="0" w:line="297" w:lineRule="auto"/>
        <w:rPr>
          <w:sz w:val="20"/>
          <w:szCs w:val="20"/>
          <w:color w:val="auto"/>
        </w:rPr>
      </w:pPr>
      <w:r>
        <w:rPr>
          <w:rFonts w:ascii="Arial" w:cs="Arial" w:eastAsia="Arial" w:hAnsi="Arial"/>
          <w:sz w:val="16"/>
          <w:szCs w:val="16"/>
          <w:color w:val="auto"/>
        </w:rPr>
        <w:t>The valuation allowance is maintained at a level believed adequate by management to absorb estimated probable credit losses. Management’s periodic evaluation and assessment of the valuation allowance adequacy is based on known and inherent risks in the portfolio, adverse situations that may affect a borrower’s ability to repay, the estimated value of the underlying collateral, composition of the loan portfolio, portfolio delinquency information, underwriting standards, peer group information, current economic conditions, loss experience and other relevant factors. The evaluation of our impaired loan component is subjective, as it requires the estimation of timing and amount of future cash flows expected to be received on impaired loans.</w:t>
      </w:r>
    </w:p>
    <w:p>
      <w:pPr>
        <w:spacing w:after="0" w:line="158"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We review our commercial mortgage loan portfolio and analyze the need for a valuation allowance for any loan that is delinquent for 60 days or more, in process of foreclosure, restructured, on the internal “watch list” or that currently has a valuation allowance. In addition to establishing allowance levels for specifically identified impaired commercial mortgage loans, management determines an allowance for all other loans in the portfolio for which historical experience and current economic conditions indicate certain losses exist. These loans are segregated by risk rating level with an estimated loss ratio applied against each risk rating level. The loss ratio is generally based upon historic loss experience for each risk rating level as adjusted for certain current environmental factors management believes to be relevant.</w:t>
      </w:r>
    </w:p>
    <w:p>
      <w:pPr>
        <w:spacing w:after="0" w:line="193"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For our residential mortgage loan portfolio, we separate the loans into several homogeneous pools, each of which consist of loans of a similar nature including but not limited to loans similar in collateral, term and structure and loan purpose or type. We evaluate loan pools based on aggregated risk ratings, estimated specific loss potential in the different classes of credits, and historical loss experience by pool type. We adjust these quantitative factors for qualitative factors of present conditions. Qualitative factors include items such as economic and business conditions, changes in the portfolio, value of underlying collateral and concentrations. Residential mortgage loan pools exclude loans that have been restructured or impaired, as those loans are evaluated individually.</w:t>
      </w:r>
    </w:p>
    <w:p>
      <w:pPr>
        <w:spacing w:after="0" w:line="1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 rollforward of our valuation allowance and ending balances of the allowance and loan balance by basis of impairment method was as follows:</w:t>
      </w:r>
    </w:p>
    <w:p>
      <w:pPr>
        <w:sectPr>
          <w:pgSz w:w="11900" w:h="16838" w:orient="portrait"/>
          <w:cols w:equalWidth="0" w:num="1">
            <w:col w:w="11380"/>
          </w:cols>
          <w:pgMar w:left="240" w:top="125" w:right="27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color w:val="auto"/>
        </w:rPr>
        <w:t>Beginning balance</w:t>
      </w:r>
    </w:p>
    <w:p>
      <w:pPr>
        <w:spacing w:after="0" w:line="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Provision</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Charge-offs</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Recoveries</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Effect of exchange rates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Ending balance</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color w:val="auto"/>
        </w:rPr>
        <w:t>Beginning balance</w:t>
      </w:r>
    </w:p>
    <w:p>
      <w:pPr>
        <w:spacing w:after="0" w:line="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Provision</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Charge-offs</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Recoveries</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Effect of exchange rates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Ending balance</w:t>
      </w:r>
    </w:p>
    <w:p>
      <w:pPr>
        <w:spacing w:after="0" w:line="22" w:lineRule="exact"/>
        <w:rPr>
          <w:sz w:val="20"/>
          <w:szCs w:val="20"/>
          <w:color w:val="auto"/>
        </w:rPr>
      </w:pPr>
    </w:p>
    <w:p>
      <w:pPr>
        <w:spacing w:after="0"/>
        <w:rPr>
          <w:sz w:val="20"/>
          <w:szCs w:val="20"/>
          <w:color w:val="auto"/>
        </w:rPr>
      </w:pPr>
      <w:r>
        <w:rPr>
          <w:rFonts w:ascii="Arial" w:cs="Arial" w:eastAsia="Arial" w:hAnsi="Arial"/>
          <w:sz w:val="16"/>
          <w:szCs w:val="16"/>
          <w:color w:val="auto"/>
        </w:rPr>
        <w:t>Allowance ending balance by basis of impairment method:</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Individually evaluated for impairment</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Collectively evaluated for impairment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Allowance ending balance</w:t>
      </w:r>
    </w:p>
    <w:p>
      <w:pPr>
        <w:spacing w:after="0" w:line="22" w:lineRule="exact"/>
        <w:rPr>
          <w:sz w:val="20"/>
          <w:szCs w:val="20"/>
          <w:color w:val="auto"/>
        </w:rPr>
      </w:pPr>
    </w:p>
    <w:p>
      <w:pPr>
        <w:spacing w:after="0"/>
        <w:rPr>
          <w:sz w:val="20"/>
          <w:szCs w:val="20"/>
          <w:color w:val="auto"/>
        </w:rPr>
      </w:pPr>
      <w:r>
        <w:rPr>
          <w:rFonts w:ascii="Arial" w:cs="Arial" w:eastAsia="Arial" w:hAnsi="Arial"/>
          <w:sz w:val="18"/>
          <w:szCs w:val="18"/>
          <w:color w:val="auto"/>
        </w:rPr>
        <w:t>Loan balance by basis of impairment method:</w:t>
      </w:r>
    </w:p>
    <w:p>
      <w:pPr>
        <w:spacing w:after="0" w:line="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Individually evaluated for impairment</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Collectively evaluated for impairment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Loan ending balance</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color w:val="auto"/>
        </w:rPr>
        <w:t>Beginning balance</w:t>
      </w:r>
    </w:p>
    <w:p>
      <w:pPr>
        <w:spacing w:after="0" w:line="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Provision</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Charge-offs</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Recoveries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Ending balance</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color w:val="auto"/>
        </w:rPr>
        <w:t>Beginning balance</w:t>
      </w:r>
    </w:p>
    <w:p>
      <w:pPr>
        <w:spacing w:after="0" w:line="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Provision</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Charge-offs</w:t>
      </w:r>
    </w:p>
    <w:p>
      <w:pPr>
        <w:spacing w:after="0" w:line="20" w:lineRule="exact"/>
        <w:rPr>
          <w:sz w:val="20"/>
          <w:szCs w:val="20"/>
          <w:color w:val="auto"/>
        </w:rPr>
      </w:pPr>
      <w:r>
        <w:rPr>
          <w:sz w:val="20"/>
          <w:szCs w:val="20"/>
          <w:color w:val="auto"/>
        </w:rPr>
        <w:br w:type="column"/>
      </w:r>
    </w:p>
    <w:p>
      <w:pPr>
        <w:spacing w:after="0" w:line="220" w:lineRule="exact"/>
        <w:rPr>
          <w:sz w:val="20"/>
          <w:szCs w:val="20"/>
          <w:color w:val="auto"/>
        </w:rPr>
      </w:pPr>
    </w:p>
    <w:p>
      <w:pPr>
        <w:ind w:left="860"/>
        <w:spacing w:after="0"/>
        <w:rPr>
          <w:sz w:val="20"/>
          <w:szCs w:val="20"/>
          <w:color w:val="auto"/>
        </w:rPr>
      </w:pPr>
      <w:r>
        <w:rPr>
          <w:rFonts w:ascii="Arial" w:cs="Arial" w:eastAsia="Arial" w:hAnsi="Arial"/>
          <w:sz w:val="14"/>
          <w:szCs w:val="14"/>
          <w:b w:val="1"/>
          <w:bCs w:val="1"/>
          <w:color w:val="auto"/>
        </w:rPr>
        <w:t>For the three months ended September 30, 2015</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0" w:type="dxa"/>
            <w:vAlign w:val="bottom"/>
            <w:tcBorders>
              <w:top w:val="single" w:sz="8" w:color="auto"/>
              <w:bottom w:val="single" w:sz="8" w:color="auto"/>
            </w:tcBorders>
          </w:tcPr>
          <w:p>
            <w:pPr>
              <w:spacing w:after="0"/>
              <w:rPr>
                <w:sz w:val="12"/>
                <w:szCs w:val="12"/>
                <w:color w:val="auto"/>
              </w:rPr>
            </w:pPr>
          </w:p>
        </w:tc>
        <w:tc>
          <w:tcPr>
            <w:tcW w:w="1480" w:type="dxa"/>
            <w:vAlign w:val="bottom"/>
            <w:tcBorders>
              <w:top w:val="single" w:sz="8" w:color="auto"/>
              <w:bottom w:val="single" w:sz="8" w:color="auto"/>
            </w:tcBorders>
            <w:gridSpan w:val="2"/>
          </w:tcPr>
          <w:p>
            <w:pPr>
              <w:jc w:val="right"/>
              <w:ind w:right="620"/>
              <w:spacing w:after="0" w:line="142" w:lineRule="exact"/>
              <w:rPr>
                <w:sz w:val="20"/>
                <w:szCs w:val="20"/>
                <w:color w:val="auto"/>
              </w:rPr>
            </w:pPr>
            <w:r>
              <w:rPr>
                <w:rFonts w:ascii="Arial" w:cs="Arial" w:eastAsia="Arial" w:hAnsi="Arial"/>
                <w:sz w:val="14"/>
                <w:szCs w:val="14"/>
                <w:b w:val="1"/>
                <w:bCs w:val="1"/>
                <w:color w:val="auto"/>
              </w:rPr>
              <w:t>Commercial</w:t>
            </w:r>
          </w:p>
        </w:tc>
        <w:tc>
          <w:tcPr>
            <w:tcW w:w="180" w:type="dxa"/>
            <w:vAlign w:val="bottom"/>
            <w:tcBorders>
              <w:top w:val="single" w:sz="8" w:color="auto"/>
              <w:bottom w:val="single" w:sz="8" w:color="auto"/>
            </w:tcBorders>
          </w:tcPr>
          <w:p>
            <w:pPr>
              <w:spacing w:after="0"/>
              <w:rPr>
                <w:sz w:val="12"/>
                <w:szCs w:val="12"/>
                <w:color w:val="auto"/>
              </w:rPr>
            </w:pPr>
          </w:p>
        </w:tc>
        <w:tc>
          <w:tcPr>
            <w:tcW w:w="1460" w:type="dxa"/>
            <w:vAlign w:val="bottom"/>
            <w:tcBorders>
              <w:top w:val="single" w:sz="8" w:color="auto"/>
              <w:bottom w:val="single" w:sz="8" w:color="auto"/>
            </w:tcBorders>
            <w:gridSpan w:val="2"/>
          </w:tcPr>
          <w:p>
            <w:pPr>
              <w:jc w:val="center"/>
              <w:ind w:right="460"/>
              <w:spacing w:after="0" w:line="142" w:lineRule="exact"/>
              <w:rPr>
                <w:sz w:val="20"/>
                <w:szCs w:val="20"/>
                <w:color w:val="auto"/>
              </w:rPr>
            </w:pPr>
            <w:r>
              <w:rPr>
                <w:rFonts w:ascii="Arial" w:cs="Arial" w:eastAsia="Arial" w:hAnsi="Arial"/>
                <w:sz w:val="14"/>
                <w:szCs w:val="14"/>
                <w:b w:val="1"/>
                <w:bCs w:val="1"/>
                <w:color w:val="auto"/>
                <w:w w:val="90"/>
              </w:rPr>
              <w:t>Residential</w:t>
            </w:r>
          </w:p>
        </w:tc>
        <w:tc>
          <w:tcPr>
            <w:tcW w:w="50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432"/>
              <w:spacing w:after="0" w:line="142" w:lineRule="exact"/>
              <w:rPr>
                <w:sz w:val="20"/>
                <w:szCs w:val="20"/>
                <w:color w:val="auto"/>
              </w:rPr>
            </w:pPr>
            <w:r>
              <w:rPr>
                <w:rFonts w:ascii="Arial" w:cs="Arial" w:eastAsia="Arial" w:hAnsi="Arial"/>
                <w:sz w:val="14"/>
                <w:szCs w:val="14"/>
                <w:b w:val="1"/>
                <w:bCs w:val="1"/>
                <w:color w:val="auto"/>
                <w:w w:val="95"/>
              </w:rPr>
              <w:t>Total</w:t>
            </w:r>
          </w:p>
        </w:tc>
        <w:tc>
          <w:tcPr>
            <w:tcW w:w="60" w:type="dxa"/>
            <w:vAlign w:val="bottom"/>
            <w:gridSpan w:val="2"/>
          </w:tcPr>
          <w:p>
            <w:pPr>
              <w:spacing w:after="0"/>
              <w:rPr>
                <w:sz w:val="12"/>
                <w:szCs w:val="12"/>
                <w:color w:val="auto"/>
              </w:rPr>
            </w:pPr>
          </w:p>
        </w:tc>
      </w:tr>
      <w:tr>
        <w:trPr>
          <w:trHeight w:val="124"/>
        </w:trPr>
        <w:tc>
          <w:tcPr>
            <w:tcW w:w="2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60" w:type="dxa"/>
            <w:vAlign w:val="bottom"/>
            <w:gridSpan w:val="2"/>
          </w:tcPr>
          <w:p>
            <w:pPr>
              <w:jc w:val="center"/>
              <w:ind w:right="520"/>
              <w:spacing w:after="0" w:line="124" w:lineRule="exact"/>
              <w:rPr>
                <w:sz w:val="20"/>
                <w:szCs w:val="20"/>
                <w:color w:val="auto"/>
              </w:rPr>
            </w:pPr>
            <w:r>
              <w:rPr>
                <w:rFonts w:ascii="Arial" w:cs="Arial" w:eastAsia="Arial" w:hAnsi="Arial"/>
                <w:sz w:val="14"/>
                <w:szCs w:val="14"/>
                <w:b w:val="1"/>
                <w:bCs w:val="1"/>
                <w:color w:val="auto"/>
                <w:w w:val="94"/>
              </w:rPr>
              <w:t>(in millions)</w:t>
            </w:r>
          </w:p>
        </w:tc>
        <w:tc>
          <w:tcPr>
            <w:tcW w:w="5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r>
      <w:tr>
        <w:trPr>
          <w:trHeight w:val="216"/>
        </w:trPr>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28.5</w:t>
            </w:r>
          </w:p>
        </w:tc>
        <w:tc>
          <w:tcPr>
            <w:tcW w:w="180" w:type="dxa"/>
            <w:vAlign w:val="bottom"/>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27.4</w:t>
            </w:r>
          </w:p>
        </w:tc>
        <w:tc>
          <w:tcPr>
            <w:tcW w:w="500" w:type="dxa"/>
            <w:vAlign w:val="bottom"/>
          </w:tcPr>
          <w:p>
            <w:pPr>
              <w:jc w:val="right"/>
              <w:ind w:right="310"/>
              <w:spacing w:after="0"/>
              <w:rPr>
                <w:sz w:val="20"/>
                <w:szCs w:val="20"/>
                <w:color w:val="auto"/>
              </w:rPr>
            </w:pPr>
            <w:r>
              <w:rPr>
                <w:rFonts w:ascii="Arial" w:cs="Arial" w:eastAsia="Arial" w:hAnsi="Arial"/>
                <w:sz w:val="18"/>
                <w:szCs w:val="18"/>
                <w:b w:val="1"/>
                <w:bCs w:val="1"/>
                <w:color w:val="auto"/>
                <w:w w:val="79"/>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55.9</w:t>
            </w:r>
          </w:p>
        </w:tc>
        <w:tc>
          <w:tcPr>
            <w:tcW w:w="40" w:type="dxa"/>
            <w:vAlign w:val="bottom"/>
          </w:tcPr>
          <w:p>
            <w:pPr>
              <w:spacing w:after="0"/>
              <w:rPr>
                <w:sz w:val="18"/>
                <w:szCs w:val="18"/>
                <w:color w:val="auto"/>
              </w:rPr>
            </w:pPr>
          </w:p>
        </w:tc>
      </w:tr>
      <w:tr>
        <w:trPr>
          <w:trHeight w:val="216"/>
        </w:trPr>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2.0</w:t>
            </w:r>
          </w:p>
        </w:tc>
        <w:tc>
          <w:tcPr>
            <w:tcW w:w="180" w:type="dxa"/>
            <w:vAlign w:val="bottom"/>
          </w:tcPr>
          <w:p>
            <w:pPr>
              <w:spacing w:after="0"/>
              <w:rPr>
                <w:sz w:val="18"/>
                <w:szCs w:val="18"/>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(1.0)</w:t>
            </w:r>
          </w:p>
        </w:tc>
        <w:tc>
          <w:tcPr>
            <w:tcW w:w="5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1.0</w:t>
            </w:r>
          </w:p>
        </w:tc>
        <w:tc>
          <w:tcPr>
            <w:tcW w:w="40" w:type="dxa"/>
            <w:vAlign w:val="bottom"/>
          </w:tcPr>
          <w:p>
            <w:pPr>
              <w:spacing w:after="0"/>
              <w:rPr>
                <w:sz w:val="18"/>
                <w:szCs w:val="18"/>
                <w:color w:val="auto"/>
              </w:rPr>
            </w:pPr>
          </w:p>
        </w:tc>
      </w:tr>
      <w:tr>
        <w:trPr>
          <w:trHeight w:val="216"/>
        </w:trPr>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(1.0)</w:t>
            </w:r>
          </w:p>
        </w:tc>
        <w:tc>
          <w:tcPr>
            <w:tcW w:w="50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8"/>
                <w:szCs w:val="18"/>
                <w:b w:val="1"/>
                <w:bCs w:val="1"/>
                <w:color w:val="auto"/>
              </w:rPr>
              <w:t>(1.0)</w:t>
            </w:r>
          </w:p>
        </w:tc>
      </w:tr>
      <w:tr>
        <w:trPr>
          <w:trHeight w:val="216"/>
        </w:trPr>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0.8</w:t>
            </w:r>
          </w:p>
        </w:tc>
        <w:tc>
          <w:tcPr>
            <w:tcW w:w="5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0.8</w:t>
            </w:r>
          </w:p>
        </w:tc>
        <w:tc>
          <w:tcPr>
            <w:tcW w:w="40" w:type="dxa"/>
            <w:vAlign w:val="bottom"/>
          </w:tcPr>
          <w:p>
            <w:pPr>
              <w:spacing w:after="0"/>
              <w:rPr>
                <w:sz w:val="18"/>
                <w:szCs w:val="18"/>
                <w:color w:val="auto"/>
              </w:rPr>
            </w:pPr>
          </w:p>
        </w:tc>
      </w:tr>
      <w:tr>
        <w:trPr>
          <w:trHeight w:val="234"/>
        </w:trPr>
        <w:tc>
          <w:tcPr>
            <w:tcW w:w="200" w:type="dxa"/>
            <w:vAlign w:val="bottom"/>
          </w:tcPr>
          <w:p>
            <w:pPr>
              <w:spacing w:after="0"/>
              <w:rPr>
                <w:sz w:val="20"/>
                <w:szCs w:val="20"/>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20"/>
                <w:szCs w:val="20"/>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(0.1)</w:t>
            </w:r>
          </w:p>
        </w:tc>
        <w:tc>
          <w:tcPr>
            <w:tcW w:w="500" w:type="dxa"/>
            <w:vAlign w:val="bottom"/>
          </w:tcPr>
          <w:p>
            <w:pPr>
              <w:spacing w:after="0"/>
              <w:rPr>
                <w:sz w:val="20"/>
                <w:szCs w:val="20"/>
                <w:color w:val="auto"/>
              </w:rPr>
            </w:pPr>
          </w:p>
        </w:tc>
        <w:tc>
          <w:tcPr>
            <w:tcW w:w="920" w:type="dxa"/>
            <w:vAlign w:val="bottom"/>
            <w:gridSpan w:val="3"/>
          </w:tcPr>
          <w:p>
            <w:pPr>
              <w:jc w:val="right"/>
              <w:spacing w:after="0"/>
              <w:rPr>
                <w:sz w:val="20"/>
                <w:szCs w:val="20"/>
                <w:color w:val="auto"/>
              </w:rPr>
            </w:pPr>
            <w:r>
              <w:rPr>
                <w:rFonts w:ascii="Arial" w:cs="Arial" w:eastAsia="Arial" w:hAnsi="Arial"/>
                <w:sz w:val="18"/>
                <w:szCs w:val="18"/>
                <w:b w:val="1"/>
                <w:bCs w:val="1"/>
                <w:color w:val="auto"/>
              </w:rPr>
              <w:t>(0.1)</w:t>
            </w:r>
          </w:p>
        </w:tc>
      </w:tr>
      <w:tr>
        <w:trPr>
          <w:trHeight w:val="210"/>
        </w:trPr>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30.5</w:t>
            </w:r>
          </w:p>
        </w:tc>
        <w:tc>
          <w:tcPr>
            <w:tcW w:w="3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26.1</w:t>
            </w:r>
          </w:p>
        </w:tc>
        <w:tc>
          <w:tcPr>
            <w:tcW w:w="280" w:type="dxa"/>
            <w:vAlign w:val="bottom"/>
          </w:tcPr>
          <w:p>
            <w:pPr>
              <w:spacing w:after="0"/>
              <w:rPr>
                <w:sz w:val="18"/>
                <w:szCs w:val="18"/>
                <w:color w:val="auto"/>
              </w:rPr>
            </w:pPr>
          </w:p>
        </w:tc>
        <w:tc>
          <w:tcPr>
            <w:tcW w:w="5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56.6</w:t>
            </w:r>
          </w:p>
        </w:tc>
        <w:tc>
          <w:tcPr>
            <w:tcW w:w="2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0"/>
        </w:trPr>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45"/>
        </w:trPr>
        <w:tc>
          <w:tcPr>
            <w:tcW w:w="200" w:type="dxa"/>
            <w:vAlign w:val="bottom"/>
            <w:tcBorders>
              <w:bottom w:val="single" w:sz="8" w:color="auto"/>
            </w:tcBorders>
          </w:tcPr>
          <w:p>
            <w:pPr>
              <w:spacing w:after="0"/>
              <w:rPr>
                <w:sz w:val="24"/>
                <w:szCs w:val="24"/>
                <w:color w:val="auto"/>
              </w:rPr>
            </w:pPr>
          </w:p>
        </w:tc>
        <w:tc>
          <w:tcPr>
            <w:tcW w:w="3620" w:type="dxa"/>
            <w:vAlign w:val="bottom"/>
            <w:tcBorders>
              <w:bottom w:val="single" w:sz="8" w:color="auto"/>
            </w:tcBorders>
            <w:gridSpan w:val="6"/>
          </w:tcPr>
          <w:p>
            <w:pPr>
              <w:jc w:val="center"/>
              <w:ind w:left="574"/>
              <w:spacing w:after="0"/>
              <w:rPr>
                <w:sz w:val="20"/>
                <w:szCs w:val="20"/>
                <w:color w:val="auto"/>
              </w:rPr>
            </w:pPr>
            <w:r>
              <w:rPr>
                <w:rFonts w:ascii="Arial" w:cs="Arial" w:eastAsia="Arial" w:hAnsi="Arial"/>
                <w:sz w:val="14"/>
                <w:szCs w:val="14"/>
                <w:b w:val="1"/>
                <w:bCs w:val="1"/>
                <w:color w:val="auto"/>
                <w:w w:val="91"/>
              </w:rPr>
              <w:t>For the nine months ended September 30, 2015</w:t>
            </w:r>
          </w:p>
        </w:tc>
        <w:tc>
          <w:tcPr>
            <w:tcW w:w="8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42"/>
        </w:trPr>
        <w:tc>
          <w:tcPr>
            <w:tcW w:w="200" w:type="dxa"/>
            <w:vAlign w:val="bottom"/>
            <w:tcBorders>
              <w:bottom w:val="single" w:sz="8" w:color="auto"/>
            </w:tcBorders>
          </w:tcPr>
          <w:p>
            <w:pPr>
              <w:spacing w:after="0"/>
              <w:rPr>
                <w:sz w:val="12"/>
                <w:szCs w:val="12"/>
                <w:color w:val="auto"/>
              </w:rPr>
            </w:pPr>
          </w:p>
        </w:tc>
        <w:tc>
          <w:tcPr>
            <w:tcW w:w="1480" w:type="dxa"/>
            <w:vAlign w:val="bottom"/>
            <w:tcBorders>
              <w:bottom w:val="single" w:sz="8" w:color="auto"/>
            </w:tcBorders>
            <w:gridSpan w:val="2"/>
          </w:tcPr>
          <w:p>
            <w:pPr>
              <w:jc w:val="right"/>
              <w:ind w:right="620"/>
              <w:spacing w:after="0" w:line="142" w:lineRule="exact"/>
              <w:rPr>
                <w:sz w:val="20"/>
                <w:szCs w:val="20"/>
                <w:color w:val="auto"/>
              </w:rPr>
            </w:pPr>
            <w:r>
              <w:rPr>
                <w:rFonts w:ascii="Arial" w:cs="Arial" w:eastAsia="Arial" w:hAnsi="Arial"/>
                <w:sz w:val="14"/>
                <w:szCs w:val="14"/>
                <w:b w:val="1"/>
                <w:bCs w:val="1"/>
                <w:color w:val="auto"/>
              </w:rPr>
              <w:t>Commercial</w:t>
            </w:r>
          </w:p>
        </w:tc>
        <w:tc>
          <w:tcPr>
            <w:tcW w:w="180" w:type="dxa"/>
            <w:vAlign w:val="bottom"/>
            <w:tcBorders>
              <w:bottom w:val="single" w:sz="8" w:color="auto"/>
            </w:tcBorders>
          </w:tcPr>
          <w:p>
            <w:pPr>
              <w:spacing w:after="0"/>
              <w:rPr>
                <w:sz w:val="12"/>
                <w:szCs w:val="12"/>
                <w:color w:val="auto"/>
              </w:rPr>
            </w:pPr>
          </w:p>
        </w:tc>
        <w:tc>
          <w:tcPr>
            <w:tcW w:w="1460" w:type="dxa"/>
            <w:vAlign w:val="bottom"/>
            <w:tcBorders>
              <w:bottom w:val="single" w:sz="8" w:color="auto"/>
            </w:tcBorders>
            <w:gridSpan w:val="2"/>
          </w:tcPr>
          <w:p>
            <w:pPr>
              <w:jc w:val="center"/>
              <w:ind w:right="460"/>
              <w:spacing w:after="0" w:line="142" w:lineRule="exact"/>
              <w:rPr>
                <w:sz w:val="20"/>
                <w:szCs w:val="20"/>
                <w:color w:val="auto"/>
              </w:rPr>
            </w:pPr>
            <w:r>
              <w:rPr>
                <w:rFonts w:ascii="Arial" w:cs="Arial" w:eastAsia="Arial" w:hAnsi="Arial"/>
                <w:sz w:val="14"/>
                <w:szCs w:val="14"/>
                <w:b w:val="1"/>
                <w:bCs w:val="1"/>
                <w:color w:val="auto"/>
                <w:w w:val="90"/>
              </w:rPr>
              <w:t>Residential</w:t>
            </w:r>
          </w:p>
        </w:tc>
        <w:tc>
          <w:tcPr>
            <w:tcW w:w="5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432"/>
              <w:spacing w:after="0" w:line="142" w:lineRule="exact"/>
              <w:rPr>
                <w:sz w:val="20"/>
                <w:szCs w:val="20"/>
                <w:color w:val="auto"/>
              </w:rPr>
            </w:pPr>
            <w:r>
              <w:rPr>
                <w:rFonts w:ascii="Arial" w:cs="Arial" w:eastAsia="Arial" w:hAnsi="Arial"/>
                <w:sz w:val="14"/>
                <w:szCs w:val="14"/>
                <w:b w:val="1"/>
                <w:bCs w:val="1"/>
                <w:color w:val="auto"/>
                <w:w w:val="95"/>
              </w:rPr>
              <w:t>Total</w:t>
            </w:r>
          </w:p>
        </w:tc>
        <w:tc>
          <w:tcPr>
            <w:tcW w:w="60" w:type="dxa"/>
            <w:vAlign w:val="bottom"/>
            <w:gridSpan w:val="2"/>
          </w:tcPr>
          <w:p>
            <w:pPr>
              <w:spacing w:after="0"/>
              <w:rPr>
                <w:sz w:val="12"/>
                <w:szCs w:val="12"/>
                <w:color w:val="auto"/>
              </w:rPr>
            </w:pPr>
          </w:p>
        </w:tc>
      </w:tr>
      <w:tr>
        <w:trPr>
          <w:trHeight w:val="124"/>
        </w:trPr>
        <w:tc>
          <w:tcPr>
            <w:tcW w:w="2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60" w:type="dxa"/>
            <w:vAlign w:val="bottom"/>
            <w:gridSpan w:val="2"/>
          </w:tcPr>
          <w:p>
            <w:pPr>
              <w:jc w:val="center"/>
              <w:ind w:right="520"/>
              <w:spacing w:after="0" w:line="124" w:lineRule="exact"/>
              <w:rPr>
                <w:sz w:val="20"/>
                <w:szCs w:val="20"/>
                <w:color w:val="auto"/>
              </w:rPr>
            </w:pPr>
            <w:r>
              <w:rPr>
                <w:rFonts w:ascii="Arial" w:cs="Arial" w:eastAsia="Arial" w:hAnsi="Arial"/>
                <w:sz w:val="14"/>
                <w:szCs w:val="14"/>
                <w:b w:val="1"/>
                <w:bCs w:val="1"/>
                <w:color w:val="auto"/>
                <w:w w:val="94"/>
              </w:rPr>
              <w:t>(in millions)</w:t>
            </w:r>
          </w:p>
        </w:tc>
        <w:tc>
          <w:tcPr>
            <w:tcW w:w="5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r>
      <w:tr>
        <w:trPr>
          <w:trHeight w:val="216"/>
        </w:trPr>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26.9</w:t>
            </w:r>
          </w:p>
        </w:tc>
        <w:tc>
          <w:tcPr>
            <w:tcW w:w="180" w:type="dxa"/>
            <w:vAlign w:val="bottom"/>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29.6</w:t>
            </w:r>
          </w:p>
        </w:tc>
        <w:tc>
          <w:tcPr>
            <w:tcW w:w="500" w:type="dxa"/>
            <w:vAlign w:val="bottom"/>
          </w:tcPr>
          <w:p>
            <w:pPr>
              <w:jc w:val="right"/>
              <w:ind w:right="310"/>
              <w:spacing w:after="0"/>
              <w:rPr>
                <w:sz w:val="20"/>
                <w:szCs w:val="20"/>
                <w:color w:val="auto"/>
              </w:rPr>
            </w:pPr>
            <w:r>
              <w:rPr>
                <w:rFonts w:ascii="Arial" w:cs="Arial" w:eastAsia="Arial" w:hAnsi="Arial"/>
                <w:sz w:val="18"/>
                <w:szCs w:val="18"/>
                <w:b w:val="1"/>
                <w:bCs w:val="1"/>
                <w:color w:val="auto"/>
                <w:w w:val="79"/>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56.5</w:t>
            </w:r>
          </w:p>
        </w:tc>
        <w:tc>
          <w:tcPr>
            <w:tcW w:w="40" w:type="dxa"/>
            <w:vAlign w:val="bottom"/>
          </w:tcPr>
          <w:p>
            <w:pPr>
              <w:spacing w:after="0"/>
              <w:rPr>
                <w:sz w:val="18"/>
                <w:szCs w:val="18"/>
                <w:color w:val="auto"/>
              </w:rPr>
            </w:pPr>
          </w:p>
        </w:tc>
      </w:tr>
      <w:tr>
        <w:trPr>
          <w:trHeight w:val="216"/>
        </w:trPr>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3.5</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1.5</w:t>
            </w:r>
          </w:p>
        </w:tc>
        <w:tc>
          <w:tcPr>
            <w:tcW w:w="5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5.0</w:t>
            </w:r>
          </w:p>
        </w:tc>
        <w:tc>
          <w:tcPr>
            <w:tcW w:w="40" w:type="dxa"/>
            <w:vAlign w:val="bottom"/>
          </w:tcPr>
          <w:p>
            <w:pPr>
              <w:spacing w:after="0"/>
              <w:rPr>
                <w:sz w:val="18"/>
                <w:szCs w:val="18"/>
                <w:color w:val="auto"/>
              </w:rPr>
            </w:pPr>
          </w:p>
        </w:tc>
      </w:tr>
      <w:tr>
        <w:trPr>
          <w:trHeight w:val="216"/>
        </w:trPr>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(7.5)</w:t>
            </w:r>
          </w:p>
        </w:tc>
        <w:tc>
          <w:tcPr>
            <w:tcW w:w="50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8"/>
                <w:szCs w:val="18"/>
                <w:b w:val="1"/>
                <w:bCs w:val="1"/>
                <w:color w:val="auto"/>
              </w:rPr>
              <w:t>(7.5)</w:t>
            </w:r>
          </w:p>
        </w:tc>
      </w:tr>
      <w:tr>
        <w:trPr>
          <w:trHeight w:val="216"/>
        </w:trPr>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0.1</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2.6</w:t>
            </w:r>
          </w:p>
        </w:tc>
        <w:tc>
          <w:tcPr>
            <w:tcW w:w="5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2.7</w:t>
            </w:r>
          </w:p>
        </w:tc>
        <w:tc>
          <w:tcPr>
            <w:tcW w:w="40" w:type="dxa"/>
            <w:vAlign w:val="bottom"/>
          </w:tcPr>
          <w:p>
            <w:pPr>
              <w:spacing w:after="0"/>
              <w:rPr>
                <w:sz w:val="18"/>
                <w:szCs w:val="18"/>
                <w:color w:val="auto"/>
              </w:rPr>
            </w:pPr>
          </w:p>
        </w:tc>
      </w:tr>
      <w:tr>
        <w:trPr>
          <w:trHeight w:val="234"/>
        </w:trPr>
        <w:tc>
          <w:tcPr>
            <w:tcW w:w="200" w:type="dxa"/>
            <w:vAlign w:val="bottom"/>
          </w:tcPr>
          <w:p>
            <w:pPr>
              <w:spacing w:after="0"/>
              <w:rPr>
                <w:sz w:val="20"/>
                <w:szCs w:val="20"/>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20"/>
                <w:szCs w:val="20"/>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(0.1)</w:t>
            </w:r>
          </w:p>
        </w:tc>
        <w:tc>
          <w:tcPr>
            <w:tcW w:w="500" w:type="dxa"/>
            <w:vAlign w:val="bottom"/>
          </w:tcPr>
          <w:p>
            <w:pPr>
              <w:spacing w:after="0"/>
              <w:rPr>
                <w:sz w:val="20"/>
                <w:szCs w:val="20"/>
                <w:color w:val="auto"/>
              </w:rPr>
            </w:pPr>
          </w:p>
        </w:tc>
        <w:tc>
          <w:tcPr>
            <w:tcW w:w="920" w:type="dxa"/>
            <w:vAlign w:val="bottom"/>
            <w:gridSpan w:val="3"/>
          </w:tcPr>
          <w:p>
            <w:pPr>
              <w:jc w:val="right"/>
              <w:spacing w:after="0"/>
              <w:rPr>
                <w:sz w:val="20"/>
                <w:szCs w:val="20"/>
                <w:color w:val="auto"/>
              </w:rPr>
            </w:pPr>
            <w:r>
              <w:rPr>
                <w:rFonts w:ascii="Arial" w:cs="Arial" w:eastAsia="Arial" w:hAnsi="Arial"/>
                <w:sz w:val="18"/>
                <w:szCs w:val="18"/>
                <w:b w:val="1"/>
                <w:bCs w:val="1"/>
                <w:color w:val="auto"/>
              </w:rPr>
              <w:t>(0.1)</w:t>
            </w:r>
          </w:p>
        </w:tc>
      </w:tr>
      <w:tr>
        <w:trPr>
          <w:trHeight w:val="210"/>
        </w:trPr>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30.5</w:t>
            </w:r>
          </w:p>
        </w:tc>
        <w:tc>
          <w:tcPr>
            <w:tcW w:w="3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26.1</w:t>
            </w:r>
          </w:p>
        </w:tc>
        <w:tc>
          <w:tcPr>
            <w:tcW w:w="280" w:type="dxa"/>
            <w:vAlign w:val="bottom"/>
          </w:tcPr>
          <w:p>
            <w:pPr>
              <w:spacing w:after="0"/>
              <w:rPr>
                <w:sz w:val="18"/>
                <w:szCs w:val="18"/>
                <w:color w:val="auto"/>
              </w:rPr>
            </w:pPr>
          </w:p>
        </w:tc>
        <w:tc>
          <w:tcPr>
            <w:tcW w:w="5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b w:val="1"/>
                <w:bCs w:val="1"/>
                <w:color w:val="auto"/>
              </w:rPr>
              <w:t>56.6</w:t>
            </w:r>
          </w:p>
        </w:tc>
        <w:tc>
          <w:tcPr>
            <w:tcW w:w="40" w:type="dxa"/>
            <w:vAlign w:val="bottom"/>
          </w:tcPr>
          <w:p>
            <w:pPr>
              <w:spacing w:after="0"/>
              <w:rPr>
                <w:sz w:val="18"/>
                <w:szCs w:val="18"/>
                <w:color w:val="auto"/>
              </w:rPr>
            </w:pPr>
          </w:p>
        </w:tc>
      </w:tr>
      <w:tr>
        <w:trPr>
          <w:trHeight w:val="20"/>
        </w:trPr>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67"/>
        </w:trPr>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3.5</w:t>
            </w:r>
          </w:p>
        </w:tc>
        <w:tc>
          <w:tcPr>
            <w:tcW w:w="180" w:type="dxa"/>
            <w:vAlign w:val="bottom"/>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8.0</w:t>
            </w:r>
          </w:p>
        </w:tc>
        <w:tc>
          <w:tcPr>
            <w:tcW w:w="500" w:type="dxa"/>
            <w:vAlign w:val="bottom"/>
          </w:tcPr>
          <w:p>
            <w:pPr>
              <w:jc w:val="right"/>
              <w:ind w:right="310"/>
              <w:spacing w:after="0"/>
              <w:rPr>
                <w:sz w:val="20"/>
                <w:szCs w:val="20"/>
                <w:color w:val="auto"/>
              </w:rPr>
            </w:pPr>
            <w:r>
              <w:rPr>
                <w:rFonts w:ascii="Arial" w:cs="Arial" w:eastAsia="Arial" w:hAnsi="Arial"/>
                <w:sz w:val="18"/>
                <w:szCs w:val="18"/>
                <w:b w:val="1"/>
                <w:bCs w:val="1"/>
                <w:color w:val="auto"/>
                <w:w w:val="79"/>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11.5</w:t>
            </w:r>
          </w:p>
        </w:tc>
        <w:tc>
          <w:tcPr>
            <w:tcW w:w="40" w:type="dxa"/>
            <w:vAlign w:val="bottom"/>
          </w:tcPr>
          <w:p>
            <w:pPr>
              <w:spacing w:after="0"/>
              <w:rPr>
                <w:sz w:val="24"/>
                <w:szCs w:val="24"/>
                <w:color w:val="auto"/>
              </w:rPr>
            </w:pPr>
          </w:p>
        </w:tc>
      </w:tr>
      <w:tr>
        <w:trPr>
          <w:trHeight w:val="234"/>
        </w:trPr>
        <w:tc>
          <w:tcPr>
            <w:tcW w:w="200" w:type="dxa"/>
            <w:vAlign w:val="bottom"/>
          </w:tcPr>
          <w:p>
            <w:pPr>
              <w:spacing w:after="0"/>
              <w:rPr>
                <w:sz w:val="20"/>
                <w:szCs w:val="20"/>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27.0</w:t>
            </w:r>
          </w:p>
        </w:tc>
        <w:tc>
          <w:tcPr>
            <w:tcW w:w="180" w:type="dxa"/>
            <w:vAlign w:val="bottom"/>
          </w:tcPr>
          <w:p>
            <w:pPr>
              <w:spacing w:after="0"/>
              <w:rPr>
                <w:sz w:val="20"/>
                <w:szCs w:val="20"/>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18.1</w:t>
            </w:r>
          </w:p>
        </w:tc>
        <w:tc>
          <w:tcPr>
            <w:tcW w:w="500" w:type="dxa"/>
            <w:vAlign w:val="bottom"/>
          </w:tcPr>
          <w:p>
            <w:pPr>
              <w:spacing w:after="0"/>
              <w:rPr>
                <w:sz w:val="20"/>
                <w:szCs w:val="20"/>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45.1</w:t>
            </w:r>
          </w:p>
        </w:tc>
        <w:tc>
          <w:tcPr>
            <w:tcW w:w="40" w:type="dxa"/>
            <w:vAlign w:val="bottom"/>
          </w:tcPr>
          <w:p>
            <w:pPr>
              <w:spacing w:after="0"/>
              <w:rPr>
                <w:sz w:val="20"/>
                <w:szCs w:val="20"/>
                <w:color w:val="auto"/>
              </w:rPr>
            </w:pPr>
          </w:p>
        </w:tc>
      </w:tr>
      <w:tr>
        <w:trPr>
          <w:trHeight w:val="210"/>
        </w:trPr>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30.5</w:t>
            </w:r>
          </w:p>
        </w:tc>
        <w:tc>
          <w:tcPr>
            <w:tcW w:w="3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26.1</w:t>
            </w:r>
          </w:p>
        </w:tc>
        <w:tc>
          <w:tcPr>
            <w:tcW w:w="280" w:type="dxa"/>
            <w:vAlign w:val="bottom"/>
          </w:tcPr>
          <w:p>
            <w:pPr>
              <w:spacing w:after="0"/>
              <w:rPr>
                <w:sz w:val="18"/>
                <w:szCs w:val="18"/>
                <w:color w:val="auto"/>
              </w:rPr>
            </w:pPr>
          </w:p>
        </w:tc>
        <w:tc>
          <w:tcPr>
            <w:tcW w:w="5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b w:val="1"/>
                <w:bCs w:val="1"/>
                <w:color w:val="auto"/>
              </w:rPr>
              <w:t>56.6</w:t>
            </w:r>
          </w:p>
        </w:tc>
        <w:tc>
          <w:tcPr>
            <w:tcW w:w="40" w:type="dxa"/>
            <w:vAlign w:val="bottom"/>
          </w:tcPr>
          <w:p>
            <w:pPr>
              <w:spacing w:after="0"/>
              <w:rPr>
                <w:sz w:val="18"/>
                <w:szCs w:val="18"/>
                <w:color w:val="auto"/>
              </w:rPr>
            </w:pPr>
          </w:p>
        </w:tc>
      </w:tr>
      <w:tr>
        <w:trPr>
          <w:trHeight w:val="20"/>
        </w:trPr>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67"/>
        </w:trPr>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4.4</w:t>
            </w:r>
          </w:p>
        </w:tc>
        <w:tc>
          <w:tcPr>
            <w:tcW w:w="180" w:type="dxa"/>
            <w:vAlign w:val="bottom"/>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24.7</w:t>
            </w:r>
          </w:p>
        </w:tc>
        <w:tc>
          <w:tcPr>
            <w:tcW w:w="500" w:type="dxa"/>
            <w:vAlign w:val="bottom"/>
          </w:tcPr>
          <w:p>
            <w:pPr>
              <w:jc w:val="right"/>
              <w:ind w:right="310"/>
              <w:spacing w:after="0"/>
              <w:rPr>
                <w:sz w:val="20"/>
                <w:szCs w:val="20"/>
                <w:color w:val="auto"/>
              </w:rPr>
            </w:pPr>
            <w:r>
              <w:rPr>
                <w:rFonts w:ascii="Arial" w:cs="Arial" w:eastAsia="Arial" w:hAnsi="Arial"/>
                <w:sz w:val="18"/>
                <w:szCs w:val="18"/>
                <w:b w:val="1"/>
                <w:bCs w:val="1"/>
                <w:color w:val="auto"/>
                <w:w w:val="79"/>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29.1</w:t>
            </w:r>
          </w:p>
        </w:tc>
        <w:tc>
          <w:tcPr>
            <w:tcW w:w="40" w:type="dxa"/>
            <w:vAlign w:val="bottom"/>
          </w:tcPr>
          <w:p>
            <w:pPr>
              <w:spacing w:after="0"/>
              <w:rPr>
                <w:sz w:val="24"/>
                <w:szCs w:val="24"/>
                <w:color w:val="auto"/>
              </w:rPr>
            </w:pPr>
          </w:p>
        </w:tc>
      </w:tr>
      <w:tr>
        <w:trPr>
          <w:trHeight w:val="234"/>
        </w:trPr>
        <w:tc>
          <w:tcPr>
            <w:tcW w:w="200" w:type="dxa"/>
            <w:vAlign w:val="bottom"/>
          </w:tcPr>
          <w:p>
            <w:pPr>
              <w:spacing w:after="0"/>
              <w:rPr>
                <w:sz w:val="20"/>
                <w:szCs w:val="20"/>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11,175.4</w:t>
            </w:r>
          </w:p>
        </w:tc>
        <w:tc>
          <w:tcPr>
            <w:tcW w:w="180" w:type="dxa"/>
            <w:vAlign w:val="bottom"/>
          </w:tcPr>
          <w:p>
            <w:pPr>
              <w:spacing w:after="0"/>
              <w:rPr>
                <w:sz w:val="20"/>
                <w:szCs w:val="20"/>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1,084.2</w:t>
            </w:r>
          </w:p>
        </w:tc>
        <w:tc>
          <w:tcPr>
            <w:tcW w:w="500" w:type="dxa"/>
            <w:vAlign w:val="bottom"/>
          </w:tcPr>
          <w:p>
            <w:pPr>
              <w:spacing w:after="0"/>
              <w:rPr>
                <w:sz w:val="20"/>
                <w:szCs w:val="20"/>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12,259.6</w:t>
            </w:r>
          </w:p>
        </w:tc>
        <w:tc>
          <w:tcPr>
            <w:tcW w:w="40" w:type="dxa"/>
            <w:vAlign w:val="bottom"/>
          </w:tcPr>
          <w:p>
            <w:pPr>
              <w:spacing w:after="0"/>
              <w:rPr>
                <w:sz w:val="20"/>
                <w:szCs w:val="20"/>
                <w:color w:val="auto"/>
              </w:rPr>
            </w:pPr>
          </w:p>
        </w:tc>
      </w:tr>
      <w:tr>
        <w:trPr>
          <w:trHeight w:val="210"/>
        </w:trPr>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11,179.8</w:t>
            </w:r>
          </w:p>
        </w:tc>
        <w:tc>
          <w:tcPr>
            <w:tcW w:w="3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1,108.9</w:t>
            </w:r>
          </w:p>
        </w:tc>
        <w:tc>
          <w:tcPr>
            <w:tcW w:w="280" w:type="dxa"/>
            <w:vAlign w:val="bottom"/>
          </w:tcPr>
          <w:p>
            <w:pPr>
              <w:spacing w:after="0"/>
              <w:rPr>
                <w:sz w:val="18"/>
                <w:szCs w:val="18"/>
                <w:color w:val="auto"/>
              </w:rPr>
            </w:pPr>
          </w:p>
        </w:tc>
        <w:tc>
          <w:tcPr>
            <w:tcW w:w="5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12,288.7</w:t>
            </w:r>
          </w:p>
        </w:tc>
        <w:tc>
          <w:tcPr>
            <w:tcW w:w="2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0"/>
        </w:trPr>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45"/>
        </w:trPr>
        <w:tc>
          <w:tcPr>
            <w:tcW w:w="200" w:type="dxa"/>
            <w:vAlign w:val="bottom"/>
            <w:tcBorders>
              <w:bottom w:val="single" w:sz="8" w:color="auto"/>
            </w:tcBorders>
          </w:tcPr>
          <w:p>
            <w:pPr>
              <w:spacing w:after="0"/>
              <w:rPr>
                <w:sz w:val="24"/>
                <w:szCs w:val="24"/>
                <w:color w:val="auto"/>
              </w:rPr>
            </w:pPr>
          </w:p>
        </w:tc>
        <w:tc>
          <w:tcPr>
            <w:tcW w:w="3620" w:type="dxa"/>
            <w:vAlign w:val="bottom"/>
            <w:tcBorders>
              <w:bottom w:val="single" w:sz="8" w:color="auto"/>
            </w:tcBorders>
            <w:gridSpan w:val="6"/>
          </w:tcPr>
          <w:p>
            <w:pPr>
              <w:jc w:val="center"/>
              <w:ind w:left="554"/>
              <w:spacing w:after="0"/>
              <w:rPr>
                <w:sz w:val="20"/>
                <w:szCs w:val="20"/>
                <w:color w:val="auto"/>
              </w:rPr>
            </w:pPr>
            <w:r>
              <w:rPr>
                <w:rFonts w:ascii="Arial" w:cs="Arial" w:eastAsia="Arial" w:hAnsi="Arial"/>
                <w:sz w:val="14"/>
                <w:szCs w:val="14"/>
                <w:b w:val="1"/>
                <w:bCs w:val="1"/>
                <w:color w:val="auto"/>
                <w:w w:val="91"/>
              </w:rPr>
              <w:t>For the three months ended September 30, 2014</w:t>
            </w:r>
          </w:p>
        </w:tc>
        <w:tc>
          <w:tcPr>
            <w:tcW w:w="8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42"/>
        </w:trPr>
        <w:tc>
          <w:tcPr>
            <w:tcW w:w="200" w:type="dxa"/>
            <w:vAlign w:val="bottom"/>
            <w:tcBorders>
              <w:bottom w:val="single" w:sz="8" w:color="auto"/>
            </w:tcBorders>
          </w:tcPr>
          <w:p>
            <w:pPr>
              <w:spacing w:after="0"/>
              <w:rPr>
                <w:sz w:val="12"/>
                <w:szCs w:val="12"/>
                <w:color w:val="auto"/>
              </w:rPr>
            </w:pPr>
          </w:p>
        </w:tc>
        <w:tc>
          <w:tcPr>
            <w:tcW w:w="1480" w:type="dxa"/>
            <w:vAlign w:val="bottom"/>
            <w:tcBorders>
              <w:bottom w:val="single" w:sz="8" w:color="auto"/>
            </w:tcBorders>
            <w:gridSpan w:val="2"/>
          </w:tcPr>
          <w:p>
            <w:pPr>
              <w:jc w:val="right"/>
              <w:ind w:right="620"/>
              <w:spacing w:after="0" w:line="142" w:lineRule="exact"/>
              <w:rPr>
                <w:sz w:val="20"/>
                <w:szCs w:val="20"/>
                <w:color w:val="auto"/>
              </w:rPr>
            </w:pPr>
            <w:r>
              <w:rPr>
                <w:rFonts w:ascii="Arial" w:cs="Arial" w:eastAsia="Arial" w:hAnsi="Arial"/>
                <w:sz w:val="14"/>
                <w:szCs w:val="14"/>
                <w:b w:val="1"/>
                <w:bCs w:val="1"/>
                <w:color w:val="auto"/>
              </w:rPr>
              <w:t>Commercial</w:t>
            </w:r>
          </w:p>
        </w:tc>
        <w:tc>
          <w:tcPr>
            <w:tcW w:w="180" w:type="dxa"/>
            <w:vAlign w:val="bottom"/>
            <w:tcBorders>
              <w:bottom w:val="single" w:sz="8" w:color="auto"/>
            </w:tcBorders>
          </w:tcPr>
          <w:p>
            <w:pPr>
              <w:spacing w:after="0"/>
              <w:rPr>
                <w:sz w:val="12"/>
                <w:szCs w:val="12"/>
                <w:color w:val="auto"/>
              </w:rPr>
            </w:pPr>
          </w:p>
        </w:tc>
        <w:tc>
          <w:tcPr>
            <w:tcW w:w="1460" w:type="dxa"/>
            <w:vAlign w:val="bottom"/>
            <w:tcBorders>
              <w:bottom w:val="single" w:sz="8" w:color="auto"/>
            </w:tcBorders>
            <w:gridSpan w:val="2"/>
          </w:tcPr>
          <w:p>
            <w:pPr>
              <w:jc w:val="center"/>
              <w:ind w:right="460"/>
              <w:spacing w:after="0" w:line="142" w:lineRule="exact"/>
              <w:rPr>
                <w:sz w:val="20"/>
                <w:szCs w:val="20"/>
                <w:color w:val="auto"/>
              </w:rPr>
            </w:pPr>
            <w:r>
              <w:rPr>
                <w:rFonts w:ascii="Arial" w:cs="Arial" w:eastAsia="Arial" w:hAnsi="Arial"/>
                <w:sz w:val="14"/>
                <w:szCs w:val="14"/>
                <w:b w:val="1"/>
                <w:bCs w:val="1"/>
                <w:color w:val="auto"/>
                <w:w w:val="90"/>
              </w:rPr>
              <w:t>Residential</w:t>
            </w:r>
          </w:p>
        </w:tc>
        <w:tc>
          <w:tcPr>
            <w:tcW w:w="5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432"/>
              <w:spacing w:after="0" w:line="142" w:lineRule="exact"/>
              <w:rPr>
                <w:sz w:val="20"/>
                <w:szCs w:val="20"/>
                <w:color w:val="auto"/>
              </w:rPr>
            </w:pPr>
            <w:r>
              <w:rPr>
                <w:rFonts w:ascii="Arial" w:cs="Arial" w:eastAsia="Arial" w:hAnsi="Arial"/>
                <w:sz w:val="14"/>
                <w:szCs w:val="14"/>
                <w:b w:val="1"/>
                <w:bCs w:val="1"/>
                <w:color w:val="auto"/>
                <w:w w:val="95"/>
              </w:rPr>
              <w:t>Total</w:t>
            </w:r>
          </w:p>
        </w:tc>
        <w:tc>
          <w:tcPr>
            <w:tcW w:w="60" w:type="dxa"/>
            <w:vAlign w:val="bottom"/>
            <w:gridSpan w:val="2"/>
          </w:tcPr>
          <w:p>
            <w:pPr>
              <w:spacing w:after="0"/>
              <w:rPr>
                <w:sz w:val="12"/>
                <w:szCs w:val="12"/>
                <w:color w:val="auto"/>
              </w:rPr>
            </w:pPr>
          </w:p>
        </w:tc>
      </w:tr>
      <w:tr>
        <w:trPr>
          <w:trHeight w:val="128"/>
        </w:trPr>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gridSpan w:val="2"/>
          </w:tcPr>
          <w:p>
            <w:pPr>
              <w:jc w:val="center"/>
              <w:ind w:right="520"/>
              <w:spacing w:after="0" w:line="128" w:lineRule="exact"/>
              <w:rPr>
                <w:sz w:val="20"/>
                <w:szCs w:val="20"/>
                <w:color w:val="auto"/>
              </w:rPr>
            </w:pPr>
            <w:r>
              <w:rPr>
                <w:rFonts w:ascii="Arial" w:cs="Arial" w:eastAsia="Arial" w:hAnsi="Arial"/>
                <w:sz w:val="14"/>
                <w:szCs w:val="14"/>
                <w:b w:val="1"/>
                <w:bCs w:val="1"/>
                <w:color w:val="auto"/>
                <w:w w:val="94"/>
              </w:rPr>
              <w:t>(in millions)</w:t>
            </w:r>
          </w:p>
        </w:tc>
        <w:tc>
          <w:tcPr>
            <w:tcW w:w="5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216"/>
        </w:trPr>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26.4</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38.5</w:t>
            </w: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64.9</w:t>
            </w:r>
          </w:p>
        </w:tc>
        <w:tc>
          <w:tcPr>
            <w:tcW w:w="40" w:type="dxa"/>
            <w:vAlign w:val="bottom"/>
          </w:tcPr>
          <w:p>
            <w:pPr>
              <w:spacing w:after="0"/>
              <w:rPr>
                <w:sz w:val="18"/>
                <w:szCs w:val="18"/>
                <w:color w:val="auto"/>
              </w:rPr>
            </w:pPr>
          </w:p>
        </w:tc>
      </w:tr>
      <w:tr>
        <w:trPr>
          <w:trHeight w:val="216"/>
        </w:trPr>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1.4</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6.5</w:t>
            </w:r>
          </w:p>
        </w:tc>
        <w:tc>
          <w:tcPr>
            <w:tcW w:w="5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7.9</w:t>
            </w:r>
          </w:p>
        </w:tc>
        <w:tc>
          <w:tcPr>
            <w:tcW w:w="40" w:type="dxa"/>
            <w:vAlign w:val="bottom"/>
          </w:tcPr>
          <w:p>
            <w:pPr>
              <w:spacing w:after="0"/>
              <w:rPr>
                <w:sz w:val="18"/>
                <w:szCs w:val="18"/>
                <w:color w:val="auto"/>
              </w:rPr>
            </w:pPr>
          </w:p>
        </w:tc>
      </w:tr>
      <w:tr>
        <w:trPr>
          <w:trHeight w:val="216"/>
        </w:trPr>
        <w:tc>
          <w:tcPr>
            <w:tcW w:w="200" w:type="dxa"/>
            <w:vAlign w:val="bottom"/>
          </w:tcPr>
          <w:p>
            <w:pPr>
              <w:spacing w:after="0"/>
              <w:rPr>
                <w:sz w:val="18"/>
                <w:szCs w:val="18"/>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color w:val="auto"/>
              </w:rPr>
              <w:t>(15.1)</w:t>
            </w:r>
          </w:p>
        </w:tc>
        <w:tc>
          <w:tcPr>
            <w:tcW w:w="50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(15.1)</w:t>
            </w:r>
          </w:p>
        </w:tc>
      </w:tr>
      <w:tr>
        <w:trPr>
          <w:trHeight w:val="230"/>
        </w:trPr>
        <w:tc>
          <w:tcPr>
            <w:tcW w:w="200" w:type="dxa"/>
            <w:vAlign w:val="bottom"/>
          </w:tcPr>
          <w:p>
            <w:pPr>
              <w:spacing w:after="0"/>
              <w:rPr>
                <w:sz w:val="20"/>
                <w:szCs w:val="20"/>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0.3</w:t>
            </w:r>
          </w:p>
        </w:tc>
        <w:tc>
          <w:tcPr>
            <w:tcW w:w="500" w:type="dxa"/>
            <w:vAlign w:val="bottom"/>
          </w:tcPr>
          <w:p>
            <w:pPr>
              <w:spacing w:after="0"/>
              <w:rPr>
                <w:sz w:val="20"/>
                <w:szCs w:val="20"/>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0.3</w:t>
            </w:r>
          </w:p>
        </w:tc>
        <w:tc>
          <w:tcPr>
            <w:tcW w:w="40" w:type="dxa"/>
            <w:vAlign w:val="bottom"/>
          </w:tcPr>
          <w:p>
            <w:pPr>
              <w:spacing w:after="0"/>
              <w:rPr>
                <w:sz w:val="20"/>
                <w:szCs w:val="20"/>
                <w:color w:val="auto"/>
              </w:rPr>
            </w:pPr>
          </w:p>
        </w:tc>
      </w:tr>
      <w:tr>
        <w:trPr>
          <w:trHeight w:val="210"/>
        </w:trPr>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27.8</w:t>
            </w:r>
          </w:p>
        </w:tc>
        <w:tc>
          <w:tcPr>
            <w:tcW w:w="3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30.2</w:t>
            </w:r>
          </w:p>
        </w:tc>
        <w:tc>
          <w:tcPr>
            <w:tcW w:w="280" w:type="dxa"/>
            <w:vAlign w:val="bottom"/>
          </w:tcPr>
          <w:p>
            <w:pPr>
              <w:spacing w:after="0"/>
              <w:rPr>
                <w:sz w:val="18"/>
                <w:szCs w:val="18"/>
                <w:color w:val="auto"/>
              </w:rPr>
            </w:pPr>
          </w:p>
        </w:tc>
        <w:tc>
          <w:tcPr>
            <w:tcW w:w="5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58.0</w:t>
            </w:r>
          </w:p>
        </w:tc>
        <w:tc>
          <w:tcPr>
            <w:tcW w:w="2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20"/>
        </w:trPr>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45"/>
        </w:trPr>
        <w:tc>
          <w:tcPr>
            <w:tcW w:w="200" w:type="dxa"/>
            <w:vAlign w:val="bottom"/>
            <w:tcBorders>
              <w:bottom w:val="single" w:sz="8" w:color="auto"/>
            </w:tcBorders>
          </w:tcPr>
          <w:p>
            <w:pPr>
              <w:spacing w:after="0"/>
              <w:rPr>
                <w:sz w:val="24"/>
                <w:szCs w:val="24"/>
                <w:color w:val="auto"/>
              </w:rPr>
            </w:pPr>
          </w:p>
        </w:tc>
        <w:tc>
          <w:tcPr>
            <w:tcW w:w="3620" w:type="dxa"/>
            <w:vAlign w:val="bottom"/>
            <w:tcBorders>
              <w:bottom w:val="single" w:sz="8" w:color="auto"/>
            </w:tcBorders>
            <w:gridSpan w:val="6"/>
          </w:tcPr>
          <w:p>
            <w:pPr>
              <w:jc w:val="center"/>
              <w:ind w:left="574"/>
              <w:spacing w:after="0"/>
              <w:rPr>
                <w:sz w:val="20"/>
                <w:szCs w:val="20"/>
                <w:color w:val="auto"/>
              </w:rPr>
            </w:pPr>
            <w:r>
              <w:rPr>
                <w:rFonts w:ascii="Arial" w:cs="Arial" w:eastAsia="Arial" w:hAnsi="Arial"/>
                <w:sz w:val="14"/>
                <w:szCs w:val="14"/>
                <w:b w:val="1"/>
                <w:bCs w:val="1"/>
                <w:color w:val="auto"/>
                <w:w w:val="91"/>
              </w:rPr>
              <w:t>For the nine months ended September 30, 2014</w:t>
            </w:r>
          </w:p>
        </w:tc>
        <w:tc>
          <w:tcPr>
            <w:tcW w:w="8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42"/>
        </w:trPr>
        <w:tc>
          <w:tcPr>
            <w:tcW w:w="200" w:type="dxa"/>
            <w:vAlign w:val="bottom"/>
            <w:tcBorders>
              <w:bottom w:val="single" w:sz="8" w:color="auto"/>
            </w:tcBorders>
          </w:tcPr>
          <w:p>
            <w:pPr>
              <w:spacing w:after="0"/>
              <w:rPr>
                <w:sz w:val="12"/>
                <w:szCs w:val="12"/>
                <w:color w:val="auto"/>
              </w:rPr>
            </w:pPr>
          </w:p>
        </w:tc>
        <w:tc>
          <w:tcPr>
            <w:tcW w:w="1480" w:type="dxa"/>
            <w:vAlign w:val="bottom"/>
            <w:tcBorders>
              <w:bottom w:val="single" w:sz="8" w:color="auto"/>
            </w:tcBorders>
            <w:gridSpan w:val="2"/>
          </w:tcPr>
          <w:p>
            <w:pPr>
              <w:jc w:val="right"/>
              <w:ind w:right="620"/>
              <w:spacing w:after="0" w:line="142" w:lineRule="exact"/>
              <w:rPr>
                <w:sz w:val="20"/>
                <w:szCs w:val="20"/>
                <w:color w:val="auto"/>
              </w:rPr>
            </w:pPr>
            <w:r>
              <w:rPr>
                <w:rFonts w:ascii="Arial" w:cs="Arial" w:eastAsia="Arial" w:hAnsi="Arial"/>
                <w:sz w:val="14"/>
                <w:szCs w:val="14"/>
                <w:b w:val="1"/>
                <w:bCs w:val="1"/>
                <w:color w:val="auto"/>
              </w:rPr>
              <w:t>Commercial</w:t>
            </w:r>
          </w:p>
        </w:tc>
        <w:tc>
          <w:tcPr>
            <w:tcW w:w="180" w:type="dxa"/>
            <w:vAlign w:val="bottom"/>
            <w:tcBorders>
              <w:bottom w:val="single" w:sz="8" w:color="auto"/>
            </w:tcBorders>
          </w:tcPr>
          <w:p>
            <w:pPr>
              <w:spacing w:after="0"/>
              <w:rPr>
                <w:sz w:val="12"/>
                <w:szCs w:val="12"/>
                <w:color w:val="auto"/>
              </w:rPr>
            </w:pPr>
          </w:p>
        </w:tc>
        <w:tc>
          <w:tcPr>
            <w:tcW w:w="1460" w:type="dxa"/>
            <w:vAlign w:val="bottom"/>
            <w:tcBorders>
              <w:bottom w:val="single" w:sz="8" w:color="auto"/>
            </w:tcBorders>
            <w:gridSpan w:val="2"/>
          </w:tcPr>
          <w:p>
            <w:pPr>
              <w:jc w:val="center"/>
              <w:ind w:right="460"/>
              <w:spacing w:after="0" w:line="142" w:lineRule="exact"/>
              <w:rPr>
                <w:sz w:val="20"/>
                <w:szCs w:val="20"/>
                <w:color w:val="auto"/>
              </w:rPr>
            </w:pPr>
            <w:r>
              <w:rPr>
                <w:rFonts w:ascii="Arial" w:cs="Arial" w:eastAsia="Arial" w:hAnsi="Arial"/>
                <w:sz w:val="14"/>
                <w:szCs w:val="14"/>
                <w:b w:val="1"/>
                <w:bCs w:val="1"/>
                <w:color w:val="auto"/>
                <w:w w:val="90"/>
              </w:rPr>
              <w:t>Residential</w:t>
            </w:r>
          </w:p>
        </w:tc>
        <w:tc>
          <w:tcPr>
            <w:tcW w:w="5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432"/>
              <w:spacing w:after="0" w:line="142" w:lineRule="exact"/>
              <w:rPr>
                <w:sz w:val="20"/>
                <w:szCs w:val="20"/>
                <w:color w:val="auto"/>
              </w:rPr>
            </w:pPr>
            <w:r>
              <w:rPr>
                <w:rFonts w:ascii="Arial" w:cs="Arial" w:eastAsia="Arial" w:hAnsi="Arial"/>
                <w:sz w:val="14"/>
                <w:szCs w:val="14"/>
                <w:b w:val="1"/>
                <w:bCs w:val="1"/>
                <w:color w:val="auto"/>
                <w:w w:val="95"/>
              </w:rPr>
              <w:t>Total</w:t>
            </w:r>
          </w:p>
        </w:tc>
        <w:tc>
          <w:tcPr>
            <w:tcW w:w="60" w:type="dxa"/>
            <w:vAlign w:val="bottom"/>
            <w:gridSpan w:val="2"/>
          </w:tcPr>
          <w:p>
            <w:pPr>
              <w:spacing w:after="0"/>
              <w:rPr>
                <w:sz w:val="12"/>
                <w:szCs w:val="12"/>
                <w:color w:val="auto"/>
              </w:rPr>
            </w:pPr>
          </w:p>
        </w:tc>
      </w:tr>
      <w:tr>
        <w:trPr>
          <w:trHeight w:val="128"/>
        </w:trPr>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gridSpan w:val="2"/>
          </w:tcPr>
          <w:p>
            <w:pPr>
              <w:jc w:val="center"/>
              <w:ind w:right="520"/>
              <w:spacing w:after="0" w:line="128" w:lineRule="exact"/>
              <w:rPr>
                <w:sz w:val="20"/>
                <w:szCs w:val="20"/>
                <w:color w:val="auto"/>
              </w:rPr>
            </w:pPr>
            <w:r>
              <w:rPr>
                <w:rFonts w:ascii="Arial" w:cs="Arial" w:eastAsia="Arial" w:hAnsi="Arial"/>
                <w:sz w:val="14"/>
                <w:szCs w:val="14"/>
                <w:b w:val="1"/>
                <w:bCs w:val="1"/>
                <w:color w:val="auto"/>
                <w:w w:val="94"/>
              </w:rPr>
              <w:t>(in millions)</w:t>
            </w:r>
          </w:p>
        </w:tc>
        <w:tc>
          <w:tcPr>
            <w:tcW w:w="5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216"/>
        </w:trPr>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28.7</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41.1</w:t>
            </w: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69.8</w:t>
            </w:r>
          </w:p>
        </w:tc>
        <w:tc>
          <w:tcPr>
            <w:tcW w:w="40" w:type="dxa"/>
            <w:vAlign w:val="bottom"/>
          </w:tcPr>
          <w:p>
            <w:pPr>
              <w:spacing w:after="0"/>
              <w:rPr>
                <w:sz w:val="18"/>
                <w:szCs w:val="18"/>
                <w:color w:val="auto"/>
              </w:rPr>
            </w:pPr>
          </w:p>
        </w:tc>
      </w:tr>
      <w:tr>
        <w:trPr>
          <w:trHeight w:val="216"/>
        </w:trPr>
        <w:tc>
          <w:tcPr>
            <w:tcW w:w="200" w:type="dxa"/>
            <w:vAlign w:val="bottom"/>
          </w:tcPr>
          <w:p>
            <w:pPr>
              <w:spacing w:after="0"/>
              <w:rPr>
                <w:sz w:val="18"/>
                <w:szCs w:val="18"/>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(0.6)</w:t>
            </w: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7.3</w:t>
            </w:r>
          </w:p>
        </w:tc>
        <w:tc>
          <w:tcPr>
            <w:tcW w:w="5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6.7</w:t>
            </w:r>
          </w:p>
        </w:tc>
        <w:tc>
          <w:tcPr>
            <w:tcW w:w="40" w:type="dxa"/>
            <w:vAlign w:val="bottom"/>
          </w:tcPr>
          <w:p>
            <w:pPr>
              <w:spacing w:after="0"/>
              <w:rPr>
                <w:sz w:val="18"/>
                <w:szCs w:val="18"/>
                <w:color w:val="auto"/>
              </w:rPr>
            </w:pPr>
          </w:p>
        </w:tc>
      </w:tr>
      <w:tr>
        <w:trPr>
          <w:trHeight w:val="230"/>
        </w:trPr>
        <w:tc>
          <w:tcPr>
            <w:tcW w:w="200" w:type="dxa"/>
            <w:vAlign w:val="bottom"/>
          </w:tcPr>
          <w:p>
            <w:pPr>
              <w:spacing w:after="0"/>
              <w:rPr>
                <w:sz w:val="20"/>
                <w:szCs w:val="20"/>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(0.3)</w:t>
            </w:r>
          </w:p>
        </w:tc>
        <w:tc>
          <w:tcPr>
            <w:tcW w:w="180" w:type="dxa"/>
            <w:vAlign w:val="bottom"/>
          </w:tcPr>
          <w:p>
            <w:pPr>
              <w:spacing w:after="0"/>
              <w:rPr>
                <w:sz w:val="20"/>
                <w:szCs w:val="20"/>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color w:val="auto"/>
              </w:rPr>
              <w:t>(20.8)</w:t>
            </w:r>
          </w:p>
        </w:tc>
        <w:tc>
          <w:tcPr>
            <w:tcW w:w="500" w:type="dxa"/>
            <w:vAlign w:val="bottom"/>
          </w:tcPr>
          <w:p>
            <w:pPr>
              <w:spacing w:after="0"/>
              <w:rPr>
                <w:sz w:val="20"/>
                <w:szCs w:val="20"/>
                <w:color w:val="auto"/>
              </w:rPr>
            </w:pP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(21.1)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-4210685</wp:posOffset>
            </wp:positionH>
            <wp:positionV relativeFrom="paragraph">
              <wp:posOffset>-5290820</wp:posOffset>
            </wp:positionV>
            <wp:extent cx="7246620" cy="1371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-5016500</wp:posOffset>
            </wp:positionV>
            <wp:extent cx="7246620" cy="1371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-4741545</wp:posOffset>
            </wp:positionV>
            <wp:extent cx="7246620" cy="13716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-3995420</wp:posOffset>
            </wp:positionV>
            <wp:extent cx="7246620" cy="13716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-3721100</wp:posOffset>
            </wp:positionV>
            <wp:extent cx="7246620" cy="13716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-3446780</wp:posOffset>
            </wp:positionV>
            <wp:extent cx="7246620" cy="13716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-3155315</wp:posOffset>
            </wp:positionV>
            <wp:extent cx="7246620" cy="13716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-2880995</wp:posOffset>
            </wp:positionV>
            <wp:extent cx="7246620" cy="13716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-2589530</wp:posOffset>
            </wp:positionV>
            <wp:extent cx="7246620" cy="13716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-2314575</wp:posOffset>
            </wp:positionV>
            <wp:extent cx="7246620" cy="1371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-1568450</wp:posOffset>
            </wp:positionV>
            <wp:extent cx="7246620" cy="13716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-1294130</wp:posOffset>
            </wp:positionV>
            <wp:extent cx="7246620" cy="13716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-1019810</wp:posOffset>
            </wp:positionV>
            <wp:extent cx="7246620" cy="15430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46620" cy="154305"/>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-410845</wp:posOffset>
            </wp:positionV>
            <wp:extent cx="7246620" cy="13716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-4210685</wp:posOffset>
            </wp:positionH>
            <wp:positionV relativeFrom="paragraph">
              <wp:posOffset>-136525</wp:posOffset>
            </wp:positionV>
            <wp:extent cx="7246620" cy="13716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ectPr>
          <w:pgSz w:w="11900" w:h="16838" w:orient="portrait"/>
          <w:cols w:equalWidth="0" w:num="2">
            <w:col w:w="5920" w:space="720"/>
            <w:col w:w="4740"/>
          </w:cols>
          <w:pgMar w:left="240" w:top="125" w:right="279" w:bottom="0" w:gutter="0" w:footer="0" w:header="0"/>
          <w:type w:val="continuous"/>
        </w:sectPr>
      </w:pPr>
    </w:p>
    <w:bookmarkStart w:id="18" w:name="page19"/>
    <w:bookmarkEnd w:id="18"/>
    <w:tbl>
      <w:tblPr>
        <w:tblLayout w:type="fixed"/>
        <w:tblInd w:w="0" w:type="dxa"/>
        <w:tblCellMar>
          <w:top w:w="0" w:type="dxa"/>
          <w:left w:w="0" w:type="dxa"/>
          <w:bottom w:w="0" w:type="dxa"/>
          <w:right w:w="0" w:type="dxa"/>
        </w:tblCellMar>
      </w:tblPr>
      <w:tr>
        <w:trPr>
          <w:trHeight w:val="230"/>
        </w:trPr>
        <w:tc>
          <w:tcPr>
            <w:tcW w:w="4940" w:type="dxa"/>
            <w:vAlign w:val="bottom"/>
          </w:tcPr>
          <w:p>
            <w:pPr>
              <w:ind w:left="200"/>
              <w:spacing w:after="0"/>
              <w:rPr>
                <w:sz w:val="20"/>
                <w:szCs w:val="20"/>
                <w:color w:val="auto"/>
              </w:rPr>
            </w:pPr>
            <w:r>
              <w:rPr>
                <w:rFonts w:ascii="Arial" w:cs="Arial" w:eastAsia="Arial" w:hAnsi="Arial"/>
                <w:sz w:val="18"/>
                <w:szCs w:val="18"/>
                <w:color w:val="auto"/>
              </w:rPr>
              <w:t>Recoveries</w:t>
            </w:r>
          </w:p>
        </w:tc>
        <w:tc>
          <w:tcPr>
            <w:tcW w:w="17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0"/>
                <w:szCs w:val="20"/>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2.7</w:t>
            </w:r>
          </w:p>
        </w:tc>
        <w:tc>
          <w:tcPr>
            <w:tcW w:w="420" w:type="dxa"/>
            <w:vAlign w:val="bottom"/>
          </w:tcPr>
          <w:p>
            <w:pPr>
              <w:spacing w:after="0"/>
              <w:rPr>
                <w:sz w:val="20"/>
                <w:szCs w:val="20"/>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2.7</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Effect of exchange rates</w:t>
            </w:r>
          </w:p>
        </w:tc>
        <w:tc>
          <w:tcPr>
            <w:tcW w:w="1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(0.1)</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49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Ending balance</w:t>
            </w:r>
          </w:p>
        </w:tc>
        <w:tc>
          <w:tcPr>
            <w:tcW w:w="170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jc w:val="right"/>
              <w:ind w:right="26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27.8</w:t>
            </w:r>
          </w:p>
        </w:tc>
        <w:tc>
          <w:tcPr>
            <w:tcW w:w="300" w:type="dxa"/>
            <w:vAlign w:val="bottom"/>
            <w:tcBorders>
              <w:bottom w:val="single" w:sz="8" w:color="CCEEFF"/>
            </w:tcBorders>
          </w:tcPr>
          <w:p>
            <w:pPr>
              <w:spacing w:after="0"/>
              <w:rPr>
                <w:sz w:val="21"/>
                <w:szCs w:val="21"/>
                <w:color w:val="auto"/>
              </w:rPr>
            </w:pPr>
          </w:p>
        </w:tc>
        <w:tc>
          <w:tcPr>
            <w:tcW w:w="46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30.2</w:t>
            </w:r>
          </w:p>
        </w:tc>
        <w:tc>
          <w:tcPr>
            <w:tcW w:w="28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58.0</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4940" w:type="dxa"/>
            <w:vAlign w:val="bottom"/>
            <w:shd w:val="clear" w:color="auto" w:fill="CCEEFF"/>
          </w:tcPr>
          <w:p>
            <w:pPr>
              <w:spacing w:after="0" w:line="170" w:lineRule="exact"/>
              <w:rPr>
                <w:sz w:val="20"/>
                <w:szCs w:val="20"/>
                <w:color w:val="auto"/>
              </w:rPr>
            </w:pPr>
            <w:r>
              <w:rPr>
                <w:rFonts w:ascii="Arial" w:cs="Arial" w:eastAsia="Arial" w:hAnsi="Arial"/>
                <w:sz w:val="18"/>
                <w:szCs w:val="18"/>
                <w:color w:val="auto"/>
              </w:rPr>
              <w:t>Allowance ending balance by basis of impairment method:</w:t>
            </w:r>
          </w:p>
        </w:tc>
        <w:tc>
          <w:tcPr>
            <w:tcW w:w="170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940" w:type="dxa"/>
            <w:vAlign w:val="bottom"/>
          </w:tcPr>
          <w:p>
            <w:pPr>
              <w:ind w:left="200"/>
              <w:spacing w:after="0"/>
              <w:rPr>
                <w:sz w:val="20"/>
                <w:szCs w:val="20"/>
                <w:color w:val="auto"/>
              </w:rPr>
            </w:pPr>
            <w:r>
              <w:rPr>
                <w:rFonts w:ascii="Arial" w:cs="Arial" w:eastAsia="Arial" w:hAnsi="Arial"/>
                <w:sz w:val="18"/>
                <w:szCs w:val="18"/>
                <w:color w:val="auto"/>
              </w:rPr>
              <w:t>Individually evaluated for impairment</w:t>
            </w:r>
          </w:p>
        </w:tc>
        <w:tc>
          <w:tcPr>
            <w:tcW w:w="2120" w:type="dxa"/>
            <w:vAlign w:val="bottom"/>
            <w:gridSpan w:val="2"/>
          </w:tcPr>
          <w:p>
            <w:pPr>
              <w:jc w:val="right"/>
              <w:ind w:right="265"/>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3.1</w:t>
            </w:r>
          </w:p>
        </w:tc>
        <w:tc>
          <w:tcPr>
            <w:tcW w:w="460" w:type="dxa"/>
            <w:vAlign w:val="bottom"/>
          </w:tcPr>
          <w:p>
            <w:pPr>
              <w:jc w:val="right"/>
              <w:ind w:right="305"/>
              <w:spacing w:after="0"/>
              <w:rPr>
                <w:sz w:val="20"/>
                <w:szCs w:val="20"/>
                <w:color w:val="auto"/>
              </w:rPr>
            </w:pPr>
            <w:r>
              <w:rPr>
                <w:rFonts w:ascii="Arial" w:cs="Arial" w:eastAsia="Arial" w:hAnsi="Arial"/>
                <w:sz w:val="15"/>
                <w:szCs w:val="15"/>
                <w:color w:val="auto"/>
                <w:w w:val="71"/>
              </w:rPr>
              <w:t>$</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9.4</w:t>
            </w: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Collectively evaluated for impairment</w:t>
            </w:r>
          </w:p>
        </w:tc>
        <w:tc>
          <w:tcPr>
            <w:tcW w:w="1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24.7</w:t>
            </w:r>
          </w:p>
        </w:tc>
        <w:tc>
          <w:tcPr>
            <w:tcW w:w="4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20.8</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49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Allowance ending balance</w:t>
            </w:r>
          </w:p>
        </w:tc>
        <w:tc>
          <w:tcPr>
            <w:tcW w:w="170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jc w:val="right"/>
              <w:ind w:right="26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27.8</w:t>
            </w:r>
          </w:p>
        </w:tc>
        <w:tc>
          <w:tcPr>
            <w:tcW w:w="300" w:type="dxa"/>
            <w:vAlign w:val="bottom"/>
            <w:tcBorders>
              <w:bottom w:val="single" w:sz="8" w:color="CCEEFF"/>
            </w:tcBorders>
          </w:tcPr>
          <w:p>
            <w:pPr>
              <w:spacing w:after="0"/>
              <w:rPr>
                <w:sz w:val="21"/>
                <w:szCs w:val="21"/>
                <w:color w:val="auto"/>
              </w:rPr>
            </w:pPr>
          </w:p>
        </w:tc>
        <w:tc>
          <w:tcPr>
            <w:tcW w:w="46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30.2</w:t>
            </w:r>
          </w:p>
        </w:tc>
        <w:tc>
          <w:tcPr>
            <w:tcW w:w="28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58.0</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4940" w:type="dxa"/>
            <w:vAlign w:val="bottom"/>
            <w:shd w:val="clear" w:color="auto" w:fill="CCEEFF"/>
          </w:tcPr>
          <w:p>
            <w:pPr>
              <w:spacing w:after="0" w:line="170" w:lineRule="exact"/>
              <w:rPr>
                <w:sz w:val="20"/>
                <w:szCs w:val="20"/>
                <w:color w:val="auto"/>
              </w:rPr>
            </w:pPr>
            <w:r>
              <w:rPr>
                <w:rFonts w:ascii="Arial" w:cs="Arial" w:eastAsia="Arial" w:hAnsi="Arial"/>
                <w:sz w:val="18"/>
                <w:szCs w:val="18"/>
                <w:color w:val="auto"/>
              </w:rPr>
              <w:t>Loan balance by basis of impairment method:</w:t>
            </w:r>
          </w:p>
        </w:tc>
        <w:tc>
          <w:tcPr>
            <w:tcW w:w="170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940" w:type="dxa"/>
            <w:vAlign w:val="bottom"/>
          </w:tcPr>
          <w:p>
            <w:pPr>
              <w:ind w:left="200"/>
              <w:spacing w:after="0"/>
              <w:rPr>
                <w:sz w:val="20"/>
                <w:szCs w:val="20"/>
                <w:color w:val="auto"/>
              </w:rPr>
            </w:pPr>
            <w:r>
              <w:rPr>
                <w:rFonts w:ascii="Arial" w:cs="Arial" w:eastAsia="Arial" w:hAnsi="Arial"/>
                <w:sz w:val="18"/>
                <w:szCs w:val="18"/>
                <w:color w:val="auto"/>
              </w:rPr>
              <w:t>Individually evaluated for impairment</w:t>
            </w:r>
          </w:p>
        </w:tc>
        <w:tc>
          <w:tcPr>
            <w:tcW w:w="2120" w:type="dxa"/>
            <w:vAlign w:val="bottom"/>
            <w:gridSpan w:val="2"/>
          </w:tcPr>
          <w:p>
            <w:pPr>
              <w:jc w:val="right"/>
              <w:ind w:right="265"/>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9.8</w:t>
            </w:r>
          </w:p>
        </w:tc>
        <w:tc>
          <w:tcPr>
            <w:tcW w:w="460" w:type="dxa"/>
            <w:vAlign w:val="bottom"/>
          </w:tcPr>
          <w:p>
            <w:pPr>
              <w:jc w:val="right"/>
              <w:ind w:right="305"/>
              <w:spacing w:after="0"/>
              <w:rPr>
                <w:sz w:val="20"/>
                <w:szCs w:val="20"/>
                <w:color w:val="auto"/>
              </w:rPr>
            </w:pPr>
            <w:r>
              <w:rPr>
                <w:rFonts w:ascii="Arial" w:cs="Arial" w:eastAsia="Arial" w:hAnsi="Arial"/>
                <w:sz w:val="15"/>
                <w:szCs w:val="15"/>
                <w:color w:val="auto"/>
                <w:w w:val="71"/>
              </w:rPr>
              <w:t>$</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29.6</w:t>
            </w: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39.4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Collectively evaluated for impairment</w:t>
            </w:r>
          </w:p>
        </w:tc>
        <w:tc>
          <w:tcPr>
            <w:tcW w:w="1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10,587.0</w:t>
            </w:r>
          </w:p>
        </w:tc>
        <w:tc>
          <w:tcPr>
            <w:tcW w:w="4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1,176.5</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11,763.5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40" w:type="dxa"/>
            <w:vAlign w:val="bottom"/>
          </w:tcPr>
          <w:p>
            <w:pPr>
              <w:spacing w:after="0"/>
              <w:rPr>
                <w:sz w:val="20"/>
                <w:szCs w:val="20"/>
                <w:color w:val="auto"/>
              </w:rPr>
            </w:pPr>
            <w:r>
              <w:rPr>
                <w:rFonts w:ascii="Arial" w:cs="Arial" w:eastAsia="Arial" w:hAnsi="Arial"/>
                <w:sz w:val="18"/>
                <w:szCs w:val="18"/>
                <w:color w:val="auto"/>
              </w:rPr>
              <w:t>Loan ending balance</w:t>
            </w:r>
          </w:p>
        </w:tc>
        <w:tc>
          <w:tcPr>
            <w:tcW w:w="1700" w:type="dxa"/>
            <w:vAlign w:val="bottom"/>
          </w:tcPr>
          <w:p>
            <w:pPr>
              <w:spacing w:after="0"/>
              <w:rPr>
                <w:sz w:val="18"/>
                <w:szCs w:val="18"/>
                <w:color w:val="auto"/>
              </w:rPr>
            </w:pPr>
          </w:p>
        </w:tc>
        <w:tc>
          <w:tcPr>
            <w:tcW w:w="420" w:type="dxa"/>
            <w:vAlign w:val="bottom"/>
            <w:tcBorders>
              <w:top w:val="single" w:sz="8" w:color="auto"/>
              <w:bottom w:val="single" w:sz="8" w:color="auto"/>
            </w:tcBorders>
          </w:tcPr>
          <w:p>
            <w:pPr>
              <w:jc w:val="right"/>
              <w:ind w:right="26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10,596.8</w:t>
            </w:r>
          </w:p>
        </w:tc>
        <w:tc>
          <w:tcPr>
            <w:tcW w:w="300" w:type="dxa"/>
            <w:vAlign w:val="bottom"/>
          </w:tcPr>
          <w:p>
            <w:pPr>
              <w:spacing w:after="0"/>
              <w:rPr>
                <w:sz w:val="18"/>
                <w:szCs w:val="18"/>
                <w:color w:val="auto"/>
              </w:rPr>
            </w:pPr>
          </w:p>
        </w:tc>
        <w:tc>
          <w:tcPr>
            <w:tcW w:w="46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1,206.1</w:t>
            </w:r>
          </w:p>
        </w:tc>
        <w:tc>
          <w:tcPr>
            <w:tcW w:w="280" w:type="dxa"/>
            <w:vAlign w:val="bottom"/>
          </w:tcPr>
          <w:p>
            <w:pPr>
              <w:spacing w:after="0"/>
              <w:rPr>
                <w:sz w:val="18"/>
                <w:szCs w:val="18"/>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11,802.9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40" w:type="dxa"/>
            <w:vAlign w:val="bottom"/>
          </w:tcPr>
          <w:p>
            <w:pPr>
              <w:spacing w:after="0" w:line="20" w:lineRule="exact"/>
              <w:rPr>
                <w:sz w:val="1"/>
                <w:szCs w:val="1"/>
                <w:color w:val="auto"/>
              </w:rPr>
            </w:pPr>
          </w:p>
        </w:tc>
        <w:tc>
          <w:tcPr>
            <w:tcW w:w="1700" w:type="dxa"/>
            <w:vAlign w:val="bottom"/>
            <w:vMerge w:val="restart"/>
          </w:tcPr>
          <w:p>
            <w:pPr>
              <w:jc w:val="right"/>
              <w:ind w:right="750"/>
              <w:spacing w:after="0"/>
              <w:rPr>
                <w:sz w:val="20"/>
                <w:szCs w:val="20"/>
                <w:color w:val="auto"/>
              </w:rPr>
            </w:pPr>
            <w:r>
              <w:rPr>
                <w:rFonts w:ascii="Arial" w:cs="Arial" w:eastAsia="Arial" w:hAnsi="Arial"/>
                <w:sz w:val="18"/>
                <w:szCs w:val="18"/>
                <w:color w:val="auto"/>
              </w:rPr>
              <w:t>25</w:t>
            </w:r>
          </w:p>
        </w:tc>
        <w:tc>
          <w:tcPr>
            <w:tcW w:w="4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940" w:type="dxa"/>
            <w:vAlign w:val="bottom"/>
          </w:tcPr>
          <w:p>
            <w:pPr>
              <w:spacing w:after="0"/>
              <w:rPr>
                <w:sz w:val="24"/>
                <w:szCs w:val="24"/>
                <w:color w:val="auto"/>
              </w:rPr>
            </w:pPr>
          </w:p>
        </w:tc>
        <w:tc>
          <w:tcPr>
            <w:tcW w:w="1700" w:type="dxa"/>
            <w:vAlign w:val="bottom"/>
            <w:vMerge w:val="continue"/>
          </w:tcPr>
          <w:p>
            <w:pPr>
              <w:spacing w:after="0"/>
              <w:rPr>
                <w:sz w:val="24"/>
                <w:szCs w:val="24"/>
                <w:color w:val="auto"/>
              </w:rPr>
            </w:pPr>
          </w:p>
        </w:tc>
        <w:tc>
          <w:tcPr>
            <w:tcW w:w="4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940" w:type="dxa"/>
            <w:vAlign w:val="bottom"/>
            <w:tcBorders>
              <w:bottom w:val="single" w:sz="8" w:color="808080"/>
            </w:tcBorders>
          </w:tcPr>
          <w:p>
            <w:pPr>
              <w:spacing w:after="0"/>
              <w:rPr>
                <w:sz w:val="11"/>
                <w:szCs w:val="11"/>
                <w:color w:val="auto"/>
              </w:rPr>
            </w:pPr>
          </w:p>
        </w:tc>
        <w:tc>
          <w:tcPr>
            <w:tcW w:w="170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Impaired Mortgage Loans</w:t>
      </w:r>
    </w:p>
    <w:p>
      <w:pPr>
        <w:spacing w:after="0" w:line="229"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Impaired mortgage loans are loans with a related specific valuation allowance, loans whose carrying amount has been reduced to the expected collectible amount because the impairment has been considered other than temporary or a loan modification has been classified as a troubled debt restructuring (“TDR”). Based on an assessment as to the collectability of the principal, a determination is made to apply any payments received either against the principal or according to the contractual terms of the loan. Our recorded investment in and unpaid principal balance of impaired loans along with the related loan specific allowance for losses, if any, and the average recorded investment and interest income recognized during the time the loans were impaired were as follows: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2"/>
          </w:tcPr>
          <w:p>
            <w:pPr>
              <w:jc w:val="right"/>
              <w:ind w:right="158"/>
              <w:spacing w:after="0"/>
              <w:rPr>
                <w:sz w:val="20"/>
                <w:szCs w:val="20"/>
                <w:color w:val="auto"/>
              </w:rPr>
            </w:pPr>
            <w:r>
              <w:rPr>
                <w:rFonts w:ascii="Arial" w:cs="Arial" w:eastAsia="Arial" w:hAnsi="Arial"/>
                <w:sz w:val="14"/>
                <w:szCs w:val="14"/>
                <w:b w:val="1"/>
                <w:bCs w:val="1"/>
                <w:color w:val="auto"/>
                <w:w w:val="94"/>
              </w:rPr>
              <w:t>September 30, 2015</w:t>
            </w:r>
          </w:p>
        </w:tc>
        <w:tc>
          <w:tcPr>
            <w:tcW w:w="28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8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60" w:type="dxa"/>
            <w:vAlign w:val="bottom"/>
            <w:vMerge w:val="restart"/>
          </w:tcPr>
          <w:p>
            <w:pPr>
              <w:jc w:val="center"/>
              <w:ind w:left="243"/>
              <w:spacing w:after="0"/>
              <w:rPr>
                <w:sz w:val="20"/>
                <w:szCs w:val="20"/>
                <w:color w:val="auto"/>
              </w:rPr>
            </w:pPr>
            <w:r>
              <w:rPr>
                <w:rFonts w:ascii="Arial" w:cs="Arial" w:eastAsia="Arial" w:hAnsi="Arial"/>
                <w:sz w:val="14"/>
                <w:szCs w:val="14"/>
                <w:b w:val="1"/>
                <w:bCs w:val="1"/>
                <w:color w:val="auto"/>
                <w:w w:val="89"/>
              </w:rPr>
              <w:t>Recorded</w:t>
            </w:r>
          </w:p>
        </w:tc>
        <w:tc>
          <w:tcPr>
            <w:tcW w:w="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60" w:type="dxa"/>
            <w:vAlign w:val="bottom"/>
          </w:tcPr>
          <w:p>
            <w:pPr>
              <w:jc w:val="center"/>
              <w:ind w:right="318"/>
              <w:spacing w:after="0" w:line="119" w:lineRule="exact"/>
              <w:rPr>
                <w:sz w:val="20"/>
                <w:szCs w:val="20"/>
                <w:color w:val="auto"/>
              </w:rPr>
            </w:pPr>
            <w:r>
              <w:rPr>
                <w:rFonts w:ascii="Arial" w:cs="Arial" w:eastAsia="Arial" w:hAnsi="Arial"/>
                <w:sz w:val="13"/>
                <w:szCs w:val="13"/>
                <w:b w:val="1"/>
                <w:bCs w:val="1"/>
                <w:color w:val="auto"/>
              </w:rPr>
              <w:t>Unpaid</w:t>
            </w:r>
          </w:p>
        </w:tc>
        <w:tc>
          <w:tcPr>
            <w:tcW w:w="280" w:type="dxa"/>
            <w:vAlign w:val="bottom"/>
          </w:tcPr>
          <w:p>
            <w:pPr>
              <w:spacing w:after="0"/>
              <w:rPr>
                <w:sz w:val="10"/>
                <w:szCs w:val="10"/>
                <w:color w:val="auto"/>
              </w:rPr>
            </w:pPr>
          </w:p>
        </w:tc>
        <w:tc>
          <w:tcPr>
            <w:tcW w:w="13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4"/>
              </w:rPr>
              <w:t>Related</w:t>
            </w:r>
          </w:p>
        </w:tc>
        <w:tc>
          <w:tcPr>
            <w:tcW w:w="0" w:type="dxa"/>
            <w:vAlign w:val="bottom"/>
          </w:tcPr>
          <w:p>
            <w:pPr>
              <w:spacing w:after="0"/>
              <w:rPr>
                <w:sz w:val="1"/>
                <w:szCs w:val="1"/>
                <w:color w:val="auto"/>
              </w:rPr>
            </w:pPr>
          </w:p>
        </w:tc>
      </w:tr>
      <w:tr>
        <w:trPr>
          <w:trHeight w:val="149"/>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tcPr>
          <w:p>
            <w:pPr>
              <w:jc w:val="center"/>
              <w:ind w:right="298"/>
              <w:spacing w:after="0" w:line="149" w:lineRule="exact"/>
              <w:rPr>
                <w:sz w:val="20"/>
                <w:szCs w:val="20"/>
                <w:color w:val="auto"/>
              </w:rPr>
            </w:pPr>
            <w:r>
              <w:rPr>
                <w:rFonts w:ascii="Arial" w:cs="Arial" w:eastAsia="Arial" w:hAnsi="Arial"/>
                <w:sz w:val="14"/>
                <w:szCs w:val="14"/>
                <w:b w:val="1"/>
                <w:bCs w:val="1"/>
                <w:color w:val="auto"/>
                <w:w w:val="95"/>
              </w:rPr>
              <w:t>principal</w:t>
            </w:r>
          </w:p>
        </w:tc>
        <w:tc>
          <w:tcPr>
            <w:tcW w:w="28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60" w:type="dxa"/>
            <w:vAlign w:val="bottom"/>
          </w:tcPr>
          <w:p>
            <w:pPr>
              <w:jc w:val="center"/>
              <w:ind w:left="243"/>
              <w:spacing w:after="0"/>
              <w:rPr>
                <w:sz w:val="20"/>
                <w:szCs w:val="20"/>
                <w:color w:val="auto"/>
              </w:rPr>
            </w:pPr>
            <w:r>
              <w:rPr>
                <w:rFonts w:ascii="Arial" w:cs="Arial" w:eastAsia="Arial" w:hAnsi="Arial"/>
                <w:sz w:val="14"/>
                <w:szCs w:val="14"/>
                <w:b w:val="1"/>
                <w:bCs w:val="1"/>
                <w:color w:val="auto"/>
                <w:w w:val="89"/>
              </w:rPr>
              <w:t>investment</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tcPr>
          <w:p>
            <w:pPr>
              <w:jc w:val="center"/>
              <w:ind w:right="298"/>
              <w:spacing w:after="0"/>
              <w:rPr>
                <w:sz w:val="20"/>
                <w:szCs w:val="20"/>
                <w:color w:val="auto"/>
              </w:rPr>
            </w:pPr>
            <w:r>
              <w:rPr>
                <w:rFonts w:ascii="Arial" w:cs="Arial" w:eastAsia="Arial" w:hAnsi="Arial"/>
                <w:sz w:val="14"/>
                <w:szCs w:val="14"/>
                <w:b w:val="1"/>
                <w:bCs w:val="1"/>
                <w:color w:val="auto"/>
                <w:w w:val="91"/>
              </w:rPr>
              <w:t>balance</w:t>
            </w:r>
          </w:p>
        </w:tc>
        <w:tc>
          <w:tcPr>
            <w:tcW w:w="280" w:type="dxa"/>
            <w:vAlign w:val="bottom"/>
          </w:tcPr>
          <w:p>
            <w:pPr>
              <w:spacing w:after="0"/>
              <w:rPr>
                <w:sz w:val="14"/>
                <w:szCs w:val="14"/>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allowance</w:t>
            </w:r>
          </w:p>
        </w:tc>
        <w:tc>
          <w:tcPr>
            <w:tcW w:w="0" w:type="dxa"/>
            <w:vAlign w:val="bottom"/>
          </w:tcPr>
          <w:p>
            <w:pPr>
              <w:spacing w:after="0"/>
              <w:rPr>
                <w:sz w:val="1"/>
                <w:szCs w:val="1"/>
                <w:color w:val="auto"/>
              </w:rPr>
            </w:pPr>
          </w:p>
        </w:tc>
      </w:tr>
      <w:tr>
        <w:trPr>
          <w:trHeight w:val="142"/>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tcPr>
          <w:p>
            <w:pPr>
              <w:jc w:val="center"/>
              <w:ind w:right="358"/>
              <w:spacing w:after="0" w:line="142"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With no related allowance recorded:</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Residential-first liens</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jc w:val="right"/>
              <w:ind w:right="903"/>
              <w:spacing w:after="0"/>
              <w:rPr>
                <w:sz w:val="20"/>
                <w:szCs w:val="20"/>
                <w:color w:val="auto"/>
              </w:rPr>
            </w:pPr>
            <w:r>
              <w:rPr>
                <w:rFonts w:ascii="Arial" w:cs="Arial" w:eastAsia="Arial" w:hAnsi="Arial"/>
                <w:sz w:val="15"/>
                <w:szCs w:val="15"/>
                <w:b w:val="1"/>
                <w:bCs w:val="1"/>
                <w:color w:val="auto"/>
                <w:w w:val="71"/>
              </w:rPr>
              <w:t>$</w:t>
            </w:r>
          </w:p>
        </w:tc>
        <w:tc>
          <w:tcPr>
            <w:tcW w:w="340" w:type="dxa"/>
            <w:vAlign w:val="bottom"/>
          </w:tcPr>
          <w:p>
            <w:pPr>
              <w:jc w:val="right"/>
              <w:spacing w:after="0"/>
              <w:rPr>
                <w:sz w:val="20"/>
                <w:szCs w:val="20"/>
                <w:color w:val="auto"/>
              </w:rPr>
            </w:pPr>
            <w:r>
              <w:rPr>
                <w:rFonts w:ascii="Arial" w:cs="Arial" w:eastAsia="Arial" w:hAnsi="Arial"/>
                <w:sz w:val="18"/>
                <w:szCs w:val="18"/>
                <w:b w:val="1"/>
                <w:bCs w:val="1"/>
                <w:color w:val="auto"/>
              </w:rPr>
              <w:t>3.2</w:t>
            </w:r>
          </w:p>
        </w:tc>
        <w:tc>
          <w:tcPr>
            <w:tcW w:w="140" w:type="dxa"/>
            <w:vAlign w:val="bottom"/>
          </w:tcPr>
          <w:p>
            <w:pPr>
              <w:spacing w:after="0"/>
              <w:rPr>
                <w:sz w:val="18"/>
                <w:szCs w:val="18"/>
                <w:color w:val="auto"/>
              </w:rPr>
            </w:pPr>
          </w:p>
        </w:tc>
        <w:tc>
          <w:tcPr>
            <w:tcW w:w="380" w:type="dxa"/>
            <w:vAlign w:val="bottom"/>
            <w:gridSpan w:val="2"/>
          </w:tcPr>
          <w:p>
            <w:pPr>
              <w:jc w:val="right"/>
              <w:ind w:right="88"/>
              <w:spacing w:after="0"/>
              <w:rPr>
                <w:sz w:val="20"/>
                <w:szCs w:val="20"/>
                <w:color w:val="auto"/>
              </w:rPr>
            </w:pPr>
            <w:r>
              <w:rPr>
                <w:rFonts w:ascii="Arial" w:cs="Arial" w:eastAsia="Arial" w:hAnsi="Arial"/>
                <w:sz w:val="18"/>
                <w:szCs w:val="18"/>
                <w:b w:val="1"/>
                <w:bCs w:val="1"/>
                <w:color w:val="auto"/>
              </w:rPr>
              <w:t>$</w:t>
            </w:r>
          </w:p>
        </w:tc>
        <w:tc>
          <w:tcPr>
            <w:tcW w:w="1260" w:type="dxa"/>
            <w:vAlign w:val="bottom"/>
          </w:tcPr>
          <w:p>
            <w:pPr>
              <w:jc w:val="right"/>
              <w:ind w:right="58"/>
              <w:spacing w:after="0"/>
              <w:rPr>
                <w:sz w:val="20"/>
                <w:szCs w:val="20"/>
                <w:color w:val="auto"/>
              </w:rPr>
            </w:pPr>
            <w:r>
              <w:rPr>
                <w:rFonts w:ascii="Arial" w:cs="Arial" w:eastAsia="Arial" w:hAnsi="Arial"/>
                <w:sz w:val="18"/>
                <w:szCs w:val="18"/>
                <w:b w:val="1"/>
                <w:bCs w:val="1"/>
                <w:color w:val="auto"/>
              </w:rPr>
              <w:t>3.2</w:t>
            </w:r>
          </w:p>
        </w:tc>
        <w:tc>
          <w:tcPr>
            <w:tcW w:w="2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With an allowance recorded:</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Commercial-brick and mortar</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b w:val="1"/>
                <w:bCs w:val="1"/>
                <w:color w:val="auto"/>
              </w:rPr>
              <w:t>4.4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jc w:val="right"/>
              <w:ind w:right="58"/>
              <w:spacing w:after="0"/>
              <w:rPr>
                <w:sz w:val="20"/>
                <w:szCs w:val="20"/>
                <w:color w:val="auto"/>
              </w:rPr>
            </w:pPr>
            <w:r>
              <w:rPr>
                <w:rFonts w:ascii="Arial" w:cs="Arial" w:eastAsia="Arial" w:hAnsi="Arial"/>
                <w:sz w:val="18"/>
                <w:szCs w:val="18"/>
                <w:b w:val="1"/>
                <w:bCs w:val="1"/>
                <w:color w:val="auto"/>
              </w:rPr>
              <w:t>4.4</w:t>
            </w:r>
          </w:p>
        </w:tc>
        <w:tc>
          <w:tcPr>
            <w:tcW w:w="28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3.5</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Residential-home equity</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5"/>
              </w:rPr>
              <w:t>14.4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b w:val="1"/>
                <w:bCs w:val="1"/>
                <w:color w:val="auto"/>
              </w:rPr>
              <w:t>15.4</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7.4</w:t>
            </w: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Residential-first liens</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b w:val="1"/>
                <w:bCs w:val="1"/>
                <w:color w:val="auto"/>
              </w:rPr>
              <w:t>7.1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jc w:val="right"/>
              <w:ind w:right="58"/>
              <w:spacing w:after="0"/>
              <w:rPr>
                <w:sz w:val="20"/>
                <w:szCs w:val="20"/>
                <w:color w:val="auto"/>
              </w:rPr>
            </w:pPr>
            <w:r>
              <w:rPr>
                <w:rFonts w:ascii="Arial" w:cs="Arial" w:eastAsia="Arial" w:hAnsi="Arial"/>
                <w:sz w:val="18"/>
                <w:szCs w:val="18"/>
                <w:b w:val="1"/>
                <w:bCs w:val="1"/>
                <w:color w:val="auto"/>
              </w:rPr>
              <w:t>6.9</w:t>
            </w:r>
          </w:p>
        </w:tc>
        <w:tc>
          <w:tcPr>
            <w:tcW w:w="28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0.6</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Commercial</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jc w:val="right"/>
              <w:ind w:right="903"/>
              <w:spacing w:after="0"/>
              <w:rPr>
                <w:sz w:val="20"/>
                <w:szCs w:val="20"/>
                <w:color w:val="auto"/>
              </w:rPr>
            </w:pPr>
            <w:r>
              <w:rPr>
                <w:rFonts w:ascii="Arial" w:cs="Arial" w:eastAsia="Arial" w:hAnsi="Arial"/>
                <w:sz w:val="15"/>
                <w:szCs w:val="15"/>
                <w:b w:val="1"/>
                <w:bCs w:val="1"/>
                <w:color w:val="auto"/>
                <w:w w:val="71"/>
              </w:rPr>
              <w:t>$</w:t>
            </w:r>
          </w:p>
        </w:tc>
        <w:tc>
          <w:tcPr>
            <w:tcW w:w="340" w:type="dxa"/>
            <w:vAlign w:val="bottom"/>
          </w:tcPr>
          <w:p>
            <w:pPr>
              <w:jc w:val="right"/>
              <w:spacing w:after="0"/>
              <w:rPr>
                <w:sz w:val="20"/>
                <w:szCs w:val="20"/>
                <w:color w:val="auto"/>
              </w:rPr>
            </w:pPr>
            <w:r>
              <w:rPr>
                <w:rFonts w:ascii="Arial" w:cs="Arial" w:eastAsia="Arial" w:hAnsi="Arial"/>
                <w:sz w:val="18"/>
                <w:szCs w:val="18"/>
                <w:b w:val="1"/>
                <w:bCs w:val="1"/>
                <w:color w:val="auto"/>
              </w:rPr>
              <w:t>4.4</w:t>
            </w:r>
          </w:p>
        </w:tc>
        <w:tc>
          <w:tcPr>
            <w:tcW w:w="140" w:type="dxa"/>
            <w:vAlign w:val="bottom"/>
          </w:tcPr>
          <w:p>
            <w:pPr>
              <w:spacing w:after="0"/>
              <w:rPr>
                <w:sz w:val="18"/>
                <w:szCs w:val="18"/>
                <w:color w:val="auto"/>
              </w:rPr>
            </w:pPr>
          </w:p>
        </w:tc>
        <w:tc>
          <w:tcPr>
            <w:tcW w:w="380" w:type="dxa"/>
            <w:vAlign w:val="bottom"/>
            <w:gridSpan w:val="2"/>
          </w:tcPr>
          <w:p>
            <w:pPr>
              <w:jc w:val="right"/>
              <w:ind w:right="88"/>
              <w:spacing w:after="0"/>
              <w:rPr>
                <w:sz w:val="20"/>
                <w:szCs w:val="20"/>
                <w:color w:val="auto"/>
              </w:rPr>
            </w:pPr>
            <w:r>
              <w:rPr>
                <w:rFonts w:ascii="Arial" w:cs="Arial" w:eastAsia="Arial" w:hAnsi="Arial"/>
                <w:sz w:val="18"/>
                <w:szCs w:val="18"/>
                <w:b w:val="1"/>
                <w:bCs w:val="1"/>
                <w:color w:val="auto"/>
              </w:rPr>
              <w:t>$</w:t>
            </w:r>
          </w:p>
        </w:tc>
        <w:tc>
          <w:tcPr>
            <w:tcW w:w="1260" w:type="dxa"/>
            <w:vAlign w:val="bottom"/>
          </w:tcPr>
          <w:p>
            <w:pPr>
              <w:jc w:val="right"/>
              <w:ind w:right="58"/>
              <w:spacing w:after="0"/>
              <w:rPr>
                <w:sz w:val="20"/>
                <w:szCs w:val="20"/>
                <w:color w:val="auto"/>
              </w:rPr>
            </w:pPr>
            <w:r>
              <w:rPr>
                <w:rFonts w:ascii="Arial" w:cs="Arial" w:eastAsia="Arial" w:hAnsi="Arial"/>
                <w:sz w:val="18"/>
                <w:szCs w:val="18"/>
                <w:b w:val="1"/>
                <w:bCs w:val="1"/>
                <w:color w:val="auto"/>
              </w:rPr>
              <w:t>4.4</w:t>
            </w:r>
          </w:p>
        </w:tc>
        <w:tc>
          <w:tcPr>
            <w:tcW w:w="2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3.5</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Residential</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903"/>
              <w:spacing w:after="0"/>
              <w:rPr>
                <w:sz w:val="20"/>
                <w:szCs w:val="20"/>
                <w:color w:val="auto"/>
              </w:rPr>
            </w:pPr>
            <w:r>
              <w:rPr>
                <w:rFonts w:ascii="Arial" w:cs="Arial" w:eastAsia="Arial" w:hAnsi="Arial"/>
                <w:sz w:val="15"/>
                <w:szCs w:val="15"/>
                <w:b w:val="1"/>
                <w:bCs w:val="1"/>
                <w:color w:val="auto"/>
                <w:w w:val="71"/>
              </w:rPr>
              <w:t>$</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5"/>
              </w:rPr>
              <w:t>24.7</w:t>
            </w:r>
          </w:p>
        </w:tc>
        <w:tc>
          <w:tcPr>
            <w:tcW w:w="1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88"/>
              <w:spacing w:after="0"/>
              <w:rPr>
                <w:sz w:val="20"/>
                <w:szCs w:val="20"/>
                <w:color w:val="auto"/>
              </w:rPr>
            </w:pPr>
            <w:r>
              <w:rPr>
                <w:rFonts w:ascii="Arial" w:cs="Arial" w:eastAsia="Arial" w:hAnsi="Arial"/>
                <w:sz w:val="18"/>
                <w:szCs w:val="18"/>
                <w:b w:val="1"/>
                <w:bCs w:val="1"/>
                <w:color w:val="auto"/>
              </w:rPr>
              <w:t>$</w:t>
            </w: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b w:val="1"/>
                <w:bCs w:val="1"/>
                <w:color w:val="auto"/>
              </w:rPr>
              <w:t>25.5</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8.0</w:t>
            </w:r>
          </w:p>
        </w:tc>
        <w:tc>
          <w:tcPr>
            <w:tcW w:w="0" w:type="dxa"/>
            <w:vAlign w:val="bottom"/>
          </w:tcPr>
          <w:p>
            <w:pPr>
              <w:spacing w:after="0"/>
              <w:rPr>
                <w:sz w:val="1"/>
                <w:szCs w:val="1"/>
                <w:color w:val="auto"/>
              </w:rPr>
            </w:pPr>
          </w:p>
        </w:tc>
      </w:tr>
      <w:tr>
        <w:trPr>
          <w:trHeight w:val="365"/>
        </w:trPr>
        <w:tc>
          <w:tcPr>
            <w:tcW w:w="38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gridSpan w:val="2"/>
          </w:tcPr>
          <w:p>
            <w:pPr>
              <w:jc w:val="right"/>
              <w:ind w:right="178"/>
              <w:spacing w:after="0"/>
              <w:rPr>
                <w:sz w:val="20"/>
                <w:szCs w:val="20"/>
                <w:color w:val="auto"/>
              </w:rPr>
            </w:pPr>
            <w:r>
              <w:rPr>
                <w:rFonts w:ascii="Arial" w:cs="Arial" w:eastAsia="Arial" w:hAnsi="Arial"/>
                <w:sz w:val="14"/>
                <w:szCs w:val="14"/>
                <w:b w:val="1"/>
                <w:bCs w:val="1"/>
                <w:color w:val="auto"/>
                <w:w w:val="96"/>
              </w:rPr>
              <w:t>December 31, 2014</w:t>
            </w:r>
          </w:p>
        </w:tc>
        <w:tc>
          <w:tcPr>
            <w:tcW w:w="2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38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60" w:type="dxa"/>
            <w:vAlign w:val="bottom"/>
            <w:vMerge w:val="restart"/>
          </w:tcPr>
          <w:p>
            <w:pPr>
              <w:jc w:val="center"/>
              <w:ind w:left="243"/>
              <w:spacing w:after="0"/>
              <w:rPr>
                <w:sz w:val="20"/>
                <w:szCs w:val="20"/>
                <w:color w:val="auto"/>
              </w:rPr>
            </w:pPr>
            <w:r>
              <w:rPr>
                <w:rFonts w:ascii="Arial" w:cs="Arial" w:eastAsia="Arial" w:hAnsi="Arial"/>
                <w:sz w:val="14"/>
                <w:szCs w:val="14"/>
                <w:b w:val="1"/>
                <w:bCs w:val="1"/>
                <w:color w:val="auto"/>
                <w:w w:val="89"/>
              </w:rPr>
              <w:t>Recorded</w:t>
            </w:r>
          </w:p>
        </w:tc>
        <w:tc>
          <w:tcPr>
            <w:tcW w:w="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60" w:type="dxa"/>
            <w:vAlign w:val="bottom"/>
          </w:tcPr>
          <w:p>
            <w:pPr>
              <w:jc w:val="center"/>
              <w:ind w:right="318"/>
              <w:spacing w:after="0" w:line="119" w:lineRule="exact"/>
              <w:rPr>
                <w:sz w:val="20"/>
                <w:szCs w:val="20"/>
                <w:color w:val="auto"/>
              </w:rPr>
            </w:pPr>
            <w:r>
              <w:rPr>
                <w:rFonts w:ascii="Arial" w:cs="Arial" w:eastAsia="Arial" w:hAnsi="Arial"/>
                <w:sz w:val="13"/>
                <w:szCs w:val="13"/>
                <w:b w:val="1"/>
                <w:bCs w:val="1"/>
                <w:color w:val="auto"/>
              </w:rPr>
              <w:t>Unpaid</w:t>
            </w:r>
          </w:p>
        </w:tc>
        <w:tc>
          <w:tcPr>
            <w:tcW w:w="280" w:type="dxa"/>
            <w:vAlign w:val="bottom"/>
          </w:tcPr>
          <w:p>
            <w:pPr>
              <w:spacing w:after="0"/>
              <w:rPr>
                <w:sz w:val="10"/>
                <w:szCs w:val="10"/>
                <w:color w:val="auto"/>
              </w:rPr>
            </w:pPr>
          </w:p>
        </w:tc>
        <w:tc>
          <w:tcPr>
            <w:tcW w:w="13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4"/>
              </w:rPr>
              <w:t>Related</w:t>
            </w:r>
          </w:p>
        </w:tc>
        <w:tc>
          <w:tcPr>
            <w:tcW w:w="0" w:type="dxa"/>
            <w:vAlign w:val="bottom"/>
          </w:tcPr>
          <w:p>
            <w:pPr>
              <w:spacing w:after="0"/>
              <w:rPr>
                <w:sz w:val="1"/>
                <w:szCs w:val="1"/>
                <w:color w:val="auto"/>
              </w:rPr>
            </w:pPr>
          </w:p>
        </w:tc>
      </w:tr>
      <w:tr>
        <w:trPr>
          <w:trHeight w:val="149"/>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tcPr>
          <w:p>
            <w:pPr>
              <w:jc w:val="center"/>
              <w:ind w:right="298"/>
              <w:spacing w:after="0" w:line="149" w:lineRule="exact"/>
              <w:rPr>
                <w:sz w:val="20"/>
                <w:szCs w:val="20"/>
                <w:color w:val="auto"/>
              </w:rPr>
            </w:pPr>
            <w:r>
              <w:rPr>
                <w:rFonts w:ascii="Arial" w:cs="Arial" w:eastAsia="Arial" w:hAnsi="Arial"/>
                <w:sz w:val="14"/>
                <w:szCs w:val="14"/>
                <w:b w:val="1"/>
                <w:bCs w:val="1"/>
                <w:color w:val="auto"/>
                <w:w w:val="95"/>
              </w:rPr>
              <w:t>principal</w:t>
            </w:r>
          </w:p>
        </w:tc>
        <w:tc>
          <w:tcPr>
            <w:tcW w:w="28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60" w:type="dxa"/>
            <w:vAlign w:val="bottom"/>
          </w:tcPr>
          <w:p>
            <w:pPr>
              <w:jc w:val="center"/>
              <w:ind w:left="243"/>
              <w:spacing w:after="0"/>
              <w:rPr>
                <w:sz w:val="20"/>
                <w:szCs w:val="20"/>
                <w:color w:val="auto"/>
              </w:rPr>
            </w:pPr>
            <w:r>
              <w:rPr>
                <w:rFonts w:ascii="Arial" w:cs="Arial" w:eastAsia="Arial" w:hAnsi="Arial"/>
                <w:sz w:val="14"/>
                <w:szCs w:val="14"/>
                <w:b w:val="1"/>
                <w:bCs w:val="1"/>
                <w:color w:val="auto"/>
                <w:w w:val="89"/>
              </w:rPr>
              <w:t>investment</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tcPr>
          <w:p>
            <w:pPr>
              <w:jc w:val="center"/>
              <w:ind w:right="298"/>
              <w:spacing w:after="0"/>
              <w:rPr>
                <w:sz w:val="20"/>
                <w:szCs w:val="20"/>
                <w:color w:val="auto"/>
              </w:rPr>
            </w:pPr>
            <w:r>
              <w:rPr>
                <w:rFonts w:ascii="Arial" w:cs="Arial" w:eastAsia="Arial" w:hAnsi="Arial"/>
                <w:sz w:val="14"/>
                <w:szCs w:val="14"/>
                <w:b w:val="1"/>
                <w:bCs w:val="1"/>
                <w:color w:val="auto"/>
                <w:w w:val="91"/>
              </w:rPr>
              <w:t>balance</w:t>
            </w:r>
          </w:p>
        </w:tc>
        <w:tc>
          <w:tcPr>
            <w:tcW w:w="280" w:type="dxa"/>
            <w:vAlign w:val="bottom"/>
          </w:tcPr>
          <w:p>
            <w:pPr>
              <w:spacing w:after="0"/>
              <w:rPr>
                <w:sz w:val="14"/>
                <w:szCs w:val="14"/>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allowance</w:t>
            </w:r>
          </w:p>
        </w:tc>
        <w:tc>
          <w:tcPr>
            <w:tcW w:w="0" w:type="dxa"/>
            <w:vAlign w:val="bottom"/>
          </w:tcPr>
          <w:p>
            <w:pPr>
              <w:spacing w:after="0"/>
              <w:rPr>
                <w:sz w:val="1"/>
                <w:szCs w:val="1"/>
                <w:color w:val="auto"/>
              </w:rPr>
            </w:pPr>
          </w:p>
        </w:tc>
      </w:tr>
      <w:tr>
        <w:trPr>
          <w:trHeight w:val="142"/>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tcPr>
          <w:p>
            <w:pPr>
              <w:jc w:val="center"/>
              <w:ind w:right="358"/>
              <w:spacing w:after="0" w:line="142"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With no related allowance recorded:</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Commercial-brick and mortar</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jc w:val="right"/>
              <w:ind w:right="903"/>
              <w:spacing w:after="0"/>
              <w:rPr>
                <w:sz w:val="20"/>
                <w:szCs w:val="20"/>
                <w:color w:val="auto"/>
              </w:rPr>
            </w:pPr>
            <w:r>
              <w:rPr>
                <w:rFonts w:ascii="Arial" w:cs="Arial" w:eastAsia="Arial" w:hAnsi="Arial"/>
                <w:sz w:val="15"/>
                <w:szCs w:val="15"/>
                <w:color w:val="auto"/>
                <w:w w:val="71"/>
              </w:rPr>
              <w:t>$</w:t>
            </w:r>
          </w:p>
        </w:tc>
        <w:tc>
          <w:tcPr>
            <w:tcW w:w="340" w:type="dxa"/>
            <w:vAlign w:val="bottom"/>
          </w:tcPr>
          <w:p>
            <w:pPr>
              <w:jc w:val="right"/>
              <w:spacing w:after="0"/>
              <w:rPr>
                <w:sz w:val="20"/>
                <w:szCs w:val="20"/>
                <w:color w:val="auto"/>
              </w:rPr>
            </w:pPr>
            <w:r>
              <w:rPr>
                <w:rFonts w:ascii="Arial" w:cs="Arial" w:eastAsia="Arial" w:hAnsi="Arial"/>
                <w:sz w:val="18"/>
                <w:szCs w:val="18"/>
                <w:color w:val="auto"/>
              </w:rPr>
              <w:t>5.2</w:t>
            </w:r>
          </w:p>
        </w:tc>
        <w:tc>
          <w:tcPr>
            <w:tcW w:w="140" w:type="dxa"/>
            <w:vAlign w:val="bottom"/>
          </w:tcPr>
          <w:p>
            <w:pPr>
              <w:spacing w:after="0"/>
              <w:rPr>
                <w:sz w:val="18"/>
                <w:szCs w:val="18"/>
                <w:color w:val="auto"/>
              </w:rPr>
            </w:pPr>
          </w:p>
        </w:tc>
        <w:tc>
          <w:tcPr>
            <w:tcW w:w="380" w:type="dxa"/>
            <w:vAlign w:val="bottom"/>
            <w:gridSpan w:val="2"/>
          </w:tcPr>
          <w:p>
            <w:pPr>
              <w:jc w:val="right"/>
              <w:ind w:right="88"/>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58"/>
              <w:spacing w:after="0"/>
              <w:rPr>
                <w:sz w:val="20"/>
                <w:szCs w:val="20"/>
                <w:color w:val="auto"/>
              </w:rPr>
            </w:pPr>
            <w:r>
              <w:rPr>
                <w:rFonts w:ascii="Arial" w:cs="Arial" w:eastAsia="Arial" w:hAnsi="Arial"/>
                <w:sz w:val="18"/>
                <w:szCs w:val="18"/>
                <w:color w:val="auto"/>
              </w:rPr>
              <w:t>6.7</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Residential-first liens</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3.4</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With an allowance recorded:</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Commercial-brick and mortar</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4.4</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Residential-home equity</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w w:val="85"/>
              </w:rPr>
              <w:t>16.5</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jc w:val="right"/>
              <w:ind w:right="58"/>
              <w:spacing w:after="0"/>
              <w:rPr>
                <w:sz w:val="20"/>
                <w:szCs w:val="20"/>
                <w:color w:val="auto"/>
              </w:rPr>
            </w:pPr>
            <w:r>
              <w:rPr>
                <w:rFonts w:ascii="Arial" w:cs="Arial" w:eastAsia="Arial" w:hAnsi="Arial"/>
                <w:sz w:val="18"/>
                <w:szCs w:val="18"/>
                <w:color w:val="auto"/>
              </w:rPr>
              <w:t>17.1</w:t>
            </w:r>
          </w:p>
        </w:tc>
        <w:tc>
          <w:tcPr>
            <w:tcW w:w="28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Residential-first liens</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7.2</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Total:</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Commercial</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903"/>
              <w:spacing w:after="0"/>
              <w:rPr>
                <w:sz w:val="20"/>
                <w:szCs w:val="20"/>
                <w:color w:val="auto"/>
              </w:rPr>
            </w:pPr>
            <w:r>
              <w:rPr>
                <w:rFonts w:ascii="Arial" w:cs="Arial" w:eastAsia="Arial" w:hAnsi="Arial"/>
                <w:sz w:val="15"/>
                <w:szCs w:val="15"/>
                <w:color w:val="auto"/>
                <w:w w:val="71"/>
              </w:rPr>
              <w:t>$</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1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11.1</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30"/>
        </w:trPr>
        <w:tc>
          <w:tcPr>
            <w:tcW w:w="3800" w:type="dxa"/>
            <w:vAlign w:val="bottom"/>
          </w:tcPr>
          <w:p>
            <w:pPr>
              <w:ind w:left="200"/>
              <w:spacing w:after="0"/>
              <w:rPr>
                <w:sz w:val="20"/>
                <w:szCs w:val="20"/>
                <w:color w:val="auto"/>
              </w:rPr>
            </w:pPr>
            <w:r>
              <w:rPr>
                <w:rFonts w:ascii="Arial" w:cs="Arial" w:eastAsia="Arial" w:hAnsi="Arial"/>
                <w:sz w:val="18"/>
                <w:szCs w:val="18"/>
                <w:color w:val="auto"/>
              </w:rPr>
              <w:t>Residential</w:t>
            </w:r>
          </w:p>
        </w:tc>
        <w:tc>
          <w:tcPr>
            <w:tcW w:w="1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60" w:type="dxa"/>
            <w:vAlign w:val="bottom"/>
          </w:tcPr>
          <w:p>
            <w:pPr>
              <w:jc w:val="right"/>
              <w:ind w:right="903"/>
              <w:spacing w:after="0"/>
              <w:rPr>
                <w:sz w:val="20"/>
                <w:szCs w:val="20"/>
                <w:color w:val="auto"/>
              </w:rPr>
            </w:pPr>
            <w:r>
              <w:rPr>
                <w:rFonts w:ascii="Arial" w:cs="Arial" w:eastAsia="Arial" w:hAnsi="Arial"/>
                <w:sz w:val="15"/>
                <w:szCs w:val="15"/>
                <w:color w:val="auto"/>
                <w:w w:val="71"/>
              </w:rPr>
              <w:t>$</w:t>
            </w:r>
          </w:p>
        </w:tc>
        <w:tc>
          <w:tcPr>
            <w:tcW w:w="340" w:type="dxa"/>
            <w:vAlign w:val="bottom"/>
          </w:tcPr>
          <w:p>
            <w:pPr>
              <w:jc w:val="right"/>
              <w:spacing w:after="0"/>
              <w:rPr>
                <w:sz w:val="20"/>
                <w:szCs w:val="20"/>
                <w:color w:val="auto"/>
              </w:rPr>
            </w:pPr>
            <w:r>
              <w:rPr>
                <w:rFonts w:ascii="Arial" w:cs="Arial" w:eastAsia="Arial" w:hAnsi="Arial"/>
                <w:sz w:val="18"/>
                <w:szCs w:val="18"/>
                <w:color w:val="auto"/>
                <w:w w:val="85"/>
              </w:rPr>
              <w:t>27.1</w:t>
            </w:r>
          </w:p>
        </w:tc>
        <w:tc>
          <w:tcPr>
            <w:tcW w:w="140" w:type="dxa"/>
            <w:vAlign w:val="bottom"/>
          </w:tcPr>
          <w:p>
            <w:pPr>
              <w:spacing w:after="0"/>
              <w:rPr>
                <w:sz w:val="20"/>
                <w:szCs w:val="20"/>
                <w:color w:val="auto"/>
              </w:rPr>
            </w:pPr>
          </w:p>
        </w:tc>
        <w:tc>
          <w:tcPr>
            <w:tcW w:w="380" w:type="dxa"/>
            <w:vAlign w:val="bottom"/>
            <w:gridSpan w:val="2"/>
          </w:tcPr>
          <w:p>
            <w:pPr>
              <w:jc w:val="right"/>
              <w:ind w:right="88"/>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58"/>
              <w:spacing w:after="0"/>
              <w:rPr>
                <w:sz w:val="20"/>
                <w:szCs w:val="20"/>
                <w:color w:val="auto"/>
              </w:rPr>
            </w:pPr>
            <w:r>
              <w:rPr>
                <w:rFonts w:ascii="Arial" w:cs="Arial" w:eastAsia="Arial" w:hAnsi="Arial"/>
                <w:sz w:val="18"/>
                <w:szCs w:val="18"/>
                <w:color w:val="auto"/>
              </w:rPr>
              <w:t>27.7</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328"/>
        </w:trPr>
        <w:tc>
          <w:tcPr>
            <w:tcW w:w="38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700" w:type="dxa"/>
            <w:vAlign w:val="bottom"/>
            <w:gridSpan w:val="3"/>
          </w:tcPr>
          <w:p>
            <w:pPr>
              <w:jc w:val="right"/>
              <w:ind w:right="263"/>
              <w:spacing w:after="0"/>
              <w:rPr>
                <w:sz w:val="20"/>
                <w:szCs w:val="20"/>
                <w:color w:val="auto"/>
              </w:rPr>
            </w:pPr>
            <w:r>
              <w:rPr>
                <w:rFonts w:ascii="Arial" w:cs="Arial" w:eastAsia="Arial" w:hAnsi="Arial"/>
                <w:sz w:val="14"/>
                <w:szCs w:val="14"/>
                <w:b w:val="1"/>
                <w:bCs w:val="1"/>
                <w:color w:val="auto"/>
              </w:rPr>
              <w:t>For the three months ended</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60" w:type="dxa"/>
            <w:vAlign w:val="bottom"/>
            <w:gridSpan w:val="4"/>
          </w:tcPr>
          <w:p>
            <w:pPr>
              <w:ind w:left="440"/>
              <w:spacing w:after="0"/>
              <w:rPr>
                <w:sz w:val="20"/>
                <w:szCs w:val="20"/>
                <w:color w:val="auto"/>
              </w:rPr>
            </w:pPr>
            <w:r>
              <w:rPr>
                <w:rFonts w:ascii="Arial" w:cs="Arial" w:eastAsia="Arial" w:hAnsi="Arial"/>
                <w:sz w:val="14"/>
                <w:szCs w:val="14"/>
                <w:b w:val="1"/>
                <w:bCs w:val="1"/>
                <w:color w:val="auto"/>
              </w:rPr>
              <w:t>For the nine months ended</w:t>
            </w:r>
          </w:p>
        </w:tc>
        <w:tc>
          <w:tcPr>
            <w:tcW w:w="0" w:type="dxa"/>
            <w:vAlign w:val="bottom"/>
          </w:tcPr>
          <w:p>
            <w:pPr>
              <w:spacing w:after="0"/>
              <w:rPr>
                <w:sz w:val="1"/>
                <w:szCs w:val="1"/>
                <w:color w:val="auto"/>
              </w:rPr>
            </w:pPr>
          </w:p>
        </w:tc>
      </w:tr>
      <w:tr>
        <w:trPr>
          <w:trHeight w:val="17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700" w:type="dxa"/>
            <w:vAlign w:val="bottom"/>
            <w:tcBorders>
              <w:bottom w:val="single" w:sz="8" w:color="auto"/>
            </w:tcBorders>
            <w:gridSpan w:val="3"/>
          </w:tcPr>
          <w:p>
            <w:pPr>
              <w:jc w:val="right"/>
              <w:ind w:right="503"/>
              <w:spacing w:after="0"/>
              <w:rPr>
                <w:sz w:val="20"/>
                <w:szCs w:val="20"/>
                <w:color w:val="auto"/>
              </w:rPr>
            </w:pPr>
            <w:r>
              <w:rPr>
                <w:rFonts w:ascii="Arial" w:cs="Arial" w:eastAsia="Arial" w:hAnsi="Arial"/>
                <w:sz w:val="14"/>
                <w:szCs w:val="14"/>
                <w:b w:val="1"/>
                <w:bCs w:val="1"/>
                <w:color w:val="auto"/>
              </w:rPr>
              <w:t>September 30, 2015</w:t>
            </w:r>
          </w:p>
        </w:tc>
        <w:tc>
          <w:tcPr>
            <w:tcW w:w="3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760" w:type="dxa"/>
            <w:vAlign w:val="bottom"/>
            <w:tcBorders>
              <w:bottom w:val="single" w:sz="8" w:color="auto"/>
            </w:tcBorders>
            <w:gridSpan w:val="3"/>
          </w:tcPr>
          <w:p>
            <w:pPr>
              <w:jc w:val="right"/>
              <w:ind w:right="814"/>
              <w:spacing w:after="0"/>
              <w:rPr>
                <w:sz w:val="20"/>
                <w:szCs w:val="20"/>
                <w:color w:val="auto"/>
              </w:rPr>
            </w:pPr>
            <w:r>
              <w:rPr>
                <w:rFonts w:ascii="Arial" w:cs="Arial" w:eastAsia="Arial" w:hAnsi="Arial"/>
                <w:sz w:val="14"/>
                <w:szCs w:val="14"/>
                <w:b w:val="1"/>
                <w:bCs w:val="1"/>
                <w:color w:val="auto"/>
              </w:rPr>
              <w:t>September 30, 2015</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8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040" w:type="dxa"/>
            <w:vAlign w:val="bottom"/>
          </w:tcPr>
          <w:p>
            <w:pPr>
              <w:jc w:val="center"/>
              <w:ind w:left="269"/>
              <w:spacing w:after="0" w:line="119" w:lineRule="exact"/>
              <w:rPr>
                <w:sz w:val="20"/>
                <w:szCs w:val="20"/>
                <w:color w:val="auto"/>
              </w:rPr>
            </w:pPr>
            <w:r>
              <w:rPr>
                <w:rFonts w:ascii="Arial" w:cs="Arial" w:eastAsia="Arial" w:hAnsi="Arial"/>
                <w:sz w:val="13"/>
                <w:szCs w:val="13"/>
                <w:b w:val="1"/>
                <w:bCs w:val="1"/>
                <w:color w:val="auto"/>
                <w:w w:val="97"/>
              </w:rPr>
              <w:t>Average</w:t>
            </w:r>
          </w:p>
        </w:tc>
        <w:tc>
          <w:tcPr>
            <w:tcW w:w="600" w:type="dxa"/>
            <w:vAlign w:val="bottom"/>
          </w:tcPr>
          <w:p>
            <w:pPr>
              <w:spacing w:after="0"/>
              <w:rPr>
                <w:sz w:val="10"/>
                <w:szCs w:val="10"/>
                <w:color w:val="auto"/>
              </w:rPr>
            </w:pPr>
          </w:p>
        </w:tc>
        <w:tc>
          <w:tcPr>
            <w:tcW w:w="1540" w:type="dxa"/>
            <w:vAlign w:val="bottom"/>
            <w:gridSpan w:val="3"/>
            <w:vMerge w:val="restart"/>
          </w:tcPr>
          <w:p>
            <w:pPr>
              <w:jc w:val="right"/>
              <w:ind w:right="340"/>
              <w:spacing w:after="0"/>
              <w:rPr>
                <w:sz w:val="20"/>
                <w:szCs w:val="20"/>
                <w:color w:val="auto"/>
              </w:rPr>
            </w:pPr>
            <w:r>
              <w:rPr>
                <w:rFonts w:ascii="Arial" w:cs="Arial" w:eastAsia="Arial" w:hAnsi="Arial"/>
                <w:sz w:val="14"/>
                <w:szCs w:val="14"/>
                <w:b w:val="1"/>
                <w:bCs w:val="1"/>
                <w:color w:val="auto"/>
              </w:rPr>
              <w:t>Interest income</w:t>
            </w: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60" w:type="dxa"/>
            <w:vAlign w:val="bottom"/>
          </w:tcPr>
          <w:p>
            <w:pPr>
              <w:jc w:val="center"/>
              <w:ind w:right="278"/>
              <w:spacing w:after="0" w:line="119" w:lineRule="exact"/>
              <w:rPr>
                <w:sz w:val="20"/>
                <w:szCs w:val="20"/>
                <w:color w:val="auto"/>
              </w:rPr>
            </w:pPr>
            <w:r>
              <w:rPr>
                <w:rFonts w:ascii="Arial" w:cs="Arial" w:eastAsia="Arial" w:hAnsi="Arial"/>
                <w:sz w:val="13"/>
                <w:szCs w:val="13"/>
                <w:b w:val="1"/>
                <w:bCs w:val="1"/>
                <w:color w:val="auto"/>
                <w:w w:val="97"/>
              </w:rPr>
              <w:t>Average</w:t>
            </w:r>
          </w:p>
        </w:tc>
        <w:tc>
          <w:tcPr>
            <w:tcW w:w="280" w:type="dxa"/>
            <w:vAlign w:val="bottom"/>
          </w:tcPr>
          <w:p>
            <w:pPr>
              <w:spacing w:after="0"/>
              <w:rPr>
                <w:sz w:val="10"/>
                <w:szCs w:val="10"/>
                <w:color w:val="auto"/>
              </w:rPr>
            </w:pPr>
          </w:p>
        </w:tc>
        <w:tc>
          <w:tcPr>
            <w:tcW w:w="13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Interest income</w:t>
            </w:r>
          </w:p>
        </w:tc>
        <w:tc>
          <w:tcPr>
            <w:tcW w:w="0" w:type="dxa"/>
            <w:vAlign w:val="bottom"/>
          </w:tcPr>
          <w:p>
            <w:pPr>
              <w:spacing w:after="0"/>
              <w:rPr>
                <w:sz w:val="1"/>
                <w:szCs w:val="1"/>
                <w:color w:val="auto"/>
              </w:rPr>
            </w:pPr>
          </w:p>
        </w:tc>
      </w:tr>
      <w:tr>
        <w:trPr>
          <w:trHeight w:val="149"/>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40" w:type="dxa"/>
            <w:vAlign w:val="bottom"/>
          </w:tcPr>
          <w:p>
            <w:pPr>
              <w:jc w:val="center"/>
              <w:ind w:left="249"/>
              <w:spacing w:after="0" w:line="149" w:lineRule="exact"/>
              <w:rPr>
                <w:sz w:val="20"/>
                <w:szCs w:val="20"/>
                <w:color w:val="auto"/>
              </w:rPr>
            </w:pPr>
            <w:r>
              <w:rPr>
                <w:rFonts w:ascii="Arial" w:cs="Arial" w:eastAsia="Arial" w:hAnsi="Arial"/>
                <w:sz w:val="14"/>
                <w:szCs w:val="14"/>
                <w:b w:val="1"/>
                <w:bCs w:val="1"/>
                <w:color w:val="auto"/>
                <w:w w:val="93"/>
              </w:rPr>
              <w:t>recorded</w:t>
            </w:r>
          </w:p>
        </w:tc>
        <w:tc>
          <w:tcPr>
            <w:tcW w:w="600" w:type="dxa"/>
            <w:vAlign w:val="bottom"/>
          </w:tcPr>
          <w:p>
            <w:pPr>
              <w:spacing w:after="0"/>
              <w:rPr>
                <w:sz w:val="12"/>
                <w:szCs w:val="12"/>
                <w:color w:val="auto"/>
              </w:rPr>
            </w:pPr>
          </w:p>
        </w:tc>
        <w:tc>
          <w:tcPr>
            <w:tcW w:w="154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tcPr>
          <w:p>
            <w:pPr>
              <w:jc w:val="center"/>
              <w:ind w:right="298"/>
              <w:spacing w:after="0" w:line="149" w:lineRule="exact"/>
              <w:rPr>
                <w:sz w:val="20"/>
                <w:szCs w:val="20"/>
                <w:color w:val="auto"/>
              </w:rPr>
            </w:pPr>
            <w:r>
              <w:rPr>
                <w:rFonts w:ascii="Arial" w:cs="Arial" w:eastAsia="Arial" w:hAnsi="Arial"/>
                <w:sz w:val="14"/>
                <w:szCs w:val="14"/>
                <w:b w:val="1"/>
                <w:bCs w:val="1"/>
                <w:color w:val="auto"/>
                <w:w w:val="93"/>
              </w:rPr>
              <w:t>recorded</w:t>
            </w:r>
          </w:p>
        </w:tc>
        <w:tc>
          <w:tcPr>
            <w:tcW w:w="28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40" w:type="dxa"/>
            <w:vAlign w:val="bottom"/>
          </w:tcPr>
          <w:p>
            <w:pPr>
              <w:jc w:val="center"/>
              <w:ind w:left="249"/>
              <w:spacing w:after="0"/>
              <w:rPr>
                <w:sz w:val="20"/>
                <w:szCs w:val="20"/>
                <w:color w:val="auto"/>
              </w:rPr>
            </w:pPr>
            <w:r>
              <w:rPr>
                <w:rFonts w:ascii="Arial" w:cs="Arial" w:eastAsia="Arial" w:hAnsi="Arial"/>
                <w:sz w:val="14"/>
                <w:szCs w:val="14"/>
                <w:b w:val="1"/>
                <w:bCs w:val="1"/>
                <w:color w:val="auto"/>
                <w:w w:val="91"/>
              </w:rPr>
              <w:t>investment</w:t>
            </w:r>
          </w:p>
        </w:tc>
        <w:tc>
          <w:tcPr>
            <w:tcW w:w="600" w:type="dxa"/>
            <w:vAlign w:val="bottom"/>
          </w:tcPr>
          <w:p>
            <w:pPr>
              <w:spacing w:after="0"/>
              <w:rPr>
                <w:sz w:val="14"/>
                <w:szCs w:val="14"/>
                <w:color w:val="auto"/>
              </w:rPr>
            </w:pPr>
          </w:p>
        </w:tc>
        <w:tc>
          <w:tcPr>
            <w:tcW w:w="1060" w:type="dxa"/>
            <w:vAlign w:val="bottom"/>
          </w:tcPr>
          <w:p>
            <w:pPr>
              <w:jc w:val="right"/>
              <w:spacing w:after="0"/>
              <w:rPr>
                <w:sz w:val="20"/>
                <w:szCs w:val="20"/>
                <w:color w:val="auto"/>
              </w:rPr>
            </w:pPr>
            <w:r>
              <w:rPr>
                <w:rFonts w:ascii="Arial" w:cs="Arial" w:eastAsia="Arial" w:hAnsi="Arial"/>
                <w:sz w:val="14"/>
                <w:szCs w:val="14"/>
                <w:b w:val="1"/>
                <w:bCs w:val="1"/>
                <w:color w:val="auto"/>
              </w:rPr>
              <w:t>recognized</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tcPr>
          <w:p>
            <w:pPr>
              <w:jc w:val="center"/>
              <w:ind w:right="298"/>
              <w:spacing w:after="0"/>
              <w:rPr>
                <w:sz w:val="20"/>
                <w:szCs w:val="20"/>
                <w:color w:val="auto"/>
              </w:rPr>
            </w:pPr>
            <w:r>
              <w:rPr>
                <w:rFonts w:ascii="Arial" w:cs="Arial" w:eastAsia="Arial" w:hAnsi="Arial"/>
                <w:sz w:val="14"/>
                <w:szCs w:val="14"/>
                <w:b w:val="1"/>
                <w:bCs w:val="1"/>
                <w:color w:val="auto"/>
                <w:w w:val="91"/>
              </w:rPr>
              <w:t>investment</w:t>
            </w:r>
          </w:p>
        </w:tc>
        <w:tc>
          <w:tcPr>
            <w:tcW w:w="280" w:type="dxa"/>
            <w:vAlign w:val="bottom"/>
          </w:tcPr>
          <w:p>
            <w:pPr>
              <w:spacing w:after="0"/>
              <w:rPr>
                <w:sz w:val="14"/>
                <w:szCs w:val="14"/>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recognized</w:t>
            </w:r>
          </w:p>
        </w:tc>
        <w:tc>
          <w:tcPr>
            <w:tcW w:w="0" w:type="dxa"/>
            <w:vAlign w:val="bottom"/>
          </w:tcPr>
          <w:p>
            <w:pPr>
              <w:spacing w:after="0"/>
              <w:rPr>
                <w:sz w:val="1"/>
                <w:szCs w:val="1"/>
                <w:color w:val="auto"/>
              </w:rPr>
            </w:pPr>
          </w:p>
        </w:tc>
      </w:tr>
      <w:tr>
        <w:trPr>
          <w:trHeight w:val="142"/>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gridSpan w:val="4"/>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126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With no related allowance recorded:</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Commercial-brick and mortar</w:t>
            </w:r>
          </w:p>
        </w:tc>
        <w:tc>
          <w:tcPr>
            <w:tcW w:w="2240" w:type="dxa"/>
            <w:vAlign w:val="bottom"/>
            <w:gridSpan w:val="2"/>
          </w:tcPr>
          <w:p>
            <w:pPr>
              <w:jc w:val="right"/>
              <w:ind w:right="889"/>
              <w:spacing w:after="0"/>
              <w:rPr>
                <w:sz w:val="20"/>
                <w:szCs w:val="20"/>
                <w:color w:val="auto"/>
              </w:rPr>
            </w:pPr>
            <w:r>
              <w:rPr>
                <w:rFonts w:ascii="Arial" w:cs="Arial" w:eastAsia="Arial" w:hAnsi="Arial"/>
                <w:sz w:val="18"/>
                <w:szCs w:val="18"/>
                <w:b w:val="1"/>
                <w:bCs w:val="1"/>
                <w:color w:val="auto"/>
              </w:rPr>
              <w:t>$</w:t>
            </w:r>
          </w:p>
        </w:tc>
        <w:tc>
          <w:tcPr>
            <w:tcW w:w="600" w:type="dxa"/>
            <w:vAlign w:val="bottom"/>
          </w:tcPr>
          <w:p>
            <w:pPr>
              <w:jc w:val="right"/>
              <w:ind w:right="190"/>
              <w:spacing w:after="0"/>
              <w:rPr>
                <w:sz w:val="20"/>
                <w:szCs w:val="20"/>
                <w:color w:val="auto"/>
              </w:rPr>
            </w:pPr>
            <w:r>
              <w:rPr>
                <w:rFonts w:ascii="Arial" w:cs="Arial" w:eastAsia="Arial" w:hAnsi="Arial"/>
                <w:sz w:val="18"/>
                <w:szCs w:val="18"/>
                <w:b w:val="1"/>
                <w:bCs w:val="1"/>
                <w:color w:val="auto"/>
              </w:rPr>
              <w:t>—</w:t>
            </w:r>
          </w:p>
        </w:tc>
        <w:tc>
          <w:tcPr>
            <w:tcW w:w="1060" w:type="dxa"/>
            <w:vAlign w:val="bottom"/>
          </w:tcPr>
          <w:p>
            <w:pPr>
              <w:jc w:val="right"/>
              <w:ind w:right="863"/>
              <w:spacing w:after="0"/>
              <w:rPr>
                <w:sz w:val="20"/>
                <w:szCs w:val="20"/>
                <w:color w:val="auto"/>
              </w:rPr>
            </w:pPr>
            <w:r>
              <w:rPr>
                <w:rFonts w:ascii="Arial" w:cs="Arial" w:eastAsia="Arial" w:hAnsi="Arial"/>
                <w:sz w:val="18"/>
                <w:szCs w:val="18"/>
                <w:b w:val="1"/>
                <w:bCs w:val="1"/>
                <w:color w:val="auto"/>
                <w:w w:val="99"/>
              </w:rPr>
              <w:t>$</w:t>
            </w:r>
          </w:p>
        </w:tc>
        <w:tc>
          <w:tcPr>
            <w:tcW w:w="4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380" w:type="dxa"/>
            <w:vAlign w:val="bottom"/>
            <w:gridSpan w:val="2"/>
          </w:tcPr>
          <w:p>
            <w:pPr>
              <w:jc w:val="right"/>
              <w:ind w:right="68"/>
              <w:spacing w:after="0"/>
              <w:rPr>
                <w:sz w:val="20"/>
                <w:szCs w:val="20"/>
                <w:color w:val="auto"/>
              </w:rPr>
            </w:pPr>
            <w:r>
              <w:rPr>
                <w:rFonts w:ascii="Arial" w:cs="Arial" w:eastAsia="Arial" w:hAnsi="Arial"/>
                <w:sz w:val="18"/>
                <w:szCs w:val="18"/>
                <w:b w:val="1"/>
                <w:bCs w:val="1"/>
                <w:color w:val="auto"/>
              </w:rPr>
              <w:t>$</w:t>
            </w:r>
          </w:p>
        </w:tc>
        <w:tc>
          <w:tcPr>
            <w:tcW w:w="1260" w:type="dxa"/>
            <w:vAlign w:val="bottom"/>
          </w:tcPr>
          <w:p>
            <w:pPr>
              <w:jc w:val="right"/>
              <w:ind w:right="58"/>
              <w:spacing w:after="0"/>
              <w:rPr>
                <w:sz w:val="20"/>
                <w:szCs w:val="20"/>
                <w:color w:val="auto"/>
              </w:rPr>
            </w:pPr>
            <w:r>
              <w:rPr>
                <w:rFonts w:ascii="Arial" w:cs="Arial" w:eastAsia="Arial" w:hAnsi="Arial"/>
                <w:sz w:val="18"/>
                <w:szCs w:val="18"/>
                <w:b w:val="1"/>
                <w:bCs w:val="1"/>
                <w:color w:val="auto"/>
              </w:rPr>
              <w:t>2.6</w:t>
            </w:r>
          </w:p>
        </w:tc>
        <w:tc>
          <w:tcPr>
            <w:tcW w:w="2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Residential-first liens</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3.6</w:t>
            </w:r>
          </w:p>
        </w:tc>
        <w:tc>
          <w:tcPr>
            <w:tcW w:w="10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b w:val="1"/>
                <w:bCs w:val="1"/>
                <w:color w:val="auto"/>
              </w:rPr>
              <w:t>3.3</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With an allowance recorded:</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Commercial-brick and mortar</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4.4</w:t>
            </w:r>
          </w:p>
        </w:tc>
        <w:tc>
          <w:tcPr>
            <w:tcW w:w="10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b w:val="1"/>
                <w:bCs w:val="1"/>
                <w:color w:val="auto"/>
              </w:rPr>
              <w:t>4.4</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0.2</w:t>
            </w: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Residential-home equity</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jc w:val="right"/>
              <w:ind w:right="190"/>
              <w:spacing w:after="0"/>
              <w:rPr>
                <w:sz w:val="20"/>
                <w:szCs w:val="20"/>
                <w:color w:val="auto"/>
              </w:rPr>
            </w:pPr>
            <w:r>
              <w:rPr>
                <w:rFonts w:ascii="Arial" w:cs="Arial" w:eastAsia="Arial" w:hAnsi="Arial"/>
                <w:sz w:val="18"/>
                <w:szCs w:val="18"/>
                <w:b w:val="1"/>
                <w:bCs w:val="1"/>
                <w:color w:val="auto"/>
                <w:w w:val="85"/>
              </w:rPr>
              <w:t>14.9</w:t>
            </w:r>
          </w:p>
        </w:tc>
        <w:tc>
          <w:tcPr>
            <w:tcW w:w="1060" w:type="dxa"/>
            <w:vAlign w:val="bottom"/>
          </w:tcPr>
          <w:p>
            <w:pPr>
              <w:spacing w:after="0"/>
              <w:rPr>
                <w:sz w:val="18"/>
                <w:szCs w:val="18"/>
                <w:color w:val="auto"/>
              </w:rPr>
            </w:pPr>
          </w:p>
        </w:tc>
        <w:tc>
          <w:tcPr>
            <w:tcW w:w="4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0.1</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jc w:val="right"/>
              <w:ind w:right="58"/>
              <w:spacing w:after="0"/>
              <w:rPr>
                <w:sz w:val="20"/>
                <w:szCs w:val="20"/>
                <w:color w:val="auto"/>
              </w:rPr>
            </w:pPr>
            <w:r>
              <w:rPr>
                <w:rFonts w:ascii="Arial" w:cs="Arial" w:eastAsia="Arial" w:hAnsi="Arial"/>
                <w:sz w:val="18"/>
                <w:szCs w:val="18"/>
                <w:b w:val="1"/>
                <w:bCs w:val="1"/>
                <w:color w:val="auto"/>
              </w:rPr>
              <w:t>15.5</w:t>
            </w:r>
          </w:p>
        </w:tc>
        <w:tc>
          <w:tcPr>
            <w:tcW w:w="28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0.3</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Residential-first liens</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6.9</w:t>
            </w:r>
          </w:p>
        </w:tc>
        <w:tc>
          <w:tcPr>
            <w:tcW w:w="10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b w:val="1"/>
                <w:bCs w:val="1"/>
                <w:color w:val="auto"/>
              </w:rPr>
              <w:t>7.2</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0.1</w:t>
            </w: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Total:</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Commercial</w:t>
            </w:r>
          </w:p>
        </w:tc>
        <w:tc>
          <w:tcPr>
            <w:tcW w:w="2240" w:type="dxa"/>
            <w:vAlign w:val="bottom"/>
            <w:gridSpan w:val="2"/>
            <w:shd w:val="clear" w:color="auto" w:fill="CCEEFF"/>
          </w:tcPr>
          <w:p>
            <w:pPr>
              <w:jc w:val="right"/>
              <w:ind w:right="889"/>
              <w:spacing w:after="0"/>
              <w:rPr>
                <w:sz w:val="20"/>
                <w:szCs w:val="20"/>
                <w:color w:val="auto"/>
              </w:rPr>
            </w:pPr>
            <w:r>
              <w:rPr>
                <w:rFonts w:ascii="Arial" w:cs="Arial" w:eastAsia="Arial" w:hAnsi="Arial"/>
                <w:sz w:val="18"/>
                <w:szCs w:val="18"/>
                <w:b w:val="1"/>
                <w:bCs w:val="1"/>
                <w:color w:val="auto"/>
              </w:rPr>
              <w:t>$</w:t>
            </w:r>
          </w:p>
        </w:tc>
        <w:tc>
          <w:tcPr>
            <w:tcW w:w="600" w:type="dxa"/>
            <w:vAlign w:val="bottom"/>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4.4</w:t>
            </w:r>
          </w:p>
        </w:tc>
        <w:tc>
          <w:tcPr>
            <w:tcW w:w="1060" w:type="dxa"/>
            <w:vAlign w:val="bottom"/>
            <w:shd w:val="clear" w:color="auto" w:fill="CCEEFF"/>
          </w:tcPr>
          <w:p>
            <w:pPr>
              <w:jc w:val="right"/>
              <w:ind w:right="863"/>
              <w:spacing w:after="0"/>
              <w:rPr>
                <w:sz w:val="20"/>
                <w:szCs w:val="20"/>
                <w:color w:val="auto"/>
              </w:rPr>
            </w:pPr>
            <w:r>
              <w:rPr>
                <w:rFonts w:ascii="Arial" w:cs="Arial" w:eastAsia="Arial" w:hAnsi="Arial"/>
                <w:sz w:val="18"/>
                <w:szCs w:val="18"/>
                <w:b w:val="1"/>
                <w:bCs w:val="1"/>
                <w:color w:val="auto"/>
                <w:w w:val="99"/>
              </w:rPr>
              <w:t>$</w:t>
            </w:r>
          </w:p>
        </w:tc>
        <w:tc>
          <w:tcPr>
            <w:tcW w:w="4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38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b w:val="1"/>
                <w:bCs w:val="1"/>
                <w:color w:val="auto"/>
              </w:rPr>
              <w:t>$</w:t>
            </w:r>
          </w:p>
        </w:tc>
        <w:tc>
          <w:tcPr>
            <w:tcW w:w="1260" w:type="dxa"/>
            <w:vAlign w:val="bottom"/>
            <w:shd w:val="clear" w:color="auto" w:fill="CCEEFF"/>
          </w:tcPr>
          <w:p>
            <w:pPr>
              <w:jc w:val="right"/>
              <w:ind w:right="58"/>
              <w:spacing w:after="0"/>
              <w:rPr>
                <w:sz w:val="20"/>
                <w:szCs w:val="20"/>
                <w:color w:val="auto"/>
              </w:rPr>
            </w:pPr>
            <w:r>
              <w:rPr>
                <w:rFonts w:ascii="Arial" w:cs="Arial" w:eastAsia="Arial" w:hAnsi="Arial"/>
                <w:sz w:val="18"/>
                <w:szCs w:val="18"/>
                <w:b w:val="1"/>
                <w:bCs w:val="1"/>
                <w:color w:val="auto"/>
              </w:rPr>
              <w:t>7.0</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0.2</w:t>
            </w:r>
          </w:p>
        </w:tc>
        <w:tc>
          <w:tcPr>
            <w:tcW w:w="0" w:type="dxa"/>
            <w:vAlign w:val="bottom"/>
          </w:tcPr>
          <w:p>
            <w:pPr>
              <w:spacing w:after="0"/>
              <w:rPr>
                <w:sz w:val="1"/>
                <w:szCs w:val="1"/>
                <w:color w:val="auto"/>
              </w:rPr>
            </w:pPr>
          </w:p>
        </w:tc>
      </w:tr>
      <w:tr>
        <w:trPr>
          <w:trHeight w:val="234"/>
        </w:trPr>
        <w:tc>
          <w:tcPr>
            <w:tcW w:w="3800" w:type="dxa"/>
            <w:vAlign w:val="bottom"/>
          </w:tcPr>
          <w:p>
            <w:pPr>
              <w:ind w:left="200"/>
              <w:spacing w:after="0"/>
              <w:rPr>
                <w:sz w:val="20"/>
                <w:szCs w:val="20"/>
                <w:color w:val="auto"/>
              </w:rPr>
            </w:pPr>
            <w:r>
              <w:rPr>
                <w:rFonts w:ascii="Arial" w:cs="Arial" w:eastAsia="Arial" w:hAnsi="Arial"/>
                <w:sz w:val="18"/>
                <w:szCs w:val="18"/>
                <w:color w:val="auto"/>
              </w:rPr>
              <w:t>Residential</w:t>
            </w:r>
          </w:p>
        </w:tc>
        <w:tc>
          <w:tcPr>
            <w:tcW w:w="2240" w:type="dxa"/>
            <w:vAlign w:val="bottom"/>
            <w:gridSpan w:val="2"/>
          </w:tcPr>
          <w:p>
            <w:pPr>
              <w:jc w:val="right"/>
              <w:ind w:right="889"/>
              <w:spacing w:after="0"/>
              <w:rPr>
                <w:sz w:val="20"/>
                <w:szCs w:val="20"/>
                <w:color w:val="auto"/>
              </w:rPr>
            </w:pPr>
            <w:r>
              <w:rPr>
                <w:rFonts w:ascii="Arial" w:cs="Arial" w:eastAsia="Arial" w:hAnsi="Arial"/>
                <w:sz w:val="18"/>
                <w:szCs w:val="18"/>
                <w:b w:val="1"/>
                <w:bCs w:val="1"/>
                <w:color w:val="auto"/>
              </w:rPr>
              <w:t>$</w:t>
            </w:r>
          </w:p>
        </w:tc>
        <w:tc>
          <w:tcPr>
            <w:tcW w:w="600" w:type="dxa"/>
            <w:vAlign w:val="bottom"/>
          </w:tcPr>
          <w:p>
            <w:pPr>
              <w:jc w:val="right"/>
              <w:ind w:right="190"/>
              <w:spacing w:after="0"/>
              <w:rPr>
                <w:sz w:val="20"/>
                <w:szCs w:val="20"/>
                <w:color w:val="auto"/>
              </w:rPr>
            </w:pPr>
            <w:r>
              <w:rPr>
                <w:rFonts w:ascii="Arial" w:cs="Arial" w:eastAsia="Arial" w:hAnsi="Arial"/>
                <w:sz w:val="18"/>
                <w:szCs w:val="18"/>
                <w:b w:val="1"/>
                <w:bCs w:val="1"/>
                <w:color w:val="auto"/>
                <w:w w:val="85"/>
              </w:rPr>
              <w:t>25.4</w:t>
            </w:r>
          </w:p>
        </w:tc>
        <w:tc>
          <w:tcPr>
            <w:tcW w:w="1060" w:type="dxa"/>
            <w:vAlign w:val="bottom"/>
          </w:tcPr>
          <w:p>
            <w:pPr>
              <w:jc w:val="right"/>
              <w:ind w:right="863"/>
              <w:spacing w:after="0"/>
              <w:rPr>
                <w:sz w:val="20"/>
                <w:szCs w:val="20"/>
                <w:color w:val="auto"/>
              </w:rPr>
            </w:pPr>
            <w:r>
              <w:rPr>
                <w:rFonts w:ascii="Arial" w:cs="Arial" w:eastAsia="Arial" w:hAnsi="Arial"/>
                <w:sz w:val="18"/>
                <w:szCs w:val="18"/>
                <w:b w:val="1"/>
                <w:bCs w:val="1"/>
                <w:color w:val="auto"/>
                <w:w w:val="99"/>
              </w:rPr>
              <w:t>$</w:t>
            </w:r>
          </w:p>
        </w:tc>
        <w:tc>
          <w:tcPr>
            <w:tcW w:w="4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0.1</w:t>
            </w:r>
          </w:p>
        </w:tc>
        <w:tc>
          <w:tcPr>
            <w:tcW w:w="380" w:type="dxa"/>
            <w:vAlign w:val="bottom"/>
            <w:gridSpan w:val="2"/>
          </w:tcPr>
          <w:p>
            <w:pPr>
              <w:jc w:val="right"/>
              <w:ind w:right="68"/>
              <w:spacing w:after="0"/>
              <w:rPr>
                <w:sz w:val="20"/>
                <w:szCs w:val="20"/>
                <w:color w:val="auto"/>
              </w:rPr>
            </w:pPr>
            <w:r>
              <w:rPr>
                <w:rFonts w:ascii="Arial" w:cs="Arial" w:eastAsia="Arial" w:hAnsi="Arial"/>
                <w:sz w:val="18"/>
                <w:szCs w:val="18"/>
                <w:b w:val="1"/>
                <w:bCs w:val="1"/>
                <w:color w:val="auto"/>
              </w:rPr>
              <w:t>$</w:t>
            </w:r>
          </w:p>
        </w:tc>
        <w:tc>
          <w:tcPr>
            <w:tcW w:w="1260" w:type="dxa"/>
            <w:vAlign w:val="bottom"/>
          </w:tcPr>
          <w:p>
            <w:pPr>
              <w:jc w:val="right"/>
              <w:ind w:right="58"/>
              <w:spacing w:after="0"/>
              <w:rPr>
                <w:sz w:val="20"/>
                <w:szCs w:val="20"/>
                <w:color w:val="auto"/>
              </w:rPr>
            </w:pPr>
            <w:r>
              <w:rPr>
                <w:rFonts w:ascii="Arial" w:cs="Arial" w:eastAsia="Arial" w:hAnsi="Arial"/>
                <w:sz w:val="18"/>
                <w:szCs w:val="18"/>
                <w:b w:val="1"/>
                <w:bCs w:val="1"/>
                <w:color w:val="auto"/>
              </w:rPr>
              <w:t>26.0</w:t>
            </w:r>
          </w:p>
        </w:tc>
        <w:tc>
          <w:tcPr>
            <w:tcW w:w="2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0.4</w:t>
            </w:r>
          </w:p>
        </w:tc>
        <w:tc>
          <w:tcPr>
            <w:tcW w:w="0" w:type="dxa"/>
            <w:vAlign w:val="bottom"/>
          </w:tcPr>
          <w:p>
            <w:pPr>
              <w:spacing w:after="0"/>
              <w:rPr>
                <w:sz w:val="1"/>
                <w:szCs w:val="1"/>
                <w:color w:val="auto"/>
              </w:rPr>
            </w:pPr>
          </w:p>
        </w:tc>
      </w:tr>
    </w:tbl>
    <w:p>
      <w:pPr>
        <w:spacing w:after="0" w:line="183" w:lineRule="exact"/>
        <w:rPr>
          <w:sz w:val="20"/>
          <w:szCs w:val="20"/>
          <w:color w:val="auto"/>
        </w:rPr>
      </w:pPr>
    </w:p>
    <w:p>
      <w:pPr>
        <w:sectPr>
          <w:pgSz w:w="11900" w:h="16838" w:orient="portrait"/>
          <w:cols w:equalWidth="0" w:num="1">
            <w:col w:w="11460"/>
          </w:cols>
          <w:pgMar w:left="240" w:top="125" w:right="199" w:bottom="0" w:gutter="0" w:footer="0" w:header="0"/>
        </w:sectPr>
      </w:pPr>
    </w:p>
    <w:p>
      <w:pPr>
        <w:jc w:val="center"/>
        <w:ind w:right="40"/>
        <w:spacing w:after="0"/>
        <w:rPr>
          <w:sz w:val="20"/>
          <w:szCs w:val="20"/>
          <w:color w:val="auto"/>
        </w:rPr>
      </w:pPr>
      <w:r>
        <w:rPr>
          <w:rFonts w:ascii="Arial" w:cs="Arial" w:eastAsia="Arial" w:hAnsi="Arial"/>
          <w:sz w:val="16"/>
          <w:szCs w:val="16"/>
          <w:color w:val="auto"/>
        </w:rPr>
        <w:t>26</w:t>
      </w:r>
    </w:p>
    <w:p>
      <w:pPr>
        <w:sectPr>
          <w:pgSz w:w="11900" w:h="16838" w:orient="portrait"/>
          <w:cols w:equalWidth="0" w:num="1">
            <w:col w:w="11460"/>
          </w:cols>
          <w:pgMar w:left="240" w:top="125" w:right="199" w:bottom="0" w:gutter="0" w:footer="0" w:header="0"/>
          <w:type w:val="continuous"/>
        </w:sectPr>
      </w:pPr>
    </w:p>
    <w:bookmarkStart w:id="19" w:name="page20"/>
    <w:bookmarkEnd w:id="19"/>
    <w:p>
      <w:pPr>
        <w:spacing w:after="0" w:line="8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740" w:type="dxa"/>
            <w:vAlign w:val="bottom"/>
            <w:gridSpan w:val="3"/>
          </w:tcPr>
          <w:p>
            <w:pPr>
              <w:jc w:val="right"/>
              <w:ind w:right="297"/>
              <w:spacing w:after="0"/>
              <w:rPr>
                <w:sz w:val="20"/>
                <w:szCs w:val="20"/>
                <w:color w:val="auto"/>
              </w:rPr>
            </w:pPr>
            <w:r>
              <w:rPr>
                <w:rFonts w:ascii="Arial" w:cs="Arial" w:eastAsia="Arial" w:hAnsi="Arial"/>
                <w:sz w:val="14"/>
                <w:szCs w:val="14"/>
                <w:b w:val="1"/>
                <w:bCs w:val="1"/>
                <w:color w:val="auto"/>
              </w:rPr>
              <w:t>For the three months ended</w:t>
            </w: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20" w:type="dxa"/>
            <w:vAlign w:val="bottom"/>
            <w:gridSpan w:val="4"/>
          </w:tcPr>
          <w:p>
            <w:pPr>
              <w:jc w:val="center"/>
              <w:ind w:right="660"/>
              <w:spacing w:after="0"/>
              <w:rPr>
                <w:sz w:val="20"/>
                <w:szCs w:val="20"/>
                <w:color w:val="auto"/>
              </w:rPr>
            </w:pPr>
            <w:r>
              <w:rPr>
                <w:rFonts w:ascii="Arial" w:cs="Arial" w:eastAsia="Arial" w:hAnsi="Arial"/>
                <w:sz w:val="14"/>
                <w:szCs w:val="14"/>
                <w:b w:val="1"/>
                <w:bCs w:val="1"/>
                <w:color w:val="auto"/>
                <w:w w:val="91"/>
              </w:rPr>
              <w:t>For the nine months ended</w:t>
            </w:r>
          </w:p>
        </w:tc>
        <w:tc>
          <w:tcPr>
            <w:tcW w:w="0" w:type="dxa"/>
            <w:vAlign w:val="bottom"/>
          </w:tcPr>
          <w:p>
            <w:pPr>
              <w:spacing w:after="0"/>
              <w:rPr>
                <w:sz w:val="1"/>
                <w:szCs w:val="1"/>
                <w:color w:val="auto"/>
              </w:rPr>
            </w:pPr>
          </w:p>
        </w:tc>
      </w:tr>
      <w:tr>
        <w:trPr>
          <w:trHeight w:val="17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740" w:type="dxa"/>
            <w:vAlign w:val="bottom"/>
            <w:tcBorders>
              <w:bottom w:val="single" w:sz="8" w:color="auto"/>
            </w:tcBorders>
            <w:gridSpan w:val="3"/>
          </w:tcPr>
          <w:p>
            <w:pPr>
              <w:jc w:val="right"/>
              <w:ind w:right="537"/>
              <w:spacing w:after="0"/>
              <w:rPr>
                <w:sz w:val="20"/>
                <w:szCs w:val="20"/>
                <w:color w:val="auto"/>
              </w:rPr>
            </w:pPr>
            <w:r>
              <w:rPr>
                <w:rFonts w:ascii="Arial" w:cs="Arial" w:eastAsia="Arial" w:hAnsi="Arial"/>
                <w:sz w:val="14"/>
                <w:szCs w:val="14"/>
                <w:b w:val="1"/>
                <w:bCs w:val="1"/>
                <w:color w:val="auto"/>
              </w:rPr>
              <w:t>September 30, 2014</w:t>
            </w:r>
          </w:p>
        </w:tc>
        <w:tc>
          <w:tcPr>
            <w:tcW w:w="44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820" w:type="dxa"/>
            <w:vAlign w:val="bottom"/>
            <w:tcBorders>
              <w:bottom w:val="single" w:sz="8" w:color="auto"/>
            </w:tcBorders>
            <w:gridSpan w:val="4"/>
          </w:tcPr>
          <w:p>
            <w:pPr>
              <w:jc w:val="center"/>
              <w:ind w:right="660"/>
              <w:spacing w:after="0"/>
              <w:rPr>
                <w:sz w:val="20"/>
                <w:szCs w:val="20"/>
                <w:color w:val="auto"/>
              </w:rPr>
            </w:pPr>
            <w:r>
              <w:rPr>
                <w:rFonts w:ascii="Arial" w:cs="Arial" w:eastAsia="Arial" w:hAnsi="Arial"/>
                <w:sz w:val="14"/>
                <w:szCs w:val="14"/>
                <w:b w:val="1"/>
                <w:bCs w:val="1"/>
                <w:color w:val="auto"/>
                <w:w w:val="91"/>
              </w:rPr>
              <w:t>September 30, 2014</w:t>
            </w:r>
          </w:p>
        </w:tc>
        <w:tc>
          <w:tcPr>
            <w:tcW w:w="0" w:type="dxa"/>
            <w:vAlign w:val="bottom"/>
          </w:tcPr>
          <w:p>
            <w:pPr>
              <w:spacing w:after="0"/>
              <w:rPr>
                <w:sz w:val="1"/>
                <w:szCs w:val="1"/>
                <w:color w:val="auto"/>
              </w:rPr>
            </w:pPr>
          </w:p>
        </w:tc>
      </w:tr>
      <w:tr>
        <w:trPr>
          <w:trHeight w:val="119"/>
        </w:trPr>
        <w:tc>
          <w:tcPr>
            <w:tcW w:w="38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040" w:type="dxa"/>
            <w:vAlign w:val="bottom"/>
          </w:tcPr>
          <w:p>
            <w:pPr>
              <w:jc w:val="center"/>
              <w:ind w:left="269"/>
              <w:spacing w:after="0" w:line="119" w:lineRule="exact"/>
              <w:rPr>
                <w:sz w:val="20"/>
                <w:szCs w:val="20"/>
                <w:color w:val="auto"/>
              </w:rPr>
            </w:pPr>
            <w:r>
              <w:rPr>
                <w:rFonts w:ascii="Arial" w:cs="Arial" w:eastAsia="Arial" w:hAnsi="Arial"/>
                <w:sz w:val="13"/>
                <w:szCs w:val="13"/>
                <w:b w:val="1"/>
                <w:bCs w:val="1"/>
                <w:color w:val="auto"/>
                <w:w w:val="97"/>
              </w:rPr>
              <w:t>Average</w:t>
            </w:r>
          </w:p>
        </w:tc>
        <w:tc>
          <w:tcPr>
            <w:tcW w:w="480" w:type="dxa"/>
            <w:vAlign w:val="bottom"/>
          </w:tcPr>
          <w:p>
            <w:pPr>
              <w:spacing w:after="0"/>
              <w:rPr>
                <w:sz w:val="10"/>
                <w:szCs w:val="10"/>
                <w:color w:val="auto"/>
              </w:rPr>
            </w:pPr>
          </w:p>
        </w:tc>
        <w:tc>
          <w:tcPr>
            <w:tcW w:w="1660" w:type="dxa"/>
            <w:vAlign w:val="bottom"/>
            <w:gridSpan w:val="2"/>
            <w:vMerge w:val="restart"/>
          </w:tcPr>
          <w:p>
            <w:pPr>
              <w:jc w:val="right"/>
              <w:ind w:right="252"/>
              <w:spacing w:after="0"/>
              <w:rPr>
                <w:sz w:val="20"/>
                <w:szCs w:val="20"/>
                <w:color w:val="auto"/>
              </w:rPr>
            </w:pPr>
            <w:r>
              <w:rPr>
                <w:rFonts w:ascii="Arial" w:cs="Arial" w:eastAsia="Arial" w:hAnsi="Arial"/>
                <w:sz w:val="14"/>
                <w:szCs w:val="14"/>
                <w:b w:val="1"/>
                <w:bCs w:val="1"/>
                <w:color w:val="auto"/>
              </w:rPr>
              <w:t>Interest income</w:t>
            </w:r>
          </w:p>
        </w:tc>
        <w:tc>
          <w:tcPr>
            <w:tcW w:w="420" w:type="dxa"/>
            <w:vAlign w:val="bottom"/>
          </w:tcPr>
          <w:p>
            <w:pPr>
              <w:spacing w:after="0"/>
              <w:rPr>
                <w:sz w:val="10"/>
                <w:szCs w:val="10"/>
                <w:color w:val="auto"/>
              </w:rPr>
            </w:pPr>
          </w:p>
        </w:tc>
        <w:tc>
          <w:tcPr>
            <w:tcW w:w="1220" w:type="dxa"/>
            <w:vAlign w:val="bottom"/>
          </w:tcPr>
          <w:p>
            <w:pPr>
              <w:jc w:val="center"/>
              <w:ind w:right="318"/>
              <w:spacing w:after="0" w:line="119" w:lineRule="exact"/>
              <w:rPr>
                <w:sz w:val="20"/>
                <w:szCs w:val="20"/>
                <w:color w:val="auto"/>
              </w:rPr>
            </w:pPr>
            <w:r>
              <w:rPr>
                <w:rFonts w:ascii="Arial" w:cs="Arial" w:eastAsia="Arial" w:hAnsi="Arial"/>
                <w:sz w:val="13"/>
                <w:szCs w:val="13"/>
                <w:b w:val="1"/>
                <w:bCs w:val="1"/>
                <w:color w:val="auto"/>
                <w:w w:val="97"/>
              </w:rPr>
              <w:t>Average</w:t>
            </w:r>
          </w:p>
        </w:tc>
        <w:tc>
          <w:tcPr>
            <w:tcW w:w="280" w:type="dxa"/>
            <w:vAlign w:val="bottom"/>
          </w:tcPr>
          <w:p>
            <w:pPr>
              <w:spacing w:after="0"/>
              <w:rPr>
                <w:sz w:val="10"/>
                <w:szCs w:val="10"/>
                <w:color w:val="auto"/>
              </w:rPr>
            </w:pPr>
          </w:p>
        </w:tc>
        <w:tc>
          <w:tcPr>
            <w:tcW w:w="13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Interest income</w:t>
            </w:r>
          </w:p>
        </w:tc>
        <w:tc>
          <w:tcPr>
            <w:tcW w:w="0" w:type="dxa"/>
            <w:vAlign w:val="bottom"/>
          </w:tcPr>
          <w:p>
            <w:pPr>
              <w:spacing w:after="0"/>
              <w:rPr>
                <w:sz w:val="1"/>
                <w:szCs w:val="1"/>
                <w:color w:val="auto"/>
              </w:rPr>
            </w:pPr>
          </w:p>
        </w:tc>
      </w:tr>
      <w:tr>
        <w:trPr>
          <w:trHeight w:val="149"/>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40" w:type="dxa"/>
            <w:vAlign w:val="bottom"/>
          </w:tcPr>
          <w:p>
            <w:pPr>
              <w:jc w:val="center"/>
              <w:ind w:left="249"/>
              <w:spacing w:after="0" w:line="149" w:lineRule="exact"/>
              <w:rPr>
                <w:sz w:val="20"/>
                <w:szCs w:val="20"/>
                <w:color w:val="auto"/>
              </w:rPr>
            </w:pPr>
            <w:r>
              <w:rPr>
                <w:rFonts w:ascii="Arial" w:cs="Arial" w:eastAsia="Arial" w:hAnsi="Arial"/>
                <w:sz w:val="14"/>
                <w:szCs w:val="14"/>
                <w:b w:val="1"/>
                <w:bCs w:val="1"/>
                <w:color w:val="auto"/>
                <w:w w:val="93"/>
              </w:rPr>
              <w:t>recorded</w:t>
            </w:r>
          </w:p>
        </w:tc>
        <w:tc>
          <w:tcPr>
            <w:tcW w:w="480" w:type="dxa"/>
            <w:vAlign w:val="bottom"/>
          </w:tcPr>
          <w:p>
            <w:pPr>
              <w:spacing w:after="0"/>
              <w:rPr>
                <w:sz w:val="12"/>
                <w:szCs w:val="12"/>
                <w:color w:val="auto"/>
              </w:rPr>
            </w:pPr>
          </w:p>
        </w:tc>
        <w:tc>
          <w:tcPr>
            <w:tcW w:w="1660" w:type="dxa"/>
            <w:vAlign w:val="bottom"/>
            <w:gridSpan w:val="2"/>
            <w:vMerge w:val="continue"/>
          </w:tcPr>
          <w:p>
            <w:pPr>
              <w:spacing w:after="0"/>
              <w:rPr>
                <w:sz w:val="12"/>
                <w:szCs w:val="12"/>
                <w:color w:val="auto"/>
              </w:rPr>
            </w:pPr>
          </w:p>
        </w:tc>
        <w:tc>
          <w:tcPr>
            <w:tcW w:w="420" w:type="dxa"/>
            <w:vAlign w:val="bottom"/>
          </w:tcPr>
          <w:p>
            <w:pPr>
              <w:spacing w:after="0"/>
              <w:rPr>
                <w:sz w:val="12"/>
                <w:szCs w:val="12"/>
                <w:color w:val="auto"/>
              </w:rPr>
            </w:pPr>
          </w:p>
        </w:tc>
        <w:tc>
          <w:tcPr>
            <w:tcW w:w="1220" w:type="dxa"/>
            <w:vAlign w:val="bottom"/>
          </w:tcPr>
          <w:p>
            <w:pPr>
              <w:jc w:val="center"/>
              <w:ind w:right="338"/>
              <w:spacing w:after="0" w:line="149" w:lineRule="exact"/>
              <w:rPr>
                <w:sz w:val="20"/>
                <w:szCs w:val="20"/>
                <w:color w:val="auto"/>
              </w:rPr>
            </w:pPr>
            <w:r>
              <w:rPr>
                <w:rFonts w:ascii="Arial" w:cs="Arial" w:eastAsia="Arial" w:hAnsi="Arial"/>
                <w:sz w:val="14"/>
                <w:szCs w:val="14"/>
                <w:b w:val="1"/>
                <w:bCs w:val="1"/>
                <w:color w:val="auto"/>
                <w:w w:val="93"/>
              </w:rPr>
              <w:t>recorded</w:t>
            </w:r>
          </w:p>
        </w:tc>
        <w:tc>
          <w:tcPr>
            <w:tcW w:w="28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8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40" w:type="dxa"/>
            <w:vAlign w:val="bottom"/>
          </w:tcPr>
          <w:p>
            <w:pPr>
              <w:jc w:val="center"/>
              <w:ind w:left="249"/>
              <w:spacing w:after="0"/>
              <w:rPr>
                <w:sz w:val="20"/>
                <w:szCs w:val="20"/>
                <w:color w:val="auto"/>
              </w:rPr>
            </w:pPr>
            <w:r>
              <w:rPr>
                <w:rFonts w:ascii="Arial" w:cs="Arial" w:eastAsia="Arial" w:hAnsi="Arial"/>
                <w:sz w:val="14"/>
                <w:szCs w:val="14"/>
                <w:b w:val="1"/>
                <w:bCs w:val="1"/>
                <w:color w:val="auto"/>
                <w:w w:val="91"/>
              </w:rPr>
              <w:t>investment</w:t>
            </w:r>
          </w:p>
        </w:tc>
        <w:tc>
          <w:tcPr>
            <w:tcW w:w="480" w:type="dxa"/>
            <w:vAlign w:val="bottom"/>
          </w:tcPr>
          <w:p>
            <w:pPr>
              <w:spacing w:after="0"/>
              <w:rPr>
                <w:sz w:val="14"/>
                <w:szCs w:val="14"/>
                <w:color w:val="auto"/>
              </w:rPr>
            </w:pPr>
          </w:p>
        </w:tc>
        <w:tc>
          <w:tcPr>
            <w:tcW w:w="1220" w:type="dxa"/>
            <w:vAlign w:val="bottom"/>
          </w:tcPr>
          <w:p>
            <w:pPr>
              <w:jc w:val="right"/>
              <w:spacing w:after="0"/>
              <w:rPr>
                <w:sz w:val="20"/>
                <w:szCs w:val="20"/>
                <w:color w:val="auto"/>
              </w:rPr>
            </w:pPr>
            <w:r>
              <w:rPr>
                <w:rFonts w:ascii="Arial" w:cs="Arial" w:eastAsia="Arial" w:hAnsi="Arial"/>
                <w:sz w:val="14"/>
                <w:szCs w:val="14"/>
                <w:b w:val="1"/>
                <w:bCs w:val="1"/>
                <w:color w:val="auto"/>
              </w:rPr>
              <w:t>recognized</w:t>
            </w: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20" w:type="dxa"/>
            <w:vAlign w:val="bottom"/>
          </w:tcPr>
          <w:p>
            <w:pPr>
              <w:jc w:val="center"/>
              <w:ind w:right="338"/>
              <w:spacing w:after="0"/>
              <w:rPr>
                <w:sz w:val="20"/>
                <w:szCs w:val="20"/>
                <w:color w:val="auto"/>
              </w:rPr>
            </w:pPr>
            <w:r>
              <w:rPr>
                <w:rFonts w:ascii="Arial" w:cs="Arial" w:eastAsia="Arial" w:hAnsi="Arial"/>
                <w:sz w:val="14"/>
                <w:szCs w:val="14"/>
                <w:b w:val="1"/>
                <w:bCs w:val="1"/>
                <w:color w:val="auto"/>
                <w:w w:val="91"/>
              </w:rPr>
              <w:t>investment</w:t>
            </w:r>
          </w:p>
        </w:tc>
        <w:tc>
          <w:tcPr>
            <w:tcW w:w="280" w:type="dxa"/>
            <w:vAlign w:val="bottom"/>
          </w:tcPr>
          <w:p>
            <w:pPr>
              <w:spacing w:after="0"/>
              <w:rPr>
                <w:sz w:val="14"/>
                <w:szCs w:val="14"/>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recognized</w:t>
            </w:r>
          </w:p>
        </w:tc>
        <w:tc>
          <w:tcPr>
            <w:tcW w:w="0" w:type="dxa"/>
            <w:vAlign w:val="bottom"/>
          </w:tcPr>
          <w:p>
            <w:pPr>
              <w:spacing w:after="0"/>
              <w:rPr>
                <w:sz w:val="1"/>
                <w:szCs w:val="1"/>
                <w:color w:val="auto"/>
              </w:rPr>
            </w:pPr>
          </w:p>
        </w:tc>
      </w:tr>
      <w:tr>
        <w:trPr>
          <w:trHeight w:val="142"/>
        </w:trPr>
        <w:tc>
          <w:tcPr>
            <w:tcW w:w="38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6"/>
              </w:rPr>
              <w:t>(in millions)</w:t>
            </w:r>
          </w:p>
        </w:tc>
        <w:tc>
          <w:tcPr>
            <w:tcW w:w="12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With no related allowance recorded:</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ind w:left="180"/>
              <w:spacing w:after="0"/>
              <w:rPr>
                <w:sz w:val="20"/>
                <w:szCs w:val="20"/>
                <w:color w:val="auto"/>
              </w:rPr>
            </w:pPr>
            <w:r>
              <w:rPr>
                <w:rFonts w:ascii="Arial" w:cs="Arial" w:eastAsia="Arial" w:hAnsi="Arial"/>
                <w:sz w:val="18"/>
                <w:szCs w:val="18"/>
                <w:color w:val="auto"/>
              </w:rPr>
              <w:t>Commercial-brick and mortar</w:t>
            </w:r>
          </w:p>
        </w:tc>
        <w:tc>
          <w:tcPr>
            <w:tcW w:w="2240" w:type="dxa"/>
            <w:vAlign w:val="bottom"/>
            <w:gridSpan w:val="2"/>
          </w:tcPr>
          <w:p>
            <w:pPr>
              <w:jc w:val="right"/>
              <w:ind w:right="889"/>
              <w:spacing w:after="0"/>
              <w:rPr>
                <w:sz w:val="20"/>
                <w:szCs w:val="20"/>
                <w:color w:val="auto"/>
              </w:rPr>
            </w:pPr>
            <w:r>
              <w:rPr>
                <w:rFonts w:ascii="Arial" w:cs="Arial" w:eastAsia="Arial" w:hAnsi="Arial"/>
                <w:sz w:val="18"/>
                <w:szCs w:val="18"/>
                <w:color w:val="auto"/>
              </w:rPr>
              <w:t>$</w:t>
            </w:r>
          </w:p>
        </w:tc>
        <w:tc>
          <w:tcPr>
            <w:tcW w:w="480" w:type="dxa"/>
            <w:vAlign w:val="bottom"/>
          </w:tcPr>
          <w:p>
            <w:pPr>
              <w:jc w:val="right"/>
              <w:ind w:right="70"/>
              <w:spacing w:after="0"/>
              <w:rPr>
                <w:sz w:val="20"/>
                <w:szCs w:val="20"/>
                <w:color w:val="auto"/>
              </w:rPr>
            </w:pPr>
            <w:r>
              <w:rPr>
                <w:rFonts w:ascii="Arial" w:cs="Arial" w:eastAsia="Arial" w:hAnsi="Arial"/>
                <w:sz w:val="18"/>
                <w:szCs w:val="18"/>
                <w:color w:val="auto"/>
              </w:rPr>
              <w:t>0.9</w:t>
            </w:r>
          </w:p>
        </w:tc>
        <w:tc>
          <w:tcPr>
            <w:tcW w:w="1220" w:type="dxa"/>
            <w:vAlign w:val="bottom"/>
          </w:tcPr>
          <w:p>
            <w:pPr>
              <w:jc w:val="right"/>
              <w:ind w:right="897"/>
              <w:spacing w:after="0"/>
              <w:rPr>
                <w:sz w:val="20"/>
                <w:szCs w:val="20"/>
                <w:color w:val="auto"/>
              </w:rPr>
            </w:pPr>
            <w:r>
              <w:rPr>
                <w:rFonts w:ascii="Arial" w:cs="Arial" w:eastAsia="Arial" w:hAnsi="Arial"/>
                <w:sz w:val="18"/>
                <w:szCs w:val="18"/>
                <w:color w:val="auto"/>
              </w:rPr>
              <w:t>$</w:t>
            </w:r>
          </w:p>
        </w:tc>
        <w:tc>
          <w:tcPr>
            <w:tcW w:w="440" w:type="dxa"/>
            <w:vAlign w:val="bottom"/>
          </w:tcPr>
          <w:p>
            <w:pPr>
              <w:jc w:val="right"/>
              <w:ind w:right="52"/>
              <w:spacing w:after="0"/>
              <w:rPr>
                <w:sz w:val="20"/>
                <w:szCs w:val="20"/>
                <w:color w:val="auto"/>
              </w:rPr>
            </w:pPr>
            <w:r>
              <w:rPr>
                <w:rFonts w:ascii="Arial" w:cs="Arial" w:eastAsia="Arial" w:hAnsi="Arial"/>
                <w:sz w:val="18"/>
                <w:szCs w:val="18"/>
                <w:color w:val="auto"/>
              </w:rPr>
              <w:t>—</w:t>
            </w:r>
          </w:p>
        </w:tc>
        <w:tc>
          <w:tcPr>
            <w:tcW w:w="4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1220" w:type="dxa"/>
            <w:vAlign w:val="bottom"/>
          </w:tcPr>
          <w:p>
            <w:pPr>
              <w:jc w:val="right"/>
              <w:ind w:right="58"/>
              <w:spacing w:after="0"/>
              <w:rPr>
                <w:sz w:val="20"/>
                <w:szCs w:val="20"/>
                <w:color w:val="auto"/>
              </w:rPr>
            </w:pPr>
            <w:r>
              <w:rPr>
                <w:rFonts w:ascii="Arial" w:cs="Arial" w:eastAsia="Arial" w:hAnsi="Arial"/>
                <w:sz w:val="18"/>
                <w:szCs w:val="18"/>
                <w:color w:val="auto"/>
              </w:rPr>
              <w:t>11.2</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Residential-first liens</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4.1</w:t>
            </w:r>
          </w:p>
        </w:tc>
        <w:tc>
          <w:tcPr>
            <w:tcW w:w="122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4.3</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With an allowance recorded:</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Commercial-brick and mortar</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7.1</w:t>
            </w:r>
          </w:p>
        </w:tc>
        <w:tc>
          <w:tcPr>
            <w:tcW w:w="122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rPr>
              <w:t>0.1</w:t>
            </w:r>
          </w:p>
        </w:tc>
        <w:tc>
          <w:tcPr>
            <w:tcW w:w="42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7.1</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3800" w:type="dxa"/>
            <w:vAlign w:val="bottom"/>
          </w:tcPr>
          <w:p>
            <w:pPr>
              <w:ind w:left="180"/>
              <w:spacing w:after="0"/>
              <w:rPr>
                <w:sz w:val="20"/>
                <w:szCs w:val="20"/>
                <w:color w:val="auto"/>
              </w:rPr>
            </w:pPr>
            <w:r>
              <w:rPr>
                <w:rFonts w:ascii="Arial" w:cs="Arial" w:eastAsia="Arial" w:hAnsi="Arial"/>
                <w:sz w:val="18"/>
                <w:szCs w:val="18"/>
                <w:color w:val="auto"/>
              </w:rPr>
              <w:t>Residential-home equity</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80" w:type="dxa"/>
            <w:vAlign w:val="bottom"/>
          </w:tcPr>
          <w:p>
            <w:pPr>
              <w:jc w:val="right"/>
              <w:ind w:right="70"/>
              <w:spacing w:after="0"/>
              <w:rPr>
                <w:sz w:val="20"/>
                <w:szCs w:val="20"/>
                <w:color w:val="auto"/>
              </w:rPr>
            </w:pPr>
            <w:r>
              <w:rPr>
                <w:rFonts w:ascii="Arial" w:cs="Arial" w:eastAsia="Arial" w:hAnsi="Arial"/>
                <w:sz w:val="18"/>
                <w:szCs w:val="18"/>
                <w:color w:val="auto"/>
                <w:w w:val="85"/>
              </w:rPr>
              <w:t>18.0</w:t>
            </w:r>
          </w:p>
        </w:tc>
        <w:tc>
          <w:tcPr>
            <w:tcW w:w="1220" w:type="dxa"/>
            <w:vAlign w:val="bottom"/>
          </w:tcPr>
          <w:p>
            <w:pPr>
              <w:spacing w:after="0"/>
              <w:rPr>
                <w:sz w:val="18"/>
                <w:szCs w:val="18"/>
                <w:color w:val="auto"/>
              </w:rPr>
            </w:pPr>
          </w:p>
        </w:tc>
        <w:tc>
          <w:tcPr>
            <w:tcW w:w="440" w:type="dxa"/>
            <w:vAlign w:val="bottom"/>
          </w:tcPr>
          <w:p>
            <w:pPr>
              <w:jc w:val="right"/>
              <w:ind w:right="52"/>
              <w:spacing w:after="0"/>
              <w:rPr>
                <w:sz w:val="20"/>
                <w:szCs w:val="20"/>
                <w:color w:val="auto"/>
              </w:rPr>
            </w:pPr>
            <w:r>
              <w:rPr>
                <w:rFonts w:ascii="Arial" w:cs="Arial" w:eastAsia="Arial" w:hAnsi="Arial"/>
                <w:sz w:val="18"/>
                <w:szCs w:val="18"/>
                <w:color w:val="auto"/>
              </w:rPr>
              <w:t>0.2</w:t>
            </w:r>
          </w:p>
        </w:tc>
        <w:tc>
          <w:tcPr>
            <w:tcW w:w="420" w:type="dxa"/>
            <w:vAlign w:val="bottom"/>
          </w:tcPr>
          <w:p>
            <w:pPr>
              <w:spacing w:after="0"/>
              <w:rPr>
                <w:sz w:val="18"/>
                <w:szCs w:val="18"/>
                <w:color w:val="auto"/>
              </w:rPr>
            </w:pPr>
          </w:p>
        </w:tc>
        <w:tc>
          <w:tcPr>
            <w:tcW w:w="1220" w:type="dxa"/>
            <w:vAlign w:val="bottom"/>
          </w:tcPr>
          <w:p>
            <w:pPr>
              <w:jc w:val="right"/>
              <w:ind w:right="58"/>
              <w:spacing w:after="0"/>
              <w:rPr>
                <w:sz w:val="20"/>
                <w:szCs w:val="20"/>
                <w:color w:val="auto"/>
              </w:rPr>
            </w:pPr>
            <w:r>
              <w:rPr>
                <w:rFonts w:ascii="Arial" w:cs="Arial" w:eastAsia="Arial" w:hAnsi="Arial"/>
                <w:sz w:val="18"/>
                <w:szCs w:val="18"/>
                <w:color w:val="auto"/>
              </w:rPr>
              <w:t>18.6</w:t>
            </w:r>
          </w:p>
        </w:tc>
        <w:tc>
          <w:tcPr>
            <w:tcW w:w="28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Residential-first liens</w:t>
            </w:r>
          </w:p>
        </w:tc>
        <w:tc>
          <w:tcPr>
            <w:tcW w:w="1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8.0</w:t>
            </w:r>
          </w:p>
        </w:tc>
        <w:tc>
          <w:tcPr>
            <w:tcW w:w="122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8.5</w:t>
            </w:r>
          </w:p>
        </w:tc>
        <w:tc>
          <w:tcPr>
            <w:tcW w:w="2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Total:</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Commercial</w:t>
            </w:r>
          </w:p>
        </w:tc>
        <w:tc>
          <w:tcPr>
            <w:tcW w:w="2240" w:type="dxa"/>
            <w:vAlign w:val="bottom"/>
            <w:gridSpan w:val="2"/>
            <w:shd w:val="clear" w:color="auto" w:fill="CCEEFF"/>
          </w:tcPr>
          <w:p>
            <w:pPr>
              <w:jc w:val="right"/>
              <w:ind w:right="889"/>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8.0</w:t>
            </w:r>
          </w:p>
        </w:tc>
        <w:tc>
          <w:tcPr>
            <w:tcW w:w="1220" w:type="dxa"/>
            <w:vAlign w:val="bottom"/>
            <w:shd w:val="clear" w:color="auto" w:fill="CCEEFF"/>
          </w:tcPr>
          <w:p>
            <w:pPr>
              <w:jc w:val="right"/>
              <w:ind w:right="897"/>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rPr>
              <w:t>0.1</w:t>
            </w:r>
          </w:p>
        </w:tc>
        <w:tc>
          <w:tcPr>
            <w:tcW w:w="4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18.3</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30"/>
        </w:trPr>
        <w:tc>
          <w:tcPr>
            <w:tcW w:w="3800" w:type="dxa"/>
            <w:vAlign w:val="bottom"/>
          </w:tcPr>
          <w:p>
            <w:pPr>
              <w:ind w:left="180"/>
              <w:spacing w:after="0"/>
              <w:rPr>
                <w:sz w:val="20"/>
                <w:szCs w:val="20"/>
                <w:color w:val="auto"/>
              </w:rPr>
            </w:pPr>
            <w:r>
              <w:rPr>
                <w:rFonts w:ascii="Arial" w:cs="Arial" w:eastAsia="Arial" w:hAnsi="Arial"/>
                <w:sz w:val="18"/>
                <w:szCs w:val="18"/>
                <w:color w:val="auto"/>
              </w:rPr>
              <w:t>Residential</w:t>
            </w:r>
          </w:p>
        </w:tc>
        <w:tc>
          <w:tcPr>
            <w:tcW w:w="2240" w:type="dxa"/>
            <w:vAlign w:val="bottom"/>
            <w:gridSpan w:val="2"/>
          </w:tcPr>
          <w:p>
            <w:pPr>
              <w:jc w:val="right"/>
              <w:ind w:right="889"/>
              <w:spacing w:after="0"/>
              <w:rPr>
                <w:sz w:val="20"/>
                <w:szCs w:val="20"/>
                <w:color w:val="auto"/>
              </w:rPr>
            </w:pPr>
            <w:r>
              <w:rPr>
                <w:rFonts w:ascii="Arial" w:cs="Arial" w:eastAsia="Arial" w:hAnsi="Arial"/>
                <w:sz w:val="18"/>
                <w:szCs w:val="18"/>
                <w:color w:val="auto"/>
              </w:rPr>
              <w:t>$</w:t>
            </w:r>
          </w:p>
        </w:tc>
        <w:tc>
          <w:tcPr>
            <w:tcW w:w="480" w:type="dxa"/>
            <w:vAlign w:val="bottom"/>
          </w:tcPr>
          <w:p>
            <w:pPr>
              <w:jc w:val="right"/>
              <w:ind w:right="70"/>
              <w:spacing w:after="0"/>
              <w:rPr>
                <w:sz w:val="20"/>
                <w:szCs w:val="20"/>
                <w:color w:val="auto"/>
              </w:rPr>
            </w:pPr>
            <w:r>
              <w:rPr>
                <w:rFonts w:ascii="Arial" w:cs="Arial" w:eastAsia="Arial" w:hAnsi="Arial"/>
                <w:sz w:val="18"/>
                <w:szCs w:val="18"/>
                <w:color w:val="auto"/>
                <w:w w:val="85"/>
              </w:rPr>
              <w:t>30.1</w:t>
            </w:r>
          </w:p>
        </w:tc>
        <w:tc>
          <w:tcPr>
            <w:tcW w:w="1220" w:type="dxa"/>
            <w:vAlign w:val="bottom"/>
          </w:tcPr>
          <w:p>
            <w:pPr>
              <w:jc w:val="right"/>
              <w:ind w:right="897"/>
              <w:spacing w:after="0"/>
              <w:rPr>
                <w:sz w:val="20"/>
                <w:szCs w:val="20"/>
                <w:color w:val="auto"/>
              </w:rPr>
            </w:pPr>
            <w:r>
              <w:rPr>
                <w:rFonts w:ascii="Arial" w:cs="Arial" w:eastAsia="Arial" w:hAnsi="Arial"/>
                <w:sz w:val="18"/>
                <w:szCs w:val="18"/>
                <w:color w:val="auto"/>
              </w:rPr>
              <w:t>$</w:t>
            </w:r>
          </w:p>
        </w:tc>
        <w:tc>
          <w:tcPr>
            <w:tcW w:w="440" w:type="dxa"/>
            <w:vAlign w:val="bottom"/>
          </w:tcPr>
          <w:p>
            <w:pPr>
              <w:jc w:val="right"/>
              <w:ind w:right="52"/>
              <w:spacing w:after="0"/>
              <w:rPr>
                <w:sz w:val="20"/>
                <w:szCs w:val="20"/>
                <w:color w:val="auto"/>
              </w:rPr>
            </w:pPr>
            <w:r>
              <w:rPr>
                <w:rFonts w:ascii="Arial" w:cs="Arial" w:eastAsia="Arial" w:hAnsi="Arial"/>
                <w:sz w:val="18"/>
                <w:szCs w:val="18"/>
                <w:color w:val="auto"/>
              </w:rPr>
              <w:t>0.2</w:t>
            </w:r>
          </w:p>
        </w:tc>
        <w:tc>
          <w:tcPr>
            <w:tcW w:w="4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1220" w:type="dxa"/>
            <w:vAlign w:val="bottom"/>
          </w:tcPr>
          <w:p>
            <w:pPr>
              <w:jc w:val="right"/>
              <w:ind w:right="58"/>
              <w:spacing w:after="0"/>
              <w:rPr>
                <w:sz w:val="20"/>
                <w:szCs w:val="20"/>
                <w:color w:val="auto"/>
              </w:rPr>
            </w:pPr>
            <w:r>
              <w:rPr>
                <w:rFonts w:ascii="Arial" w:cs="Arial" w:eastAsia="Arial" w:hAnsi="Arial"/>
                <w:sz w:val="18"/>
                <w:szCs w:val="18"/>
                <w:color w:val="auto"/>
              </w:rPr>
              <w:t>31.4</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 Loan Modifications</w:t>
      </w:r>
    </w:p>
    <w:p>
      <w:pPr>
        <w:spacing w:after="0" w:line="229" w:lineRule="exact"/>
        <w:rPr>
          <w:sz w:val="20"/>
          <w:szCs w:val="20"/>
          <w:color w:val="auto"/>
        </w:rPr>
      </w:pPr>
    </w:p>
    <w:p>
      <w:pPr>
        <w:ind w:right="220" w:firstLine="648"/>
        <w:spacing w:after="0" w:line="273" w:lineRule="auto"/>
        <w:rPr>
          <w:sz w:val="20"/>
          <w:szCs w:val="20"/>
          <w:color w:val="auto"/>
        </w:rPr>
      </w:pPr>
      <w:r>
        <w:rPr>
          <w:rFonts w:ascii="Arial" w:cs="Arial" w:eastAsia="Arial" w:hAnsi="Arial"/>
          <w:sz w:val="17"/>
          <w:szCs w:val="17"/>
          <w:color w:val="auto"/>
        </w:rPr>
        <w:t>Our commercial and residential mortgage loan portfolios include loans that have been modified. We assess loan modifications on a case-by-case basis to evaluate whether a TDR has occurred. The commercial mortgage loan TDRs were modified to delay or reduce principal payments and to increase, reduce or delay interest payments. For these TDR assessments, we have determined the loan rates are now considered below market based on current circumstances. The commercial mortgage loan modifications resulted in delayed cash receipts and a decrease in interest income. The residential mortgage loan TDRs include modifications of interest-only payment periods, delays in principal balloon payments, and interest rate reductions. Residential mortgage loan modifications resulted in delayed or decreased cash receipts and a decrease in interest income.</w:t>
      </w:r>
    </w:p>
    <w:p>
      <w:pPr>
        <w:spacing w:after="0" w:line="178"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The following table includes information about outstanding loans that were modified and met the criteria of a TDR during the periods indicated. In addition, the table includes information for loans that were modified and met the criteria of a TDR within the past twelve months that were in payment default during the periods indicated:</w:t>
      </w:r>
    </w:p>
    <w:p>
      <w:pPr>
        <w:sectPr>
          <w:pgSz w:w="11900" w:h="16925" w:orient="portrait"/>
          <w:cols w:equalWidth="0" w:num="1">
            <w:col w:w="11420"/>
          </w:cols>
          <w:pgMar w:left="240" w:top="517"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color w:val="auto"/>
        </w:rPr>
        <w:t>Residential-home equity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Total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Commercial-brick and mortar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Residential-home equity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Residential-home equity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ind w:left="1460"/>
        <w:spacing w:after="0"/>
        <w:rPr>
          <w:sz w:val="20"/>
          <w:szCs w:val="20"/>
          <w:color w:val="auto"/>
        </w:rPr>
      </w:pPr>
      <w:r>
        <w:rPr>
          <w:rFonts w:ascii="Arial" w:cs="Arial" w:eastAsia="Arial" w:hAnsi="Arial"/>
          <w:sz w:val="14"/>
          <w:szCs w:val="14"/>
          <w:b w:val="1"/>
          <w:bCs w:val="1"/>
          <w:color w:val="auto"/>
        </w:rPr>
        <w:t>For the three months ended September 30, 2015</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1720" w:type="dxa"/>
            <w:vAlign w:val="bottom"/>
            <w:tcBorders>
              <w:top w:val="single" w:sz="8" w:color="auto"/>
              <w:bottom w:val="single" w:sz="8" w:color="auto"/>
            </w:tcBorders>
            <w:gridSpan w:val="4"/>
          </w:tcPr>
          <w:p>
            <w:pPr>
              <w:jc w:val="right"/>
              <w:ind w:right="50"/>
              <w:spacing w:after="0" w:line="142" w:lineRule="exact"/>
              <w:rPr>
                <w:sz w:val="20"/>
                <w:szCs w:val="20"/>
                <w:color w:val="auto"/>
              </w:rPr>
            </w:pPr>
            <w:r>
              <w:rPr>
                <w:rFonts w:ascii="Arial" w:cs="Arial" w:eastAsia="Arial" w:hAnsi="Arial"/>
                <w:sz w:val="14"/>
                <w:szCs w:val="14"/>
                <w:b w:val="1"/>
                <w:bCs w:val="1"/>
                <w:color w:val="auto"/>
              </w:rPr>
              <w:t>TDRs</w:t>
            </w:r>
          </w:p>
        </w:tc>
        <w:tc>
          <w:tcPr>
            <w:tcW w:w="1080" w:type="dxa"/>
            <w:vAlign w:val="bottom"/>
            <w:tcBorders>
              <w:top w:val="single" w:sz="8" w:color="auto"/>
              <w:bottom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780" w:type="dxa"/>
            <w:vAlign w:val="bottom"/>
            <w:tcBorders>
              <w:top w:val="single" w:sz="8" w:color="auto"/>
              <w:bottom w:val="single" w:sz="8" w:color="auto"/>
            </w:tcBorders>
            <w:gridSpan w:val="5"/>
          </w:tcPr>
          <w:p>
            <w:pPr>
              <w:jc w:val="right"/>
              <w:ind w:right="541"/>
              <w:spacing w:after="0" w:line="142" w:lineRule="exact"/>
              <w:rPr>
                <w:sz w:val="20"/>
                <w:szCs w:val="20"/>
                <w:color w:val="auto"/>
              </w:rPr>
            </w:pPr>
            <w:r>
              <w:rPr>
                <w:rFonts w:ascii="Arial" w:cs="Arial" w:eastAsia="Arial" w:hAnsi="Arial"/>
                <w:sz w:val="14"/>
                <w:szCs w:val="14"/>
                <w:b w:val="1"/>
                <w:bCs w:val="1"/>
                <w:color w:val="auto"/>
              </w:rPr>
              <w:t>TDRs in payment default</w:t>
            </w:r>
          </w:p>
        </w:tc>
        <w:tc>
          <w:tcPr>
            <w:tcW w:w="20" w:type="dxa"/>
            <w:vAlign w:val="bottom"/>
          </w:tcPr>
          <w:p>
            <w:pPr>
              <w:spacing w:after="0"/>
              <w:rPr>
                <w:sz w:val="12"/>
                <w:szCs w:val="12"/>
                <w:color w:val="auto"/>
              </w:rPr>
            </w:pPr>
          </w:p>
        </w:tc>
      </w:tr>
      <w:tr>
        <w:trPr>
          <w:trHeight w:val="119"/>
        </w:trPr>
        <w:tc>
          <w:tcPr>
            <w:tcW w:w="1360" w:type="dxa"/>
            <w:vAlign w:val="bottom"/>
            <w:gridSpan w:val="2"/>
          </w:tcPr>
          <w:p>
            <w:pPr>
              <w:jc w:val="center"/>
              <w:ind w:right="120"/>
              <w:spacing w:after="0" w:line="119" w:lineRule="exact"/>
              <w:rPr>
                <w:sz w:val="20"/>
                <w:szCs w:val="20"/>
                <w:color w:val="auto"/>
              </w:rPr>
            </w:pPr>
            <w:r>
              <w:rPr>
                <w:rFonts w:ascii="Arial" w:cs="Arial" w:eastAsia="Arial" w:hAnsi="Arial"/>
                <w:sz w:val="13"/>
                <w:szCs w:val="13"/>
                <w:b w:val="1"/>
                <w:bCs w:val="1"/>
                <w:color w:val="auto"/>
              </w:rPr>
              <w:t>Number of</w:t>
            </w: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80" w:type="dxa"/>
            <w:vAlign w:val="bottom"/>
          </w:tcPr>
          <w:p>
            <w:pPr>
              <w:jc w:val="center"/>
              <w:ind w:right="101"/>
              <w:spacing w:after="0" w:line="119" w:lineRule="exact"/>
              <w:rPr>
                <w:sz w:val="20"/>
                <w:szCs w:val="20"/>
                <w:color w:val="auto"/>
              </w:rPr>
            </w:pPr>
            <w:r>
              <w:rPr>
                <w:rFonts w:ascii="Arial" w:cs="Arial" w:eastAsia="Arial" w:hAnsi="Arial"/>
                <w:sz w:val="13"/>
                <w:szCs w:val="13"/>
                <w:b w:val="1"/>
                <w:bCs w:val="1"/>
                <w:color w:val="auto"/>
                <w:w w:val="96"/>
              </w:rPr>
              <w:t>Recorded</w:t>
            </w:r>
          </w:p>
        </w:tc>
        <w:tc>
          <w:tcPr>
            <w:tcW w:w="280" w:type="dxa"/>
            <w:vAlign w:val="bottom"/>
          </w:tcPr>
          <w:p>
            <w:pPr>
              <w:spacing w:after="0"/>
              <w:rPr>
                <w:sz w:val="10"/>
                <w:szCs w:val="10"/>
                <w:color w:val="auto"/>
              </w:rPr>
            </w:pPr>
          </w:p>
        </w:tc>
        <w:tc>
          <w:tcPr>
            <w:tcW w:w="1520" w:type="dxa"/>
            <w:vAlign w:val="bottom"/>
            <w:gridSpan w:val="2"/>
          </w:tcPr>
          <w:p>
            <w:pPr>
              <w:jc w:val="center"/>
              <w:ind w:right="260"/>
              <w:spacing w:after="0" w:line="119" w:lineRule="exact"/>
              <w:rPr>
                <w:sz w:val="20"/>
                <w:szCs w:val="20"/>
                <w:color w:val="auto"/>
              </w:rPr>
            </w:pPr>
            <w:r>
              <w:rPr>
                <w:rFonts w:ascii="Arial" w:cs="Arial" w:eastAsia="Arial" w:hAnsi="Arial"/>
                <w:sz w:val="13"/>
                <w:szCs w:val="13"/>
                <w:b w:val="1"/>
                <w:bCs w:val="1"/>
                <w:color w:val="auto"/>
              </w:rPr>
              <w:t>Number of</w:t>
            </w: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tcPr>
          <w:p>
            <w:pPr>
              <w:jc w:val="center"/>
              <w:ind w:right="101"/>
              <w:spacing w:after="0" w:line="119" w:lineRule="exact"/>
              <w:rPr>
                <w:sz w:val="20"/>
                <w:szCs w:val="20"/>
                <w:color w:val="auto"/>
              </w:rPr>
            </w:pPr>
            <w:r>
              <w:rPr>
                <w:rFonts w:ascii="Arial" w:cs="Arial" w:eastAsia="Arial" w:hAnsi="Arial"/>
                <w:sz w:val="13"/>
                <w:szCs w:val="13"/>
                <w:b w:val="1"/>
                <w:bCs w:val="1"/>
                <w:color w:val="auto"/>
                <w:w w:val="96"/>
              </w:rPr>
              <w:t>Recorded</w:t>
            </w:r>
          </w:p>
        </w:tc>
        <w:tc>
          <w:tcPr>
            <w:tcW w:w="20" w:type="dxa"/>
            <w:vAlign w:val="bottom"/>
          </w:tcPr>
          <w:p>
            <w:pPr>
              <w:spacing w:after="0"/>
              <w:rPr>
                <w:sz w:val="10"/>
                <w:szCs w:val="10"/>
                <w:color w:val="auto"/>
              </w:rPr>
            </w:pPr>
          </w:p>
        </w:tc>
      </w:tr>
      <w:tr>
        <w:trPr>
          <w:trHeight w:val="171"/>
        </w:trPr>
        <w:tc>
          <w:tcPr>
            <w:tcW w:w="13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contracts</w:t>
            </w: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9"/>
              </w:rPr>
              <w:t>investment</w:t>
            </w:r>
          </w:p>
        </w:tc>
        <w:tc>
          <w:tcPr>
            <w:tcW w:w="15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contracts</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investment</w:t>
            </w:r>
          </w:p>
        </w:tc>
      </w:tr>
      <w:tr>
        <w:trPr>
          <w:trHeight w:val="124"/>
        </w:trPr>
        <w:tc>
          <w:tcPr>
            <w:tcW w:w="124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080" w:type="dxa"/>
            <w:vAlign w:val="bottom"/>
            <w:tcBorders>
              <w:top w:val="single" w:sz="8" w:color="auto"/>
            </w:tcBorders>
          </w:tcPr>
          <w:p>
            <w:pPr>
              <w:jc w:val="center"/>
              <w:ind w:right="101"/>
              <w:spacing w:after="0" w:line="124"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Pr>
          <w:p>
            <w:pPr>
              <w:spacing w:after="0"/>
              <w:rPr>
                <w:sz w:val="10"/>
                <w:szCs w:val="10"/>
                <w:color w:val="auto"/>
              </w:rPr>
            </w:pPr>
          </w:p>
        </w:tc>
        <w:tc>
          <w:tcPr>
            <w:tcW w:w="124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080" w:type="dxa"/>
            <w:vAlign w:val="bottom"/>
            <w:tcBorders>
              <w:top w:val="single" w:sz="8" w:color="auto"/>
            </w:tcBorders>
          </w:tcPr>
          <w:p>
            <w:pPr>
              <w:jc w:val="center"/>
              <w:ind w:right="101"/>
              <w:spacing w:after="0" w:line="124" w:lineRule="exact"/>
              <w:rPr>
                <w:sz w:val="20"/>
                <w:szCs w:val="20"/>
                <w:color w:val="auto"/>
              </w:rPr>
            </w:pPr>
            <w:r>
              <w:rPr>
                <w:rFonts w:ascii="Arial" w:cs="Arial" w:eastAsia="Arial" w:hAnsi="Arial"/>
                <w:sz w:val="14"/>
                <w:szCs w:val="14"/>
                <w:b w:val="1"/>
                <w:bCs w:val="1"/>
                <w:color w:val="auto"/>
                <w:w w:val="94"/>
              </w:rPr>
              <w:t>(in millions)</w:t>
            </w:r>
          </w:p>
        </w:tc>
        <w:tc>
          <w:tcPr>
            <w:tcW w:w="20" w:type="dxa"/>
            <w:vAlign w:val="bottom"/>
          </w:tcPr>
          <w:p>
            <w:pPr>
              <w:spacing w:after="0"/>
              <w:rPr>
                <w:sz w:val="10"/>
                <w:szCs w:val="10"/>
                <w:color w:val="auto"/>
              </w:rPr>
            </w:pPr>
          </w:p>
        </w:tc>
      </w:tr>
      <w:tr>
        <w:trPr>
          <w:trHeight w:val="234"/>
        </w:trPr>
        <w:tc>
          <w:tcPr>
            <w:tcW w:w="136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w:t>
            </w:r>
          </w:p>
        </w:tc>
        <w:tc>
          <w:tcPr>
            <w:tcW w:w="3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3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5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w:t>
            </w:r>
          </w:p>
        </w:tc>
        <w:tc>
          <w:tcPr>
            <w:tcW w:w="18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w w:val="79"/>
              </w:rPr>
              <w:t>$</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w:t>
            </w:r>
          </w:p>
        </w:tc>
      </w:tr>
      <w:tr>
        <w:trPr>
          <w:trHeight w:val="210"/>
        </w:trPr>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w:t>
            </w:r>
          </w:p>
        </w:tc>
        <w:tc>
          <w:tcPr>
            <w:tcW w:w="280" w:type="dxa"/>
            <w:vAlign w:val="bottom"/>
          </w:tcPr>
          <w:p>
            <w:pPr>
              <w:spacing w:after="0"/>
              <w:rPr>
                <w:sz w:val="18"/>
                <w:szCs w:val="18"/>
                <w:color w:val="auto"/>
              </w:rPr>
            </w:pPr>
          </w:p>
        </w:tc>
        <w:tc>
          <w:tcPr>
            <w:tcW w:w="180" w:type="dxa"/>
            <w:vAlign w:val="bottom"/>
            <w:tcBorders>
              <w:top w:val="single" w:sz="8" w:color="auto"/>
            </w:tcBorders>
            <w:gridSpan w:val="2"/>
          </w:tcPr>
          <w:p>
            <w:pPr>
              <w:jc w:val="right"/>
              <w:ind w:right="5"/>
              <w:spacing w:after="0"/>
              <w:rPr>
                <w:sz w:val="20"/>
                <w:szCs w:val="20"/>
                <w:color w:val="auto"/>
              </w:rPr>
            </w:pPr>
            <w:r>
              <w:rPr>
                <w:rFonts w:ascii="Arial" w:cs="Arial" w:eastAsia="Arial" w:hAnsi="Arial"/>
                <w:sz w:val="18"/>
                <w:szCs w:val="18"/>
                <w:b w:val="1"/>
                <w:bCs w:val="1"/>
                <w:color w:val="auto"/>
                <w:w w:val="79"/>
              </w:rPr>
              <w:t>$</w:t>
            </w:r>
          </w:p>
        </w:tc>
        <w:tc>
          <w:tcPr>
            <w:tcW w:w="110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b w:val="1"/>
                <w:bCs w:val="1"/>
                <w:color w:val="auto"/>
              </w:rPr>
              <w:t>—</w:t>
            </w:r>
          </w:p>
        </w:tc>
      </w:tr>
      <w:tr>
        <w:trPr>
          <w:trHeight w:val="20"/>
        </w:trPr>
        <w:tc>
          <w:tcPr>
            <w:tcW w:w="1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60" w:type="dxa"/>
            <w:vAlign w:val="bottom"/>
            <w:tcBorders>
              <w:top w:val="single" w:sz="8" w:color="auto"/>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45"/>
        </w:trPr>
        <w:tc>
          <w:tcPr>
            <w:tcW w:w="12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gridSpan w:val="6"/>
          </w:tcPr>
          <w:p>
            <w:pPr>
              <w:jc w:val="right"/>
              <w:ind w:right="220"/>
              <w:spacing w:after="0"/>
              <w:rPr>
                <w:sz w:val="20"/>
                <w:szCs w:val="20"/>
                <w:color w:val="auto"/>
              </w:rPr>
            </w:pPr>
            <w:r>
              <w:rPr>
                <w:rFonts w:ascii="Arial" w:cs="Arial" w:eastAsia="Arial" w:hAnsi="Arial"/>
                <w:sz w:val="14"/>
                <w:szCs w:val="14"/>
                <w:b w:val="1"/>
                <w:bCs w:val="1"/>
                <w:color w:val="auto"/>
                <w:w w:val="93"/>
              </w:rPr>
              <w:t>For the three months ended September 30, 2014</w:t>
            </w: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42"/>
        </w:trPr>
        <w:tc>
          <w:tcPr>
            <w:tcW w:w="1720" w:type="dxa"/>
            <w:vAlign w:val="bottom"/>
            <w:tcBorders>
              <w:bottom w:val="single" w:sz="8" w:color="auto"/>
            </w:tcBorders>
            <w:gridSpan w:val="4"/>
          </w:tcPr>
          <w:p>
            <w:pPr>
              <w:jc w:val="right"/>
              <w:ind w:right="50"/>
              <w:spacing w:after="0" w:line="142" w:lineRule="exact"/>
              <w:rPr>
                <w:sz w:val="20"/>
                <w:szCs w:val="20"/>
                <w:color w:val="auto"/>
              </w:rPr>
            </w:pPr>
            <w:r>
              <w:rPr>
                <w:rFonts w:ascii="Arial" w:cs="Arial" w:eastAsia="Arial" w:hAnsi="Arial"/>
                <w:sz w:val="14"/>
                <w:szCs w:val="14"/>
                <w:b w:val="1"/>
                <w:bCs w:val="1"/>
                <w:color w:val="auto"/>
              </w:rPr>
              <w:t>TDRs</w:t>
            </w:r>
          </w:p>
        </w:tc>
        <w:tc>
          <w:tcPr>
            <w:tcW w:w="108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780" w:type="dxa"/>
            <w:vAlign w:val="bottom"/>
            <w:tcBorders>
              <w:bottom w:val="single" w:sz="8" w:color="auto"/>
            </w:tcBorders>
            <w:gridSpan w:val="5"/>
          </w:tcPr>
          <w:p>
            <w:pPr>
              <w:jc w:val="right"/>
              <w:ind w:right="541"/>
              <w:spacing w:after="0" w:line="142" w:lineRule="exact"/>
              <w:rPr>
                <w:sz w:val="20"/>
                <w:szCs w:val="20"/>
                <w:color w:val="auto"/>
              </w:rPr>
            </w:pPr>
            <w:r>
              <w:rPr>
                <w:rFonts w:ascii="Arial" w:cs="Arial" w:eastAsia="Arial" w:hAnsi="Arial"/>
                <w:sz w:val="14"/>
                <w:szCs w:val="14"/>
                <w:b w:val="1"/>
                <w:bCs w:val="1"/>
                <w:color w:val="auto"/>
              </w:rPr>
              <w:t>TDRs in payment default</w:t>
            </w:r>
          </w:p>
        </w:tc>
        <w:tc>
          <w:tcPr>
            <w:tcW w:w="20" w:type="dxa"/>
            <w:vAlign w:val="bottom"/>
          </w:tcPr>
          <w:p>
            <w:pPr>
              <w:spacing w:after="0"/>
              <w:rPr>
                <w:sz w:val="12"/>
                <w:szCs w:val="12"/>
                <w:color w:val="auto"/>
              </w:rPr>
            </w:pPr>
          </w:p>
        </w:tc>
      </w:tr>
      <w:tr>
        <w:trPr>
          <w:trHeight w:val="119"/>
        </w:trPr>
        <w:tc>
          <w:tcPr>
            <w:tcW w:w="1360" w:type="dxa"/>
            <w:vAlign w:val="bottom"/>
            <w:gridSpan w:val="2"/>
          </w:tcPr>
          <w:p>
            <w:pPr>
              <w:jc w:val="center"/>
              <w:ind w:right="120"/>
              <w:spacing w:after="0" w:line="119" w:lineRule="exact"/>
              <w:rPr>
                <w:sz w:val="20"/>
                <w:szCs w:val="20"/>
                <w:color w:val="auto"/>
              </w:rPr>
            </w:pPr>
            <w:r>
              <w:rPr>
                <w:rFonts w:ascii="Arial" w:cs="Arial" w:eastAsia="Arial" w:hAnsi="Arial"/>
                <w:sz w:val="13"/>
                <w:szCs w:val="13"/>
                <w:b w:val="1"/>
                <w:bCs w:val="1"/>
                <w:color w:val="auto"/>
              </w:rPr>
              <w:t>Number of</w:t>
            </w: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80" w:type="dxa"/>
            <w:vAlign w:val="bottom"/>
          </w:tcPr>
          <w:p>
            <w:pPr>
              <w:jc w:val="center"/>
              <w:ind w:right="101"/>
              <w:spacing w:after="0" w:line="119" w:lineRule="exact"/>
              <w:rPr>
                <w:sz w:val="20"/>
                <w:szCs w:val="20"/>
                <w:color w:val="auto"/>
              </w:rPr>
            </w:pPr>
            <w:r>
              <w:rPr>
                <w:rFonts w:ascii="Arial" w:cs="Arial" w:eastAsia="Arial" w:hAnsi="Arial"/>
                <w:sz w:val="13"/>
                <w:szCs w:val="13"/>
                <w:b w:val="1"/>
                <w:bCs w:val="1"/>
                <w:color w:val="auto"/>
                <w:w w:val="96"/>
              </w:rPr>
              <w:t>Recorded</w:t>
            </w:r>
          </w:p>
        </w:tc>
        <w:tc>
          <w:tcPr>
            <w:tcW w:w="280" w:type="dxa"/>
            <w:vAlign w:val="bottom"/>
          </w:tcPr>
          <w:p>
            <w:pPr>
              <w:spacing w:after="0"/>
              <w:rPr>
                <w:sz w:val="10"/>
                <w:szCs w:val="10"/>
                <w:color w:val="auto"/>
              </w:rPr>
            </w:pPr>
          </w:p>
        </w:tc>
        <w:tc>
          <w:tcPr>
            <w:tcW w:w="1520" w:type="dxa"/>
            <w:vAlign w:val="bottom"/>
            <w:gridSpan w:val="2"/>
          </w:tcPr>
          <w:p>
            <w:pPr>
              <w:jc w:val="center"/>
              <w:ind w:right="260"/>
              <w:spacing w:after="0" w:line="119" w:lineRule="exact"/>
              <w:rPr>
                <w:sz w:val="20"/>
                <w:szCs w:val="20"/>
                <w:color w:val="auto"/>
              </w:rPr>
            </w:pPr>
            <w:r>
              <w:rPr>
                <w:rFonts w:ascii="Arial" w:cs="Arial" w:eastAsia="Arial" w:hAnsi="Arial"/>
                <w:sz w:val="13"/>
                <w:szCs w:val="13"/>
                <w:b w:val="1"/>
                <w:bCs w:val="1"/>
                <w:color w:val="auto"/>
              </w:rPr>
              <w:t>Number of</w:t>
            </w: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tcPr>
          <w:p>
            <w:pPr>
              <w:jc w:val="center"/>
              <w:ind w:right="101"/>
              <w:spacing w:after="0" w:line="119" w:lineRule="exact"/>
              <w:rPr>
                <w:sz w:val="20"/>
                <w:szCs w:val="20"/>
                <w:color w:val="auto"/>
              </w:rPr>
            </w:pPr>
            <w:r>
              <w:rPr>
                <w:rFonts w:ascii="Arial" w:cs="Arial" w:eastAsia="Arial" w:hAnsi="Arial"/>
                <w:sz w:val="13"/>
                <w:szCs w:val="13"/>
                <w:b w:val="1"/>
                <w:bCs w:val="1"/>
                <w:color w:val="auto"/>
                <w:w w:val="96"/>
              </w:rPr>
              <w:t>Recorded</w:t>
            </w:r>
          </w:p>
        </w:tc>
        <w:tc>
          <w:tcPr>
            <w:tcW w:w="20" w:type="dxa"/>
            <w:vAlign w:val="bottom"/>
          </w:tcPr>
          <w:p>
            <w:pPr>
              <w:spacing w:after="0"/>
              <w:rPr>
                <w:sz w:val="10"/>
                <w:szCs w:val="10"/>
                <w:color w:val="auto"/>
              </w:rPr>
            </w:pPr>
          </w:p>
        </w:tc>
      </w:tr>
      <w:tr>
        <w:trPr>
          <w:trHeight w:val="171"/>
        </w:trPr>
        <w:tc>
          <w:tcPr>
            <w:tcW w:w="13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contracts</w:t>
            </w: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9"/>
              </w:rPr>
              <w:t>investment</w:t>
            </w:r>
          </w:p>
        </w:tc>
        <w:tc>
          <w:tcPr>
            <w:tcW w:w="15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contracts</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investment</w:t>
            </w:r>
          </w:p>
        </w:tc>
      </w:tr>
      <w:tr>
        <w:trPr>
          <w:trHeight w:val="128"/>
        </w:trPr>
        <w:tc>
          <w:tcPr>
            <w:tcW w:w="124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jc w:val="center"/>
              <w:ind w:right="101"/>
              <w:spacing w:after="0" w:line="128"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Pr>
          <w:p>
            <w:pPr>
              <w:spacing w:after="0"/>
              <w:rPr>
                <w:sz w:val="11"/>
                <w:szCs w:val="11"/>
                <w:color w:val="auto"/>
              </w:rPr>
            </w:pPr>
          </w:p>
        </w:tc>
        <w:tc>
          <w:tcPr>
            <w:tcW w:w="124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jc w:val="center"/>
              <w:ind w:right="101"/>
              <w:spacing w:after="0" w:line="128" w:lineRule="exact"/>
              <w:rPr>
                <w:sz w:val="20"/>
                <w:szCs w:val="20"/>
                <w:color w:val="auto"/>
              </w:rPr>
            </w:pPr>
            <w:r>
              <w:rPr>
                <w:rFonts w:ascii="Arial" w:cs="Arial" w:eastAsia="Arial" w:hAnsi="Arial"/>
                <w:sz w:val="14"/>
                <w:szCs w:val="14"/>
                <w:b w:val="1"/>
                <w:bCs w:val="1"/>
                <w:color w:val="auto"/>
                <w:w w:val="94"/>
              </w:rPr>
              <w:t>(in millions)</w:t>
            </w:r>
          </w:p>
        </w:tc>
        <w:tc>
          <w:tcPr>
            <w:tcW w:w="20" w:type="dxa"/>
            <w:vAlign w:val="bottom"/>
          </w:tcPr>
          <w:p>
            <w:pPr>
              <w:spacing w:after="0"/>
              <w:rPr>
                <w:sz w:val="11"/>
                <w:szCs w:val="11"/>
                <w:color w:val="auto"/>
              </w:rPr>
            </w:pPr>
          </w:p>
        </w:tc>
      </w:tr>
      <w:tr>
        <w:trPr>
          <w:trHeight w:val="216"/>
        </w:trPr>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280"/>
              <w:spacing w:after="0"/>
              <w:rPr>
                <w:sz w:val="20"/>
                <w:szCs w:val="20"/>
                <w:color w:val="auto"/>
              </w:rPr>
            </w:pPr>
            <w:r>
              <w:rPr>
                <w:rFonts w:ascii="Arial" w:cs="Arial" w:eastAsia="Arial" w:hAnsi="Arial"/>
                <w:sz w:val="18"/>
                <w:szCs w:val="18"/>
                <w:color w:val="auto"/>
              </w:rPr>
              <w:t>5.4</w:t>
            </w: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1</w:t>
            </w:r>
          </w:p>
        </w:tc>
        <w:tc>
          <w:tcPr>
            <w:tcW w:w="180" w:type="dxa"/>
            <w:vAlign w:val="bottom"/>
            <w:gridSpan w:val="2"/>
          </w:tcPr>
          <w:p>
            <w:pPr>
              <w:jc w:val="right"/>
              <w:ind w:right="5"/>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0.7</w:t>
            </w:r>
          </w:p>
        </w:tc>
      </w:tr>
      <w:tr>
        <w:trPr>
          <w:trHeight w:val="230"/>
        </w:trPr>
        <w:tc>
          <w:tcPr>
            <w:tcW w:w="1240" w:type="dxa"/>
            <w:vAlign w:val="bottom"/>
          </w:tcPr>
          <w:p>
            <w:pPr>
              <w:jc w:val="right"/>
              <w:spacing w:after="0"/>
              <w:rPr>
                <w:sz w:val="20"/>
                <w:szCs w:val="20"/>
                <w:color w:val="auto"/>
              </w:rPr>
            </w:pPr>
            <w:r>
              <w:rPr>
                <w:rFonts w:ascii="Arial" w:cs="Arial" w:eastAsia="Arial" w:hAnsi="Arial"/>
                <w:sz w:val="18"/>
                <w:szCs w:val="18"/>
                <w:color w:val="auto"/>
              </w:rPr>
              <w:t>37</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gridSpan w:val="2"/>
          </w:tcPr>
          <w:p>
            <w:pPr>
              <w:jc w:val="right"/>
              <w:ind w:right="280"/>
              <w:spacing w:after="0"/>
              <w:rPr>
                <w:sz w:val="20"/>
                <w:szCs w:val="20"/>
                <w:color w:val="auto"/>
              </w:rPr>
            </w:pPr>
            <w:r>
              <w:rPr>
                <w:rFonts w:ascii="Arial" w:cs="Arial" w:eastAsia="Arial" w:hAnsi="Arial"/>
                <w:sz w:val="18"/>
                <w:szCs w:val="18"/>
                <w:color w:val="auto"/>
              </w:rPr>
              <w:t>1.6</w:t>
            </w: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10"/>
        </w:trPr>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w:t>
            </w:r>
          </w:p>
        </w:tc>
        <w:tc>
          <w:tcPr>
            <w:tcW w:w="280" w:type="dxa"/>
            <w:vAlign w:val="bottom"/>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0.7</w:t>
            </w:r>
          </w:p>
        </w:tc>
        <w:tc>
          <w:tcPr>
            <w:tcW w:w="20" w:type="dxa"/>
            <w:vAlign w:val="bottom"/>
            <w:tcBorders>
              <w:top w:val="single" w:sz="8" w:color="auto"/>
            </w:tcBorders>
          </w:tcPr>
          <w:p>
            <w:pPr>
              <w:spacing w:after="0"/>
              <w:rPr>
                <w:sz w:val="18"/>
                <w:szCs w:val="18"/>
                <w:color w:val="auto"/>
              </w:rPr>
            </w:pPr>
          </w:p>
        </w:tc>
      </w:tr>
      <w:tr>
        <w:trPr>
          <w:trHeight w:val="20"/>
        </w:trPr>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60" w:type="dxa"/>
            <w:vAlign w:val="bottom"/>
            <w:tcBorders>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45"/>
        </w:trPr>
        <w:tc>
          <w:tcPr>
            <w:tcW w:w="12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gridSpan w:val="6"/>
          </w:tcPr>
          <w:p>
            <w:pPr>
              <w:jc w:val="right"/>
              <w:ind w:right="240"/>
              <w:spacing w:after="0"/>
              <w:rPr>
                <w:sz w:val="20"/>
                <w:szCs w:val="20"/>
                <w:color w:val="auto"/>
              </w:rPr>
            </w:pPr>
            <w:r>
              <w:rPr>
                <w:rFonts w:ascii="Arial" w:cs="Arial" w:eastAsia="Arial" w:hAnsi="Arial"/>
                <w:sz w:val="14"/>
                <w:szCs w:val="14"/>
                <w:b w:val="1"/>
                <w:bCs w:val="1"/>
                <w:color w:val="auto"/>
                <w:w w:val="94"/>
              </w:rPr>
              <w:t>For the nine months ended September 30, 2015</w:t>
            </w: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42"/>
        </w:trPr>
        <w:tc>
          <w:tcPr>
            <w:tcW w:w="1720" w:type="dxa"/>
            <w:vAlign w:val="bottom"/>
            <w:tcBorders>
              <w:bottom w:val="single" w:sz="8" w:color="auto"/>
            </w:tcBorders>
            <w:gridSpan w:val="4"/>
          </w:tcPr>
          <w:p>
            <w:pPr>
              <w:jc w:val="right"/>
              <w:ind w:right="50"/>
              <w:spacing w:after="0" w:line="142" w:lineRule="exact"/>
              <w:rPr>
                <w:sz w:val="20"/>
                <w:szCs w:val="20"/>
                <w:color w:val="auto"/>
              </w:rPr>
            </w:pPr>
            <w:r>
              <w:rPr>
                <w:rFonts w:ascii="Arial" w:cs="Arial" w:eastAsia="Arial" w:hAnsi="Arial"/>
                <w:sz w:val="14"/>
                <w:szCs w:val="14"/>
                <w:b w:val="1"/>
                <w:bCs w:val="1"/>
                <w:color w:val="auto"/>
              </w:rPr>
              <w:t>TDRs</w:t>
            </w:r>
          </w:p>
        </w:tc>
        <w:tc>
          <w:tcPr>
            <w:tcW w:w="108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780" w:type="dxa"/>
            <w:vAlign w:val="bottom"/>
            <w:tcBorders>
              <w:bottom w:val="single" w:sz="8" w:color="auto"/>
            </w:tcBorders>
            <w:gridSpan w:val="5"/>
          </w:tcPr>
          <w:p>
            <w:pPr>
              <w:jc w:val="right"/>
              <w:ind w:right="541"/>
              <w:spacing w:after="0" w:line="142" w:lineRule="exact"/>
              <w:rPr>
                <w:sz w:val="20"/>
                <w:szCs w:val="20"/>
                <w:color w:val="auto"/>
              </w:rPr>
            </w:pPr>
            <w:r>
              <w:rPr>
                <w:rFonts w:ascii="Arial" w:cs="Arial" w:eastAsia="Arial" w:hAnsi="Arial"/>
                <w:sz w:val="14"/>
                <w:szCs w:val="14"/>
                <w:b w:val="1"/>
                <w:bCs w:val="1"/>
                <w:color w:val="auto"/>
              </w:rPr>
              <w:t>TDRs in payment default</w:t>
            </w:r>
          </w:p>
        </w:tc>
        <w:tc>
          <w:tcPr>
            <w:tcW w:w="20" w:type="dxa"/>
            <w:vAlign w:val="bottom"/>
          </w:tcPr>
          <w:p>
            <w:pPr>
              <w:spacing w:after="0"/>
              <w:rPr>
                <w:sz w:val="12"/>
                <w:szCs w:val="12"/>
                <w:color w:val="auto"/>
              </w:rPr>
            </w:pPr>
          </w:p>
        </w:tc>
      </w:tr>
      <w:tr>
        <w:trPr>
          <w:trHeight w:val="119"/>
        </w:trPr>
        <w:tc>
          <w:tcPr>
            <w:tcW w:w="1360" w:type="dxa"/>
            <w:vAlign w:val="bottom"/>
            <w:gridSpan w:val="2"/>
          </w:tcPr>
          <w:p>
            <w:pPr>
              <w:jc w:val="center"/>
              <w:ind w:right="120"/>
              <w:spacing w:after="0" w:line="119" w:lineRule="exact"/>
              <w:rPr>
                <w:sz w:val="20"/>
                <w:szCs w:val="20"/>
                <w:color w:val="auto"/>
              </w:rPr>
            </w:pPr>
            <w:r>
              <w:rPr>
                <w:rFonts w:ascii="Arial" w:cs="Arial" w:eastAsia="Arial" w:hAnsi="Arial"/>
                <w:sz w:val="13"/>
                <w:szCs w:val="13"/>
                <w:b w:val="1"/>
                <w:bCs w:val="1"/>
                <w:color w:val="auto"/>
              </w:rPr>
              <w:t>Number of</w:t>
            </w: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80" w:type="dxa"/>
            <w:vAlign w:val="bottom"/>
          </w:tcPr>
          <w:p>
            <w:pPr>
              <w:jc w:val="center"/>
              <w:ind w:right="101"/>
              <w:spacing w:after="0" w:line="119" w:lineRule="exact"/>
              <w:rPr>
                <w:sz w:val="20"/>
                <w:szCs w:val="20"/>
                <w:color w:val="auto"/>
              </w:rPr>
            </w:pPr>
            <w:r>
              <w:rPr>
                <w:rFonts w:ascii="Arial" w:cs="Arial" w:eastAsia="Arial" w:hAnsi="Arial"/>
                <w:sz w:val="13"/>
                <w:szCs w:val="13"/>
                <w:b w:val="1"/>
                <w:bCs w:val="1"/>
                <w:color w:val="auto"/>
                <w:w w:val="96"/>
              </w:rPr>
              <w:t>Recorded</w:t>
            </w:r>
          </w:p>
        </w:tc>
        <w:tc>
          <w:tcPr>
            <w:tcW w:w="280" w:type="dxa"/>
            <w:vAlign w:val="bottom"/>
          </w:tcPr>
          <w:p>
            <w:pPr>
              <w:spacing w:after="0"/>
              <w:rPr>
                <w:sz w:val="10"/>
                <w:szCs w:val="10"/>
                <w:color w:val="auto"/>
              </w:rPr>
            </w:pPr>
          </w:p>
        </w:tc>
        <w:tc>
          <w:tcPr>
            <w:tcW w:w="1520" w:type="dxa"/>
            <w:vAlign w:val="bottom"/>
            <w:gridSpan w:val="2"/>
          </w:tcPr>
          <w:p>
            <w:pPr>
              <w:jc w:val="center"/>
              <w:ind w:right="260"/>
              <w:spacing w:after="0" w:line="119" w:lineRule="exact"/>
              <w:rPr>
                <w:sz w:val="20"/>
                <w:szCs w:val="20"/>
                <w:color w:val="auto"/>
              </w:rPr>
            </w:pPr>
            <w:r>
              <w:rPr>
                <w:rFonts w:ascii="Arial" w:cs="Arial" w:eastAsia="Arial" w:hAnsi="Arial"/>
                <w:sz w:val="13"/>
                <w:szCs w:val="13"/>
                <w:b w:val="1"/>
                <w:bCs w:val="1"/>
                <w:color w:val="auto"/>
              </w:rPr>
              <w:t>Number of</w:t>
            </w: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tcPr>
          <w:p>
            <w:pPr>
              <w:jc w:val="center"/>
              <w:ind w:right="101"/>
              <w:spacing w:after="0" w:line="119" w:lineRule="exact"/>
              <w:rPr>
                <w:sz w:val="20"/>
                <w:szCs w:val="20"/>
                <w:color w:val="auto"/>
              </w:rPr>
            </w:pPr>
            <w:r>
              <w:rPr>
                <w:rFonts w:ascii="Arial" w:cs="Arial" w:eastAsia="Arial" w:hAnsi="Arial"/>
                <w:sz w:val="13"/>
                <w:szCs w:val="13"/>
                <w:b w:val="1"/>
                <w:bCs w:val="1"/>
                <w:color w:val="auto"/>
                <w:w w:val="96"/>
              </w:rPr>
              <w:t>Recorded</w:t>
            </w:r>
          </w:p>
        </w:tc>
        <w:tc>
          <w:tcPr>
            <w:tcW w:w="20" w:type="dxa"/>
            <w:vAlign w:val="bottom"/>
          </w:tcPr>
          <w:p>
            <w:pPr>
              <w:spacing w:after="0"/>
              <w:rPr>
                <w:sz w:val="10"/>
                <w:szCs w:val="10"/>
                <w:color w:val="auto"/>
              </w:rPr>
            </w:pPr>
          </w:p>
        </w:tc>
      </w:tr>
      <w:tr>
        <w:trPr>
          <w:trHeight w:val="171"/>
        </w:trPr>
        <w:tc>
          <w:tcPr>
            <w:tcW w:w="13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contracts</w:t>
            </w: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9"/>
              </w:rPr>
              <w:t>investment</w:t>
            </w:r>
          </w:p>
        </w:tc>
        <w:tc>
          <w:tcPr>
            <w:tcW w:w="15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contracts</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investment</w:t>
            </w:r>
          </w:p>
        </w:tc>
      </w:tr>
      <w:tr>
        <w:trPr>
          <w:trHeight w:val="124"/>
        </w:trPr>
        <w:tc>
          <w:tcPr>
            <w:tcW w:w="124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080" w:type="dxa"/>
            <w:vAlign w:val="bottom"/>
            <w:tcBorders>
              <w:top w:val="single" w:sz="8" w:color="auto"/>
            </w:tcBorders>
          </w:tcPr>
          <w:p>
            <w:pPr>
              <w:jc w:val="center"/>
              <w:ind w:right="101"/>
              <w:spacing w:after="0" w:line="124"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Pr>
          <w:p>
            <w:pPr>
              <w:spacing w:after="0"/>
              <w:rPr>
                <w:sz w:val="10"/>
                <w:szCs w:val="10"/>
                <w:color w:val="auto"/>
              </w:rPr>
            </w:pPr>
          </w:p>
        </w:tc>
        <w:tc>
          <w:tcPr>
            <w:tcW w:w="124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080" w:type="dxa"/>
            <w:vAlign w:val="bottom"/>
            <w:tcBorders>
              <w:top w:val="single" w:sz="8" w:color="auto"/>
            </w:tcBorders>
          </w:tcPr>
          <w:p>
            <w:pPr>
              <w:jc w:val="center"/>
              <w:ind w:right="101"/>
              <w:spacing w:after="0" w:line="124" w:lineRule="exact"/>
              <w:rPr>
                <w:sz w:val="20"/>
                <w:szCs w:val="20"/>
                <w:color w:val="auto"/>
              </w:rPr>
            </w:pPr>
            <w:r>
              <w:rPr>
                <w:rFonts w:ascii="Arial" w:cs="Arial" w:eastAsia="Arial" w:hAnsi="Arial"/>
                <w:sz w:val="14"/>
                <w:szCs w:val="14"/>
                <w:b w:val="1"/>
                <w:bCs w:val="1"/>
                <w:color w:val="auto"/>
                <w:w w:val="94"/>
              </w:rPr>
              <w:t>(in millions)</w:t>
            </w:r>
          </w:p>
        </w:tc>
        <w:tc>
          <w:tcPr>
            <w:tcW w:w="20" w:type="dxa"/>
            <w:vAlign w:val="bottom"/>
          </w:tcPr>
          <w:p>
            <w:pPr>
              <w:spacing w:after="0"/>
              <w:rPr>
                <w:sz w:val="10"/>
                <w:szCs w:val="10"/>
                <w:color w:val="auto"/>
              </w:rPr>
            </w:pPr>
          </w:p>
        </w:tc>
      </w:tr>
      <w:tr>
        <w:trPr>
          <w:trHeight w:val="234"/>
        </w:trPr>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13</w:t>
            </w:r>
          </w:p>
        </w:tc>
        <w:tc>
          <w:tcPr>
            <w:tcW w:w="120" w:type="dxa"/>
            <w:vAlign w:val="bottom"/>
          </w:tcPr>
          <w:p>
            <w:pPr>
              <w:spacing w:after="0"/>
              <w:rPr>
                <w:sz w:val="20"/>
                <w:szCs w:val="20"/>
                <w:color w:val="auto"/>
              </w:rPr>
            </w:pPr>
          </w:p>
        </w:tc>
        <w:tc>
          <w:tcPr>
            <w:tcW w:w="3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3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0.5</w:t>
            </w:r>
          </w:p>
        </w:tc>
        <w:tc>
          <w:tcPr>
            <w:tcW w:w="15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w:t>
            </w:r>
          </w:p>
        </w:tc>
        <w:tc>
          <w:tcPr>
            <w:tcW w:w="18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w w:val="79"/>
              </w:rPr>
              <w:t>$</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w:t>
            </w:r>
          </w:p>
        </w:tc>
      </w:tr>
      <w:tr>
        <w:trPr>
          <w:trHeight w:val="210"/>
        </w:trPr>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0.5</w:t>
            </w:r>
          </w:p>
        </w:tc>
        <w:tc>
          <w:tcPr>
            <w:tcW w:w="280" w:type="dxa"/>
            <w:vAlign w:val="bottom"/>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w:t>
            </w:r>
          </w:p>
        </w:tc>
        <w:tc>
          <w:tcPr>
            <w:tcW w:w="280" w:type="dxa"/>
            <w:vAlign w:val="bottom"/>
          </w:tcPr>
          <w:p>
            <w:pPr>
              <w:spacing w:after="0"/>
              <w:rPr>
                <w:sz w:val="18"/>
                <w:szCs w:val="18"/>
                <w:color w:val="auto"/>
              </w:rPr>
            </w:pPr>
          </w:p>
        </w:tc>
        <w:tc>
          <w:tcPr>
            <w:tcW w:w="180" w:type="dxa"/>
            <w:vAlign w:val="bottom"/>
            <w:tcBorders>
              <w:top w:val="single" w:sz="8" w:color="auto"/>
              <w:bottom w:val="single" w:sz="8" w:color="auto"/>
            </w:tcBorders>
            <w:gridSpan w:val="2"/>
          </w:tcPr>
          <w:p>
            <w:pPr>
              <w:jc w:val="right"/>
              <w:ind w:right="5"/>
              <w:spacing w:after="0"/>
              <w:rPr>
                <w:sz w:val="20"/>
                <w:szCs w:val="20"/>
                <w:color w:val="auto"/>
              </w:rPr>
            </w:pPr>
            <w:r>
              <w:rPr>
                <w:rFonts w:ascii="Arial" w:cs="Arial" w:eastAsia="Arial" w:hAnsi="Arial"/>
                <w:sz w:val="18"/>
                <w:szCs w:val="18"/>
                <w:b w:val="1"/>
                <w:bCs w:val="1"/>
                <w:color w:val="auto"/>
                <w:w w:val="79"/>
              </w:rPr>
              <w:t>$</w:t>
            </w:r>
          </w:p>
        </w:tc>
        <w:tc>
          <w:tcPr>
            <w:tcW w:w="11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b w:val="1"/>
                <w:bCs w:val="1"/>
                <w:color w:val="auto"/>
              </w:rPr>
              <w:t>—</w:t>
            </w:r>
          </w:p>
        </w:tc>
      </w:tr>
      <w:tr>
        <w:trPr>
          <w:trHeight w:val="20"/>
        </w:trPr>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-3461385</wp:posOffset>
            </wp:positionH>
            <wp:positionV relativeFrom="paragraph">
              <wp:posOffset>-2331720</wp:posOffset>
            </wp:positionV>
            <wp:extent cx="7246620" cy="13716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-3461385</wp:posOffset>
            </wp:positionH>
            <wp:positionV relativeFrom="paragraph">
              <wp:posOffset>-1388745</wp:posOffset>
            </wp:positionV>
            <wp:extent cx="7246620" cy="13716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-3461385</wp:posOffset>
            </wp:positionH>
            <wp:positionV relativeFrom="paragraph">
              <wp:posOffset>-1114425</wp:posOffset>
            </wp:positionV>
            <wp:extent cx="7246620" cy="15430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46620" cy="154305"/>
                    </a:xfrm>
                    <a:prstGeom prst="rect">
                      <a:avLst/>
                    </a:prstGeom>
                    <a:noFill/>
                  </pic:spPr>
                </pic:pic>
              </a:graphicData>
            </a:graphic>
          </wp:anchor>
        </w:drawing>
        <w:drawing>
          <wp:anchor simplePos="0" relativeHeight="251657728" behindDoc="1" locked="0" layoutInCell="0" allowOverlap="1">
            <wp:simplePos x="0" y="0"/>
            <wp:positionH relativeFrom="column">
              <wp:posOffset>-3461385</wp:posOffset>
            </wp:positionH>
            <wp:positionV relativeFrom="paragraph">
              <wp:posOffset>-307975</wp:posOffset>
            </wp:positionV>
            <wp:extent cx="7246620" cy="13716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182" w:lineRule="exact"/>
        <w:rPr>
          <w:sz w:val="20"/>
          <w:szCs w:val="20"/>
          <w:color w:val="auto"/>
        </w:rPr>
      </w:pPr>
    </w:p>
    <w:p>
      <w:pPr>
        <w:ind w:left="160"/>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-3463290</wp:posOffset>
            </wp:positionH>
            <wp:positionV relativeFrom="paragraph">
              <wp:posOffset>81280</wp:posOffset>
            </wp:positionV>
            <wp:extent cx="7267575" cy="298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ectPr>
          <w:pgSz w:w="11900" w:h="16925" w:orient="portrait"/>
          <w:cols w:equalWidth="0" w:num="2">
            <w:col w:w="4740" w:space="720"/>
            <w:col w:w="5960"/>
          </w:cols>
          <w:pgMar w:left="240" w:top="517" w:right="239" w:bottom="0" w:gutter="0" w:footer="0" w:header="0"/>
          <w:type w:val="continuous"/>
        </w:sectPr>
      </w:pPr>
    </w:p>
    <w:p>
      <w:pPr>
        <w:spacing w:after="0" w:line="30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460" w:type="dxa"/>
            <w:vAlign w:val="bottom"/>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120" w:type="dxa"/>
            <w:vAlign w:val="bottom"/>
            <w:tcBorders>
              <w:bottom w:val="single" w:sz="8" w:color="auto"/>
            </w:tcBorders>
            <w:gridSpan w:val="6"/>
          </w:tcPr>
          <w:p>
            <w:pPr>
              <w:jc w:val="right"/>
              <w:ind w:right="120"/>
              <w:spacing w:after="0"/>
              <w:rPr>
                <w:sz w:val="20"/>
                <w:szCs w:val="20"/>
                <w:color w:val="auto"/>
              </w:rPr>
            </w:pPr>
            <w:r>
              <w:rPr>
                <w:rFonts w:ascii="Arial" w:cs="Arial" w:eastAsia="Arial" w:hAnsi="Arial"/>
                <w:sz w:val="14"/>
                <w:szCs w:val="14"/>
                <w:b w:val="1"/>
                <w:bCs w:val="1"/>
                <w:color w:val="auto"/>
                <w:w w:val="94"/>
              </w:rPr>
              <w:t>For the nine months ended September 30, 2014</w:t>
            </w:r>
          </w:p>
        </w:tc>
        <w:tc>
          <w:tcPr>
            <w:tcW w:w="1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5460" w:type="dxa"/>
            <w:vAlign w:val="bottom"/>
          </w:tcPr>
          <w:p>
            <w:pPr>
              <w:spacing w:after="0"/>
              <w:rPr>
                <w:sz w:val="12"/>
                <w:szCs w:val="12"/>
                <w:color w:val="auto"/>
              </w:rPr>
            </w:pPr>
          </w:p>
        </w:tc>
        <w:tc>
          <w:tcPr>
            <w:tcW w:w="10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gridSpan w:val="4"/>
          </w:tcPr>
          <w:p>
            <w:pPr>
              <w:jc w:val="right"/>
              <w:ind w:right="50"/>
              <w:spacing w:after="0" w:line="142" w:lineRule="exact"/>
              <w:rPr>
                <w:sz w:val="20"/>
                <w:szCs w:val="20"/>
                <w:color w:val="auto"/>
              </w:rPr>
            </w:pPr>
            <w:r>
              <w:rPr>
                <w:rFonts w:ascii="Arial" w:cs="Arial" w:eastAsia="Arial" w:hAnsi="Arial"/>
                <w:sz w:val="14"/>
                <w:szCs w:val="14"/>
                <w:b w:val="1"/>
                <w:bCs w:val="1"/>
                <w:color w:val="auto"/>
              </w:rPr>
              <w:t>TDRs</w:t>
            </w:r>
          </w:p>
        </w:tc>
        <w:tc>
          <w:tcPr>
            <w:tcW w:w="108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780" w:type="dxa"/>
            <w:vAlign w:val="bottom"/>
            <w:tcBorders>
              <w:bottom w:val="single" w:sz="8" w:color="auto"/>
            </w:tcBorders>
            <w:gridSpan w:val="5"/>
          </w:tcPr>
          <w:p>
            <w:pPr>
              <w:jc w:val="right"/>
              <w:ind w:right="538"/>
              <w:spacing w:after="0" w:line="142" w:lineRule="exact"/>
              <w:rPr>
                <w:sz w:val="20"/>
                <w:szCs w:val="20"/>
                <w:color w:val="auto"/>
              </w:rPr>
            </w:pPr>
            <w:r>
              <w:rPr>
                <w:rFonts w:ascii="Arial" w:cs="Arial" w:eastAsia="Arial" w:hAnsi="Arial"/>
                <w:sz w:val="14"/>
                <w:szCs w:val="14"/>
                <w:b w:val="1"/>
                <w:bCs w:val="1"/>
                <w:color w:val="auto"/>
              </w:rPr>
              <w:t>TDRs in payment default</w:t>
            </w:r>
          </w:p>
        </w:tc>
        <w:tc>
          <w:tcPr>
            <w:tcW w:w="100" w:type="dxa"/>
            <w:vAlign w:val="bottom"/>
          </w:tcPr>
          <w:p>
            <w:pPr>
              <w:spacing w:after="0"/>
              <w:rPr>
                <w:sz w:val="12"/>
                <w:szCs w:val="12"/>
                <w:color w:val="auto"/>
              </w:rPr>
            </w:pPr>
          </w:p>
        </w:tc>
      </w:tr>
      <w:tr>
        <w:trPr>
          <w:trHeight w:val="119"/>
        </w:trPr>
        <w:tc>
          <w:tcPr>
            <w:tcW w:w="5460" w:type="dxa"/>
            <w:vAlign w:val="bottom"/>
          </w:tcPr>
          <w:p>
            <w:pPr>
              <w:spacing w:after="0"/>
              <w:rPr>
                <w:sz w:val="10"/>
                <w:szCs w:val="10"/>
                <w:color w:val="auto"/>
              </w:rPr>
            </w:pPr>
          </w:p>
        </w:tc>
        <w:tc>
          <w:tcPr>
            <w:tcW w:w="1000" w:type="dxa"/>
            <w:vAlign w:val="bottom"/>
          </w:tcPr>
          <w:p>
            <w:pPr>
              <w:jc w:val="center"/>
              <w:ind w:left="171"/>
              <w:spacing w:after="0" w:line="119" w:lineRule="exact"/>
              <w:rPr>
                <w:sz w:val="20"/>
                <w:szCs w:val="20"/>
                <w:color w:val="auto"/>
              </w:rPr>
            </w:pPr>
            <w:r>
              <w:rPr>
                <w:rFonts w:ascii="Arial" w:cs="Arial" w:eastAsia="Arial" w:hAnsi="Arial"/>
                <w:sz w:val="13"/>
                <w:szCs w:val="13"/>
                <w:b w:val="1"/>
                <w:bCs w:val="1"/>
                <w:color w:val="auto"/>
              </w:rPr>
              <w:t>Number of</w:t>
            </w: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80" w:type="dxa"/>
            <w:vAlign w:val="bottom"/>
          </w:tcPr>
          <w:p>
            <w:pPr>
              <w:jc w:val="center"/>
              <w:ind w:right="98"/>
              <w:spacing w:after="0" w:line="119" w:lineRule="exact"/>
              <w:rPr>
                <w:sz w:val="20"/>
                <w:szCs w:val="20"/>
                <w:color w:val="auto"/>
              </w:rPr>
            </w:pPr>
            <w:r>
              <w:rPr>
                <w:rFonts w:ascii="Arial" w:cs="Arial" w:eastAsia="Arial" w:hAnsi="Arial"/>
                <w:sz w:val="13"/>
                <w:szCs w:val="13"/>
                <w:b w:val="1"/>
                <w:bCs w:val="1"/>
                <w:color w:val="auto"/>
                <w:w w:val="96"/>
              </w:rPr>
              <w:t>Recorded</w:t>
            </w:r>
          </w:p>
        </w:tc>
        <w:tc>
          <w:tcPr>
            <w:tcW w:w="280" w:type="dxa"/>
            <w:vAlign w:val="bottom"/>
          </w:tcPr>
          <w:p>
            <w:pPr>
              <w:spacing w:after="0"/>
              <w:rPr>
                <w:sz w:val="10"/>
                <w:szCs w:val="10"/>
                <w:color w:val="auto"/>
              </w:rPr>
            </w:pPr>
          </w:p>
        </w:tc>
        <w:tc>
          <w:tcPr>
            <w:tcW w:w="1400" w:type="dxa"/>
            <w:vAlign w:val="bottom"/>
            <w:gridSpan w:val="2"/>
          </w:tcPr>
          <w:p>
            <w:pPr>
              <w:jc w:val="right"/>
              <w:ind w:right="440"/>
              <w:spacing w:after="0" w:line="119" w:lineRule="exact"/>
              <w:rPr>
                <w:sz w:val="20"/>
                <w:szCs w:val="20"/>
                <w:color w:val="auto"/>
              </w:rPr>
            </w:pPr>
            <w:r>
              <w:rPr>
                <w:rFonts w:ascii="Arial" w:cs="Arial" w:eastAsia="Arial" w:hAnsi="Arial"/>
                <w:sz w:val="13"/>
                <w:szCs w:val="13"/>
                <w:b w:val="1"/>
                <w:bCs w:val="1"/>
                <w:color w:val="auto"/>
              </w:rPr>
              <w:t>Number of</w:t>
            </w: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80" w:type="dxa"/>
            <w:vAlign w:val="bottom"/>
          </w:tcPr>
          <w:p>
            <w:pPr>
              <w:jc w:val="center"/>
              <w:ind w:right="98"/>
              <w:spacing w:after="0" w:line="119" w:lineRule="exact"/>
              <w:rPr>
                <w:sz w:val="20"/>
                <w:szCs w:val="20"/>
                <w:color w:val="auto"/>
              </w:rPr>
            </w:pPr>
            <w:r>
              <w:rPr>
                <w:rFonts w:ascii="Arial" w:cs="Arial" w:eastAsia="Arial" w:hAnsi="Arial"/>
                <w:sz w:val="13"/>
                <w:szCs w:val="13"/>
                <w:b w:val="1"/>
                <w:bCs w:val="1"/>
                <w:color w:val="auto"/>
                <w:w w:val="96"/>
              </w:rPr>
              <w:t>Recorded</w:t>
            </w:r>
          </w:p>
        </w:tc>
        <w:tc>
          <w:tcPr>
            <w:tcW w:w="100" w:type="dxa"/>
            <w:vAlign w:val="bottom"/>
          </w:tcPr>
          <w:p>
            <w:pPr>
              <w:spacing w:after="0"/>
              <w:rPr>
                <w:sz w:val="10"/>
                <w:szCs w:val="10"/>
                <w:color w:val="auto"/>
              </w:rPr>
            </w:pPr>
          </w:p>
        </w:tc>
      </w:tr>
      <w:tr>
        <w:trPr>
          <w:trHeight w:val="171"/>
        </w:trPr>
        <w:tc>
          <w:tcPr>
            <w:tcW w:w="5460" w:type="dxa"/>
            <w:vAlign w:val="bottom"/>
          </w:tcPr>
          <w:p>
            <w:pPr>
              <w:spacing w:after="0"/>
              <w:rPr>
                <w:sz w:val="14"/>
                <w:szCs w:val="14"/>
                <w:color w:val="auto"/>
              </w:rPr>
            </w:pPr>
          </w:p>
        </w:tc>
        <w:tc>
          <w:tcPr>
            <w:tcW w:w="1000" w:type="dxa"/>
            <w:vAlign w:val="bottom"/>
          </w:tcPr>
          <w:p>
            <w:pPr>
              <w:jc w:val="center"/>
              <w:ind w:left="171"/>
              <w:spacing w:after="0"/>
              <w:rPr>
                <w:sz w:val="20"/>
                <w:szCs w:val="20"/>
                <w:color w:val="auto"/>
              </w:rPr>
            </w:pPr>
            <w:r>
              <w:rPr>
                <w:rFonts w:ascii="Arial" w:cs="Arial" w:eastAsia="Arial" w:hAnsi="Arial"/>
                <w:sz w:val="14"/>
                <w:szCs w:val="14"/>
                <w:b w:val="1"/>
                <w:bCs w:val="1"/>
                <w:color w:val="auto"/>
                <w:w w:val="88"/>
              </w:rPr>
              <w:t>contracts</w:t>
            </w: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9"/>
              </w:rPr>
              <w:t>investment</w:t>
            </w:r>
          </w:p>
        </w:tc>
        <w:tc>
          <w:tcPr>
            <w:tcW w:w="140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contracts</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investment</w:t>
            </w:r>
          </w:p>
        </w:tc>
      </w:tr>
      <w:tr>
        <w:trPr>
          <w:trHeight w:val="142"/>
        </w:trPr>
        <w:tc>
          <w:tcPr>
            <w:tcW w:w="5460" w:type="dxa"/>
            <w:vAlign w:val="bottom"/>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jc w:val="center"/>
              <w:ind w:right="98"/>
              <w:spacing w:after="0" w:line="142"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Pr>
          <w:p>
            <w:pPr>
              <w:spacing w:after="0"/>
              <w:rPr>
                <w:sz w:val="12"/>
                <w:szCs w:val="12"/>
                <w:color w:val="auto"/>
              </w:rPr>
            </w:pPr>
          </w:p>
        </w:tc>
        <w:tc>
          <w:tcPr>
            <w:tcW w:w="12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jc w:val="center"/>
              <w:ind w:right="98"/>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00" w:type="dxa"/>
            <w:vAlign w:val="bottom"/>
          </w:tcPr>
          <w:p>
            <w:pPr>
              <w:spacing w:after="0"/>
              <w:rPr>
                <w:sz w:val="12"/>
                <w:szCs w:val="12"/>
                <w:color w:val="auto"/>
              </w:rPr>
            </w:pPr>
          </w:p>
        </w:tc>
      </w:tr>
      <w:tr>
        <w:trPr>
          <w:trHeight w:val="216"/>
        </w:trPr>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Commercial-brick and mortar</w:t>
            </w:r>
          </w:p>
        </w:tc>
        <w:tc>
          <w:tcPr>
            <w:tcW w:w="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10.5</w:t>
            </w:r>
          </w:p>
        </w:tc>
        <w:tc>
          <w:tcPr>
            <w:tcW w:w="14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0.7</w:t>
            </w:r>
          </w:p>
        </w:tc>
      </w:tr>
      <w:tr>
        <w:trPr>
          <w:trHeight w:val="216"/>
        </w:trPr>
        <w:tc>
          <w:tcPr>
            <w:tcW w:w="6460" w:type="dxa"/>
            <w:vAlign w:val="bottom"/>
            <w:gridSpan w:val="2"/>
          </w:tcPr>
          <w:p>
            <w:pPr>
              <w:spacing w:after="0"/>
              <w:rPr>
                <w:sz w:val="20"/>
                <w:szCs w:val="20"/>
                <w:color w:val="auto"/>
              </w:rPr>
            </w:pPr>
            <w:r>
              <w:rPr>
                <w:rFonts w:ascii="Arial" w:cs="Arial" w:eastAsia="Arial" w:hAnsi="Arial"/>
                <w:sz w:val="18"/>
                <w:szCs w:val="18"/>
                <w:color w:val="auto"/>
              </w:rPr>
              <w:t>Residential-home equity</w:t>
            </w:r>
          </w:p>
        </w:tc>
        <w:tc>
          <w:tcPr>
            <w:tcW w:w="240" w:type="dxa"/>
            <w:vAlign w:val="bottom"/>
          </w:tcPr>
          <w:p>
            <w:pPr>
              <w:jc w:val="right"/>
              <w:spacing w:after="0"/>
              <w:rPr>
                <w:sz w:val="20"/>
                <w:szCs w:val="20"/>
                <w:color w:val="auto"/>
              </w:rPr>
            </w:pPr>
            <w:r>
              <w:rPr>
                <w:rFonts w:ascii="Arial" w:cs="Arial" w:eastAsia="Arial" w:hAnsi="Arial"/>
                <w:sz w:val="18"/>
                <w:szCs w:val="18"/>
                <w:color w:val="auto"/>
              </w:rPr>
              <w:t>75</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gridSpan w:val="2"/>
          </w:tcPr>
          <w:p>
            <w:pPr>
              <w:jc w:val="right"/>
              <w:ind w:right="280"/>
              <w:spacing w:after="0"/>
              <w:rPr>
                <w:sz w:val="20"/>
                <w:szCs w:val="20"/>
                <w:color w:val="auto"/>
              </w:rPr>
            </w:pPr>
            <w:r>
              <w:rPr>
                <w:rFonts w:ascii="Arial" w:cs="Arial" w:eastAsia="Arial" w:hAnsi="Arial"/>
                <w:sz w:val="18"/>
                <w:szCs w:val="18"/>
                <w:color w:val="auto"/>
              </w:rPr>
              <w:t>2.9</w:t>
            </w:r>
          </w:p>
        </w:tc>
        <w:tc>
          <w:tcPr>
            <w:tcW w:w="1400" w:type="dxa"/>
            <w:vAlign w:val="bottom"/>
            <w:gridSpan w:val="2"/>
          </w:tcPr>
          <w:p>
            <w:pPr>
              <w:jc w:val="right"/>
              <w:ind w:right="160"/>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Residential-first liens</w:t>
            </w:r>
          </w:p>
        </w:tc>
        <w:tc>
          <w:tcPr>
            <w:tcW w:w="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0.1</w:t>
            </w:r>
          </w:p>
        </w:tc>
        <w:tc>
          <w:tcPr>
            <w:tcW w:w="14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24"/>
        </w:trPr>
        <w:tc>
          <w:tcPr>
            <w:tcW w:w="5460" w:type="dxa"/>
            <w:vAlign w:val="bottom"/>
          </w:tcPr>
          <w:p>
            <w:pPr>
              <w:spacing w:after="0"/>
              <w:rPr>
                <w:sz w:val="20"/>
                <w:szCs w:val="20"/>
                <w:color w:val="auto"/>
              </w:rPr>
            </w:pPr>
            <w:r>
              <w:rPr>
                <w:rFonts w:ascii="Arial" w:cs="Arial" w:eastAsia="Arial" w:hAnsi="Arial"/>
                <w:sz w:val="18"/>
                <w:szCs w:val="18"/>
                <w:color w:val="auto"/>
              </w:rPr>
              <w:t>Total</w:t>
            </w:r>
          </w:p>
        </w:tc>
        <w:tc>
          <w:tcPr>
            <w:tcW w:w="1000" w:type="dxa"/>
            <w:vAlign w:val="bottom"/>
            <w:tcBorders>
              <w:top w:val="single" w:sz="8" w:color="auto"/>
            </w:tcBorders>
          </w:tcPr>
          <w:p>
            <w:pPr>
              <w:spacing w:after="0"/>
              <w:rPr>
                <w:sz w:val="19"/>
                <w:szCs w:val="19"/>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13.5</w:t>
            </w:r>
          </w:p>
        </w:tc>
        <w:tc>
          <w:tcPr>
            <w:tcW w:w="280" w:type="dxa"/>
            <w:vAlign w:val="bottom"/>
          </w:tcPr>
          <w:p>
            <w:pPr>
              <w:spacing w:after="0"/>
              <w:rPr>
                <w:sz w:val="19"/>
                <w:szCs w:val="19"/>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19"/>
                <w:szCs w:val="19"/>
                <w:color w:val="auto"/>
              </w:rPr>
            </w:pPr>
          </w:p>
        </w:tc>
      </w:tr>
    </w:tbl>
    <w:p>
      <w:pPr>
        <w:sectPr>
          <w:pgSz w:w="11900" w:h="16925" w:orient="portrait"/>
          <w:cols w:equalWidth="0" w:num="1">
            <w:col w:w="11420"/>
          </w:cols>
          <w:pgMar w:left="240" w:top="517" w:right="239" w:bottom="0" w:gutter="0" w:footer="0" w:header="0"/>
          <w:type w:val="continuous"/>
        </w:sectPr>
      </w:pPr>
    </w:p>
    <w:bookmarkStart w:id="20" w:name="page21"/>
    <w:bookmarkEnd w:id="20"/>
    <w:p>
      <w:pPr>
        <w:spacing w:after="0" w:line="2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3613785</wp:posOffset>
            </wp:positionH>
            <wp:positionV relativeFrom="page">
              <wp:posOffset>88900</wp:posOffset>
            </wp:positionV>
            <wp:extent cx="3721735" cy="260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721735" cy="26035"/>
                    </a:xfrm>
                    <a:prstGeom prst="rect">
                      <a:avLst/>
                    </a:prstGeom>
                    <a:noFill/>
                  </pic:spPr>
                </pic:pic>
              </a:graphicData>
            </a:graphic>
          </wp:anchor>
        </w:drawing>
      </w:r>
    </w:p>
    <w:p>
      <w:pPr>
        <w:ind w:right="160" w:firstLine="648"/>
        <w:spacing w:after="0" w:line="277" w:lineRule="auto"/>
        <w:rPr>
          <w:sz w:val="20"/>
          <w:szCs w:val="20"/>
          <w:color w:val="auto"/>
        </w:rPr>
      </w:pPr>
      <w:r>
        <w:rPr>
          <w:rFonts w:ascii="Arial" w:cs="Arial" w:eastAsia="Arial" w:hAnsi="Arial"/>
          <w:sz w:val="18"/>
          <w:szCs w:val="18"/>
          <w:color w:val="auto"/>
        </w:rPr>
        <w:t>Commercial mortgage loans that have been designated as a TDR have been previously reserved for in the mortgage loan valuation allowance at the estimated fair value of the underlying collateral reduced by the cost to sell.</w:t>
      </w:r>
    </w:p>
    <w:p>
      <w:pPr>
        <w:spacing w:after="0" w:line="170"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Residential mortgage loans that have been designated as a TDR are specifically reserved for in the mortgage loan valuation allowance if losses result from the modification. Residential mortgage loans that have defaulted or have been discharged through bankruptcy are reduced to the expected collectible amount.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Posted as Collateral</w:t>
      </w:r>
    </w:p>
    <w:p>
      <w:pPr>
        <w:spacing w:after="0" w:line="229"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We posted $947.7 million in fixed maturities, available-for-sale securities at September 30, 2015, to satisfy collateral requirements primarily associated with a reinsurance arrangement, our derivative credit support annex (collateral) agreements, Futures Commission Merchant (“FCM”) agreements, a lending arrangement and our obligation under funding agreements with the Federal Home Loan Bank of Des Moines (“FHLB Des Moines”). In addition, we posted $2,480.2 million in commercial mortgage loans and home equity mortgages as of September 30, 2015, to satisfy collateral requirements associated with our obligation under funding agreements with the FHLB Des Moines. Since we did not relinquish ownership rights on these instruments, they are reported as fixed maturities, available-for-sale and mortgage loans, respectively, on our consolidated statements of financial position. Of the securities posted as collateral, $110.0 million can be sold or repledged by the secured party.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Balance Sheet Offsetting</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Financial assets subject to master netting agreements or similar agreements were as follows: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140" w:type="dxa"/>
            <w:vAlign w:val="bottom"/>
            <w:gridSpan w:val="6"/>
          </w:tcPr>
          <w:p>
            <w:pPr>
              <w:jc w:val="center"/>
              <w:ind w:right="360"/>
              <w:spacing w:after="0"/>
              <w:rPr>
                <w:sz w:val="20"/>
                <w:szCs w:val="20"/>
                <w:color w:val="auto"/>
              </w:rPr>
            </w:pPr>
            <w:r>
              <w:rPr>
                <w:rFonts w:ascii="Arial" w:cs="Arial" w:eastAsia="Arial" w:hAnsi="Arial"/>
                <w:sz w:val="14"/>
                <w:szCs w:val="14"/>
                <w:b w:val="1"/>
                <w:bCs w:val="1"/>
                <w:color w:val="auto"/>
                <w:w w:val="89"/>
              </w:rPr>
              <w:t>Gross amounts not offset in the</w:t>
            </w: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64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0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2"/>
              </w:rPr>
              <w:t>Gross amount</w:t>
            </w:r>
          </w:p>
        </w:tc>
        <w:tc>
          <w:tcPr>
            <w:tcW w:w="160" w:type="dxa"/>
            <w:vAlign w:val="bottom"/>
          </w:tcPr>
          <w:p>
            <w:pPr>
              <w:spacing w:after="0"/>
              <w:rPr>
                <w:sz w:val="12"/>
                <w:szCs w:val="12"/>
                <w:color w:val="auto"/>
              </w:rPr>
            </w:pPr>
          </w:p>
        </w:tc>
        <w:tc>
          <w:tcPr>
            <w:tcW w:w="3140" w:type="dxa"/>
            <w:vAlign w:val="bottom"/>
            <w:gridSpan w:val="6"/>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consolidated statements</w:t>
            </w:r>
          </w:p>
        </w:tc>
        <w:tc>
          <w:tcPr>
            <w:tcW w:w="2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6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0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3140" w:type="dxa"/>
            <w:vAlign w:val="bottom"/>
            <w:gridSpan w:val="6"/>
          </w:tcPr>
          <w:p>
            <w:pPr>
              <w:jc w:val="center"/>
              <w:ind w:right="360"/>
              <w:spacing w:after="0"/>
              <w:rPr>
                <w:sz w:val="20"/>
                <w:szCs w:val="20"/>
                <w:color w:val="auto"/>
              </w:rPr>
            </w:pPr>
            <w:r>
              <w:rPr>
                <w:rFonts w:ascii="Arial" w:cs="Arial" w:eastAsia="Arial" w:hAnsi="Arial"/>
                <w:sz w:val="14"/>
                <w:szCs w:val="14"/>
                <w:b w:val="1"/>
                <w:bCs w:val="1"/>
                <w:color w:val="auto"/>
                <w:w w:val="92"/>
              </w:rPr>
              <w:t>of financial position</w:t>
            </w: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64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500" w:type="dxa"/>
            <w:vAlign w:val="bottom"/>
            <w:gridSpan w:val="2"/>
          </w:tcPr>
          <w:p>
            <w:pPr>
              <w:jc w:val="center"/>
              <w:ind w:right="460"/>
              <w:spacing w:after="0" w:line="119" w:lineRule="exact"/>
              <w:rPr>
                <w:sz w:val="20"/>
                <w:szCs w:val="20"/>
                <w:color w:val="auto"/>
              </w:rPr>
            </w:pPr>
            <w:r>
              <w:rPr>
                <w:rFonts w:ascii="Arial" w:cs="Arial" w:eastAsia="Arial" w:hAnsi="Arial"/>
                <w:sz w:val="13"/>
                <w:szCs w:val="13"/>
                <w:b w:val="1"/>
                <w:bCs w:val="1"/>
                <w:color w:val="auto"/>
                <w:w w:val="94"/>
              </w:rPr>
              <w:t>of recognized</w:t>
            </w:r>
          </w:p>
        </w:tc>
        <w:tc>
          <w:tcPr>
            <w:tcW w:w="160" w:type="dxa"/>
            <w:vAlign w:val="bottom"/>
            <w:tcBorders>
              <w:top w:val="single" w:sz="8" w:color="auto"/>
            </w:tcBorders>
          </w:tcPr>
          <w:p>
            <w:pPr>
              <w:spacing w:after="0"/>
              <w:rPr>
                <w:sz w:val="10"/>
                <w:szCs w:val="10"/>
                <w:color w:val="auto"/>
              </w:rPr>
            </w:pPr>
          </w:p>
        </w:tc>
        <w:tc>
          <w:tcPr>
            <w:tcW w:w="1400" w:type="dxa"/>
            <w:vAlign w:val="bottom"/>
            <w:tcBorders>
              <w:top w:val="single" w:sz="8" w:color="auto"/>
            </w:tcBorders>
            <w:gridSpan w:val="2"/>
          </w:tcPr>
          <w:p>
            <w:pPr>
              <w:jc w:val="right"/>
              <w:ind w:right="500"/>
              <w:spacing w:after="0" w:line="119" w:lineRule="exact"/>
              <w:rPr>
                <w:sz w:val="20"/>
                <w:szCs w:val="20"/>
                <w:color w:val="auto"/>
              </w:rPr>
            </w:pPr>
            <w:r>
              <w:rPr>
                <w:rFonts w:ascii="Arial" w:cs="Arial" w:eastAsia="Arial" w:hAnsi="Arial"/>
                <w:sz w:val="13"/>
                <w:szCs w:val="13"/>
                <w:b w:val="1"/>
                <w:bCs w:val="1"/>
                <w:color w:val="auto"/>
              </w:rPr>
              <w:t>Financial</w:t>
            </w:r>
          </w:p>
        </w:tc>
        <w:tc>
          <w:tcPr>
            <w:tcW w:w="10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080" w:type="dxa"/>
            <w:vAlign w:val="bottom"/>
            <w:tcBorders>
              <w:top w:val="single" w:sz="8" w:color="auto"/>
            </w:tcBorders>
          </w:tcPr>
          <w:p>
            <w:pPr>
              <w:jc w:val="right"/>
              <w:ind w:right="275"/>
              <w:spacing w:after="0" w:line="119" w:lineRule="exact"/>
              <w:rPr>
                <w:sz w:val="20"/>
                <w:szCs w:val="20"/>
                <w:color w:val="auto"/>
              </w:rPr>
            </w:pPr>
            <w:r>
              <w:rPr>
                <w:rFonts w:ascii="Arial" w:cs="Arial" w:eastAsia="Arial" w:hAnsi="Arial"/>
                <w:sz w:val="13"/>
                <w:szCs w:val="13"/>
                <w:b w:val="1"/>
                <w:bCs w:val="1"/>
                <w:color w:val="auto"/>
              </w:rPr>
              <w:t>Collateral</w:t>
            </w: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60" w:type="dxa"/>
            <w:vAlign w:val="bottom"/>
            <w:gridSpan w:val="3"/>
            <w:vMerge w:val="restart"/>
          </w:tcPr>
          <w:p>
            <w:pPr>
              <w:ind w:left="120"/>
              <w:spacing w:after="0"/>
              <w:rPr>
                <w:sz w:val="20"/>
                <w:szCs w:val="20"/>
                <w:color w:val="auto"/>
              </w:rPr>
            </w:pPr>
            <w:r>
              <w:rPr>
                <w:rFonts w:ascii="Arial" w:cs="Arial" w:eastAsia="Arial" w:hAnsi="Arial"/>
                <w:sz w:val="14"/>
                <w:szCs w:val="14"/>
                <w:b w:val="1"/>
                <w:bCs w:val="1"/>
                <w:color w:val="auto"/>
              </w:rPr>
              <w:t>Net amount</w:t>
            </w:r>
          </w:p>
        </w:tc>
        <w:tc>
          <w:tcPr>
            <w:tcW w:w="0" w:type="dxa"/>
            <w:vAlign w:val="bottom"/>
          </w:tcPr>
          <w:p>
            <w:pPr>
              <w:spacing w:after="0"/>
              <w:rPr>
                <w:sz w:val="1"/>
                <w:szCs w:val="1"/>
                <w:color w:val="auto"/>
              </w:rPr>
            </w:pPr>
          </w:p>
        </w:tc>
      </w:tr>
      <w:tr>
        <w:trPr>
          <w:trHeight w:val="171"/>
        </w:trPr>
        <w:tc>
          <w:tcPr>
            <w:tcW w:w="36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0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6"/>
              </w:rPr>
              <w:t>assets (1)</w:t>
            </w:r>
          </w:p>
        </w:tc>
        <w:tc>
          <w:tcPr>
            <w:tcW w:w="160" w:type="dxa"/>
            <w:vAlign w:val="bottom"/>
          </w:tcPr>
          <w:p>
            <w:pPr>
              <w:spacing w:after="0"/>
              <w:rPr>
                <w:sz w:val="14"/>
                <w:szCs w:val="14"/>
                <w:color w:val="auto"/>
              </w:rPr>
            </w:pPr>
          </w:p>
        </w:tc>
        <w:tc>
          <w:tcPr>
            <w:tcW w:w="140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6"/>
              </w:rPr>
              <w:t>instruments (2)</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6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received</w:t>
            </w:r>
          </w:p>
        </w:tc>
        <w:tc>
          <w:tcPr>
            <w:tcW w:w="200" w:type="dxa"/>
            <w:vAlign w:val="bottom"/>
          </w:tcPr>
          <w:p>
            <w:pPr>
              <w:spacing w:after="0"/>
              <w:rPr>
                <w:sz w:val="14"/>
                <w:szCs w:val="14"/>
                <w:color w:val="auto"/>
              </w:rPr>
            </w:pPr>
          </w:p>
        </w:tc>
        <w:tc>
          <w:tcPr>
            <w:tcW w:w="126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64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780" w:type="dxa"/>
            <w:vAlign w:val="bottom"/>
            <w:tcBorders>
              <w:top w:val="single" w:sz="8" w:color="auto"/>
            </w:tcBorders>
            <w:gridSpan w:val="4"/>
          </w:tcPr>
          <w:p>
            <w:pPr>
              <w:jc w:val="center"/>
              <w:ind w:left="799"/>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08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September 30, 2015</w:t>
            </w: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tcPr>
          <w:p>
            <w:pPr>
              <w:spacing w:after="0"/>
              <w:rPr>
                <w:sz w:val="20"/>
                <w:szCs w:val="20"/>
                <w:color w:val="auto"/>
              </w:rPr>
            </w:pPr>
            <w:r>
              <w:rPr>
                <w:rFonts w:ascii="Arial" w:cs="Arial" w:eastAsia="Arial" w:hAnsi="Arial"/>
                <w:sz w:val="18"/>
                <w:szCs w:val="18"/>
                <w:color w:val="auto"/>
              </w:rPr>
              <w:t>Derivative assets</w:t>
            </w:r>
          </w:p>
        </w:tc>
        <w:tc>
          <w:tcPr>
            <w:tcW w:w="152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820.2</w:t>
            </w:r>
          </w:p>
        </w:tc>
        <w:tc>
          <w:tcPr>
            <w:tcW w:w="3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(511.6)</w:t>
            </w:r>
          </w:p>
        </w:tc>
        <w:tc>
          <w:tcPr>
            <w:tcW w:w="380" w:type="dxa"/>
            <w:vAlign w:val="bottom"/>
            <w:gridSpan w:val="2"/>
          </w:tcPr>
          <w:p>
            <w:pPr>
              <w:jc w:val="right"/>
              <w:ind w:right="90"/>
              <w:spacing w:after="0"/>
              <w:rPr>
                <w:sz w:val="20"/>
                <w:szCs w:val="20"/>
                <w:color w:val="auto"/>
              </w:rPr>
            </w:pPr>
            <w:r>
              <w:rPr>
                <w:rFonts w:ascii="Arial" w:cs="Arial" w:eastAsia="Arial" w:hAnsi="Arial"/>
                <w:sz w:val="18"/>
                <w:szCs w:val="18"/>
                <w:b w:val="1"/>
                <w:bCs w:val="1"/>
                <w:color w:val="auto"/>
              </w:rPr>
              <w:t>$</w:t>
            </w:r>
          </w:p>
        </w:tc>
        <w:tc>
          <w:tcPr>
            <w:tcW w:w="13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(292.0)</w:t>
            </w:r>
          </w:p>
        </w:tc>
        <w:tc>
          <w:tcPr>
            <w:tcW w:w="200" w:type="dxa"/>
            <w:vAlign w:val="bottom"/>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16.6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Reverse repurchase agreements</w:t>
            </w: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72.6</w:t>
            </w: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(72.6)</w:t>
            </w:r>
          </w:p>
        </w:tc>
        <w:tc>
          <w:tcPr>
            <w:tcW w:w="200" w:type="dxa"/>
            <w:vAlign w:val="bottom"/>
            <w:shd w:val="clear" w:color="auto" w:fill="CCEEFF"/>
          </w:tcPr>
          <w:p>
            <w:pPr>
              <w:spacing w:after="0"/>
              <w:rPr>
                <w:sz w:val="18"/>
                <w:szCs w:val="18"/>
                <w:color w:val="auto"/>
              </w:rPr>
            </w:pPr>
          </w:p>
        </w:tc>
        <w:tc>
          <w:tcPr>
            <w:tcW w:w="12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0"/>
        </w:trPr>
        <w:tc>
          <w:tcPr>
            <w:tcW w:w="3640" w:type="dxa"/>
            <w:vAlign w:val="bottom"/>
            <w:vMerge w:val="restart"/>
          </w:tcPr>
          <w:p>
            <w:pPr>
              <w:ind w:left="200"/>
              <w:spacing w:after="0"/>
              <w:rPr>
                <w:sz w:val="20"/>
                <w:szCs w:val="20"/>
                <w:color w:val="auto"/>
              </w:rPr>
            </w:pPr>
            <w:r>
              <w:rPr>
                <w:rFonts w:ascii="Arial" w:cs="Arial" w:eastAsia="Arial" w:hAnsi="Arial"/>
                <w:sz w:val="18"/>
                <w:szCs w:val="18"/>
                <w:color w:val="auto"/>
              </w:rPr>
              <w:t>Total</w:t>
            </w:r>
          </w:p>
        </w:tc>
        <w:tc>
          <w:tcPr>
            <w:tcW w:w="1360" w:type="dxa"/>
            <w:vAlign w:val="bottom"/>
            <w:vMerge w:val="restart"/>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640" w:type="dxa"/>
            <w:vAlign w:val="bottom"/>
            <w:vMerge w:val="continue"/>
          </w:tcPr>
          <w:p>
            <w:pPr>
              <w:spacing w:after="0"/>
              <w:rPr>
                <w:sz w:val="21"/>
                <w:szCs w:val="21"/>
                <w:color w:val="auto"/>
              </w:rPr>
            </w:pPr>
          </w:p>
        </w:tc>
        <w:tc>
          <w:tcPr>
            <w:tcW w:w="1360" w:type="dxa"/>
            <w:vAlign w:val="bottom"/>
            <w:vMerge w:val="continue"/>
          </w:tcPr>
          <w:p>
            <w:pPr>
              <w:spacing w:after="0"/>
              <w:rPr>
                <w:sz w:val="21"/>
                <w:szCs w:val="21"/>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892.8</w:t>
            </w:r>
          </w:p>
        </w:tc>
        <w:tc>
          <w:tcPr>
            <w:tcW w:w="3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(511.6)</w:t>
            </w:r>
          </w:p>
        </w:tc>
        <w:tc>
          <w:tcPr>
            <w:tcW w:w="100" w:type="dxa"/>
            <w:vAlign w:val="bottom"/>
            <w:vMerge w:val="continue"/>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3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(364.6)</w:t>
            </w:r>
          </w:p>
        </w:tc>
        <w:tc>
          <w:tcPr>
            <w:tcW w:w="200" w:type="dxa"/>
            <w:vAlign w:val="bottom"/>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16.6</w:t>
            </w:r>
          </w:p>
        </w:tc>
        <w:tc>
          <w:tcPr>
            <w:tcW w:w="20" w:type="dxa"/>
            <w:vAlign w:val="bottom"/>
            <w:vMerge w:val="continue"/>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3640" w:type="dxa"/>
            <w:vAlign w:val="bottom"/>
            <w:tcBorders>
              <w:top w:val="single" w:sz="8" w:color="CCEEFF"/>
            </w:tcBorders>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December 31, 2014</w:t>
            </w:r>
          </w:p>
        </w:tc>
        <w:tc>
          <w:tcPr>
            <w:tcW w:w="136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spacing w:after="0"/>
              <w:rPr>
                <w:sz w:val="14"/>
                <w:szCs w:val="14"/>
                <w:color w:val="auto"/>
              </w:rPr>
            </w:pPr>
          </w:p>
        </w:tc>
        <w:tc>
          <w:tcPr>
            <w:tcW w:w="1200" w:type="dxa"/>
            <w:vAlign w:val="bottom"/>
            <w:tcBorders>
              <w:top w:val="single" w:sz="8" w:color="auto"/>
            </w:tcBorders>
            <w:shd w:val="clear" w:color="auto" w:fill="CCEEFF"/>
          </w:tcPr>
          <w:p>
            <w:pPr>
              <w:spacing w:after="0"/>
              <w:rPr>
                <w:sz w:val="14"/>
                <w:szCs w:val="14"/>
                <w:color w:val="auto"/>
              </w:rPr>
            </w:pPr>
          </w:p>
        </w:tc>
        <w:tc>
          <w:tcPr>
            <w:tcW w:w="3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spacing w:after="0"/>
              <w:rPr>
                <w:sz w:val="14"/>
                <w:szCs w:val="14"/>
                <w:color w:val="auto"/>
              </w:rPr>
            </w:pPr>
          </w:p>
        </w:tc>
        <w:tc>
          <w:tcPr>
            <w:tcW w:w="1220" w:type="dxa"/>
            <w:vAlign w:val="bottom"/>
            <w:tcBorders>
              <w:top w:val="single" w:sz="8" w:color="auto"/>
            </w:tcBorders>
            <w:shd w:val="clear" w:color="auto" w:fill="CCEEFF"/>
          </w:tcPr>
          <w:p>
            <w:pPr>
              <w:spacing w:after="0"/>
              <w:rPr>
                <w:sz w:val="14"/>
                <w:szCs w:val="14"/>
                <w:color w:val="auto"/>
              </w:rPr>
            </w:pPr>
          </w:p>
        </w:tc>
        <w:tc>
          <w:tcPr>
            <w:tcW w:w="18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tcBorders>
            <w:shd w:val="clear" w:color="auto" w:fill="CCEEFF"/>
          </w:tcPr>
          <w:p>
            <w:pPr>
              <w:spacing w:after="0"/>
              <w:rPr>
                <w:sz w:val="14"/>
                <w:szCs w:val="14"/>
                <w:color w:val="auto"/>
              </w:rPr>
            </w:pPr>
          </w:p>
        </w:tc>
        <w:tc>
          <w:tcPr>
            <w:tcW w:w="1080" w:type="dxa"/>
            <w:vAlign w:val="bottom"/>
            <w:tcBorders>
              <w:top w:val="single" w:sz="8" w:color="auto"/>
            </w:tcBorders>
            <w:shd w:val="clear" w:color="auto" w:fill="CCEEFF"/>
          </w:tcPr>
          <w:p>
            <w:pPr>
              <w:spacing w:after="0"/>
              <w:rPr>
                <w:sz w:val="14"/>
                <w:szCs w:val="14"/>
                <w:color w:val="auto"/>
              </w:rPr>
            </w:pPr>
          </w:p>
        </w:tc>
        <w:tc>
          <w:tcPr>
            <w:tcW w:w="28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1160" w:type="dxa"/>
            <w:vAlign w:val="bottom"/>
            <w:tcBorders>
              <w:top w:val="single" w:sz="8" w:color="auto"/>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3640" w:type="dxa"/>
            <w:vAlign w:val="bottom"/>
          </w:tcPr>
          <w:p>
            <w:pPr>
              <w:spacing w:after="0"/>
              <w:rPr>
                <w:sz w:val="20"/>
                <w:szCs w:val="20"/>
                <w:color w:val="auto"/>
              </w:rPr>
            </w:pPr>
            <w:r>
              <w:rPr>
                <w:rFonts w:ascii="Arial" w:cs="Arial" w:eastAsia="Arial" w:hAnsi="Arial"/>
                <w:sz w:val="18"/>
                <w:szCs w:val="18"/>
                <w:color w:val="auto"/>
              </w:rPr>
              <w:t>Derivative assets</w:t>
            </w:r>
          </w:p>
        </w:tc>
        <w:tc>
          <w:tcPr>
            <w:tcW w:w="1520" w:type="dxa"/>
            <w:vAlign w:val="bottom"/>
            <w:gridSpan w:val="2"/>
          </w:tcPr>
          <w:p>
            <w:pPr>
              <w:jc w:val="right"/>
              <w:ind w:right="5"/>
              <w:spacing w:after="0"/>
              <w:rPr>
                <w:sz w:val="20"/>
                <w:szCs w:val="20"/>
                <w:color w:val="auto"/>
              </w:rPr>
            </w:pPr>
            <w:r>
              <w:rPr>
                <w:rFonts w:ascii="Arial" w:cs="Arial" w:eastAsia="Arial" w:hAnsi="Arial"/>
                <w:sz w:val="18"/>
                <w:szCs w:val="18"/>
                <w:color w:val="auto"/>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661.8</w:t>
            </w:r>
          </w:p>
        </w:tc>
        <w:tc>
          <w:tcPr>
            <w:tcW w:w="3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(479.5)</w:t>
            </w:r>
          </w:p>
        </w:tc>
        <w:tc>
          <w:tcPr>
            <w:tcW w:w="38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40"/>
              <w:spacing w:after="0"/>
              <w:rPr>
                <w:sz w:val="20"/>
                <w:szCs w:val="20"/>
                <w:color w:val="auto"/>
              </w:rPr>
            </w:pPr>
            <w:r>
              <w:rPr>
                <w:rFonts w:ascii="Arial" w:cs="Arial" w:eastAsia="Arial" w:hAnsi="Arial"/>
                <w:sz w:val="18"/>
                <w:szCs w:val="18"/>
                <w:color w:val="auto"/>
              </w:rPr>
              <w:t>(169.0)</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13.3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Reverse repurchase agreements</w:t>
            </w: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51.5</w:t>
            </w: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(51.5)</w:t>
            </w:r>
          </w:p>
        </w:tc>
        <w:tc>
          <w:tcPr>
            <w:tcW w:w="200" w:type="dxa"/>
            <w:vAlign w:val="bottom"/>
            <w:shd w:val="clear" w:color="auto" w:fill="CCEEFF"/>
          </w:tcPr>
          <w:p>
            <w:pPr>
              <w:spacing w:after="0"/>
              <w:rPr>
                <w:sz w:val="18"/>
                <w:szCs w:val="18"/>
                <w:color w:val="auto"/>
              </w:rPr>
            </w:pPr>
          </w:p>
        </w:tc>
        <w:tc>
          <w:tcPr>
            <w:tcW w:w="12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3640" w:type="dxa"/>
            <w:vAlign w:val="bottom"/>
          </w:tcPr>
          <w:p>
            <w:pPr>
              <w:ind w:left="200"/>
              <w:spacing w:after="0"/>
              <w:rPr>
                <w:sz w:val="20"/>
                <w:szCs w:val="20"/>
                <w:color w:val="auto"/>
              </w:rPr>
            </w:pPr>
            <w:r>
              <w:rPr>
                <w:rFonts w:ascii="Arial" w:cs="Arial" w:eastAsia="Arial" w:hAnsi="Arial"/>
                <w:sz w:val="18"/>
                <w:szCs w:val="18"/>
                <w:color w:val="auto"/>
              </w:rPr>
              <w:t>Total</w:t>
            </w:r>
          </w:p>
        </w:tc>
        <w:tc>
          <w:tcPr>
            <w:tcW w:w="136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713.3</w:t>
            </w:r>
          </w:p>
        </w:tc>
        <w:tc>
          <w:tcPr>
            <w:tcW w:w="30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(479.5</w:t>
            </w:r>
          </w:p>
        </w:tc>
        <w:tc>
          <w:tcPr>
            <w:tcW w:w="180" w:type="dxa"/>
            <w:vAlign w:val="bottom"/>
          </w:tcPr>
          <w:p>
            <w:pPr>
              <w:jc w:val="right"/>
              <w:ind w:right="40"/>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(220.5</w:t>
            </w:r>
          </w:p>
        </w:tc>
        <w:tc>
          <w:tcPr>
            <w:tcW w:w="280" w:type="dxa"/>
            <w:vAlign w:val="bottom"/>
          </w:tcPr>
          <w:p>
            <w:pPr>
              <w:jc w:val="right"/>
              <w:ind w:right="140"/>
              <w:spacing w:after="0"/>
              <w:rPr>
                <w:sz w:val="20"/>
                <w:szCs w:val="20"/>
                <w:color w:val="auto"/>
              </w:rPr>
            </w:pPr>
            <w:r>
              <w:rPr>
                <w:rFonts w:ascii="Arial" w:cs="Arial" w:eastAsia="Arial" w:hAnsi="Arial"/>
                <w:sz w:val="16"/>
                <w:szCs w:val="16"/>
                <w:color w:val="auto"/>
                <w:w w:val="74"/>
              </w:rPr>
              <w:t>)</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13.3</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40" w:right="20" w:hanging="332"/>
        <w:spacing w:after="0" w:line="286" w:lineRule="auto"/>
        <w:tabs>
          <w:tab w:leader="none" w:pos="347"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gross amount of recognized derivative and reverse repurchase agreement assets are reported with other investments and cash and cash equivalents on the consolidated statements of financial position. The above excludes $1.1 million and $0.0 million of derivative assets as of September 30, 2015 and December 31, 2014, that are not subject to master netting agreements or similar agreements. The gross amounts of derivative and reverse repurchase agreement assets are not netted against offsetting liabilities for presentation on the consolidated statements of financial position.</w:t>
      </w:r>
    </w:p>
    <w:p>
      <w:pPr>
        <w:spacing w:after="0" w:line="1" w:lineRule="exact"/>
        <w:rPr>
          <w:rFonts w:ascii="Arial" w:cs="Arial" w:eastAsia="Arial" w:hAnsi="Arial"/>
          <w:sz w:val="16"/>
          <w:szCs w:val="16"/>
          <w:color w:val="auto"/>
        </w:rPr>
      </w:pPr>
    </w:p>
    <w:p>
      <w:pPr>
        <w:ind w:left="340" w:right="140" w:hanging="332"/>
        <w:spacing w:after="0" w:line="261" w:lineRule="auto"/>
        <w:tabs>
          <w:tab w:leader="none" w:pos="347"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amount of offsetting derivative liabilities that are subject to an enforceable master netting agreement or similar agreement that are not netted against the gross derivative assets for presentation on the consolidated statements of financial position.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Financial liabilities subject to master netting agreements or similar agreements were as follows:</w:t>
      </w: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6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140" w:type="dxa"/>
            <w:vAlign w:val="bottom"/>
            <w:gridSpan w:val="6"/>
          </w:tcPr>
          <w:p>
            <w:pPr>
              <w:jc w:val="center"/>
              <w:ind w:right="440"/>
              <w:spacing w:after="0"/>
              <w:rPr>
                <w:sz w:val="20"/>
                <w:szCs w:val="20"/>
                <w:color w:val="auto"/>
              </w:rPr>
            </w:pPr>
            <w:r>
              <w:rPr>
                <w:rFonts w:ascii="Arial" w:cs="Arial" w:eastAsia="Arial" w:hAnsi="Arial"/>
                <w:sz w:val="14"/>
                <w:szCs w:val="14"/>
                <w:b w:val="1"/>
                <w:bCs w:val="1"/>
                <w:color w:val="auto"/>
                <w:w w:val="89"/>
              </w:rPr>
              <w:t>Gross amounts not offset in the</w:t>
            </w: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26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0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2"/>
              </w:rPr>
              <w:t>Gross amount</w:t>
            </w:r>
          </w:p>
        </w:tc>
        <w:tc>
          <w:tcPr>
            <w:tcW w:w="160" w:type="dxa"/>
            <w:vAlign w:val="bottom"/>
          </w:tcPr>
          <w:p>
            <w:pPr>
              <w:spacing w:after="0"/>
              <w:rPr>
                <w:sz w:val="12"/>
                <w:szCs w:val="12"/>
                <w:color w:val="auto"/>
              </w:rPr>
            </w:pPr>
          </w:p>
        </w:tc>
        <w:tc>
          <w:tcPr>
            <w:tcW w:w="3140" w:type="dxa"/>
            <w:vAlign w:val="bottom"/>
            <w:gridSpan w:val="6"/>
          </w:tcPr>
          <w:p>
            <w:pPr>
              <w:jc w:val="center"/>
              <w:ind w:right="440"/>
              <w:spacing w:after="0" w:line="149" w:lineRule="exact"/>
              <w:rPr>
                <w:sz w:val="20"/>
                <w:szCs w:val="20"/>
                <w:color w:val="auto"/>
              </w:rPr>
            </w:pPr>
            <w:r>
              <w:rPr>
                <w:rFonts w:ascii="Arial" w:cs="Arial" w:eastAsia="Arial" w:hAnsi="Arial"/>
                <w:sz w:val="14"/>
                <w:szCs w:val="14"/>
                <w:b w:val="1"/>
                <w:bCs w:val="1"/>
                <w:color w:val="auto"/>
                <w:w w:val="88"/>
              </w:rPr>
              <w:t>consolidated statements</w:t>
            </w:r>
          </w:p>
        </w:tc>
        <w:tc>
          <w:tcPr>
            <w:tcW w:w="2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26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0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3140" w:type="dxa"/>
            <w:vAlign w:val="bottom"/>
            <w:gridSpan w:val="6"/>
          </w:tcPr>
          <w:p>
            <w:pPr>
              <w:jc w:val="center"/>
              <w:ind w:right="440"/>
              <w:spacing w:after="0"/>
              <w:rPr>
                <w:sz w:val="20"/>
                <w:szCs w:val="20"/>
                <w:color w:val="auto"/>
              </w:rPr>
            </w:pPr>
            <w:r>
              <w:rPr>
                <w:rFonts w:ascii="Arial" w:cs="Arial" w:eastAsia="Arial" w:hAnsi="Arial"/>
                <w:sz w:val="14"/>
                <w:szCs w:val="14"/>
                <w:b w:val="1"/>
                <w:bCs w:val="1"/>
                <w:color w:val="auto"/>
                <w:w w:val="92"/>
              </w:rPr>
              <w:t>of financial position</w:t>
            </w: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26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500" w:type="dxa"/>
            <w:vAlign w:val="bottom"/>
            <w:gridSpan w:val="2"/>
          </w:tcPr>
          <w:p>
            <w:pPr>
              <w:jc w:val="center"/>
              <w:ind w:right="460"/>
              <w:spacing w:after="0" w:line="119" w:lineRule="exact"/>
              <w:rPr>
                <w:sz w:val="20"/>
                <w:szCs w:val="20"/>
                <w:color w:val="auto"/>
              </w:rPr>
            </w:pPr>
            <w:r>
              <w:rPr>
                <w:rFonts w:ascii="Arial" w:cs="Arial" w:eastAsia="Arial" w:hAnsi="Arial"/>
                <w:sz w:val="13"/>
                <w:szCs w:val="13"/>
                <w:b w:val="1"/>
                <w:bCs w:val="1"/>
                <w:color w:val="auto"/>
                <w:w w:val="94"/>
              </w:rPr>
              <w:t>of recognized</w:t>
            </w:r>
          </w:p>
        </w:tc>
        <w:tc>
          <w:tcPr>
            <w:tcW w:w="160" w:type="dxa"/>
            <w:vAlign w:val="bottom"/>
            <w:tcBorders>
              <w:top w:val="single" w:sz="8" w:color="auto"/>
            </w:tcBorders>
          </w:tcPr>
          <w:p>
            <w:pPr>
              <w:spacing w:after="0"/>
              <w:rPr>
                <w:sz w:val="10"/>
                <w:szCs w:val="10"/>
                <w:color w:val="auto"/>
              </w:rPr>
            </w:pPr>
          </w:p>
        </w:tc>
        <w:tc>
          <w:tcPr>
            <w:tcW w:w="1400" w:type="dxa"/>
            <w:vAlign w:val="bottom"/>
            <w:tcBorders>
              <w:top w:val="single" w:sz="8" w:color="auto"/>
            </w:tcBorders>
            <w:gridSpan w:val="2"/>
          </w:tcPr>
          <w:p>
            <w:pPr>
              <w:jc w:val="right"/>
              <w:ind w:right="580"/>
              <w:spacing w:after="0" w:line="119" w:lineRule="exact"/>
              <w:rPr>
                <w:sz w:val="20"/>
                <w:szCs w:val="20"/>
                <w:color w:val="auto"/>
              </w:rPr>
            </w:pPr>
            <w:r>
              <w:rPr>
                <w:rFonts w:ascii="Arial" w:cs="Arial" w:eastAsia="Arial" w:hAnsi="Arial"/>
                <w:sz w:val="13"/>
                <w:szCs w:val="13"/>
                <w:b w:val="1"/>
                <w:bCs w:val="1"/>
                <w:color w:val="auto"/>
              </w:rPr>
              <w:t>Financial</w:t>
            </w:r>
          </w:p>
        </w:tc>
        <w:tc>
          <w:tcPr>
            <w:tcW w:w="10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080" w:type="dxa"/>
            <w:vAlign w:val="bottom"/>
            <w:tcBorders>
              <w:top w:val="single" w:sz="8" w:color="auto"/>
            </w:tcBorders>
          </w:tcPr>
          <w:p>
            <w:pPr>
              <w:jc w:val="right"/>
              <w:ind w:right="280"/>
              <w:spacing w:after="0" w:line="119" w:lineRule="exact"/>
              <w:rPr>
                <w:sz w:val="20"/>
                <w:szCs w:val="20"/>
                <w:color w:val="auto"/>
              </w:rPr>
            </w:pPr>
            <w:r>
              <w:rPr>
                <w:rFonts w:ascii="Arial" w:cs="Arial" w:eastAsia="Arial" w:hAnsi="Arial"/>
                <w:sz w:val="13"/>
                <w:szCs w:val="13"/>
                <w:b w:val="1"/>
                <w:bCs w:val="1"/>
                <w:color w:val="auto"/>
              </w:rPr>
              <w:t>Collateral</w:t>
            </w: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6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Net amount</w:t>
            </w:r>
          </w:p>
        </w:tc>
        <w:tc>
          <w:tcPr>
            <w:tcW w:w="0" w:type="dxa"/>
            <w:vAlign w:val="bottom"/>
          </w:tcPr>
          <w:p>
            <w:pPr>
              <w:spacing w:after="0"/>
              <w:rPr>
                <w:sz w:val="1"/>
                <w:szCs w:val="1"/>
                <w:color w:val="auto"/>
              </w:rPr>
            </w:pPr>
          </w:p>
        </w:tc>
      </w:tr>
      <w:tr>
        <w:trPr>
          <w:trHeight w:val="171"/>
        </w:trPr>
        <w:tc>
          <w:tcPr>
            <w:tcW w:w="326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0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3"/>
              </w:rPr>
              <w:t>liabilities (1)</w:t>
            </w:r>
          </w:p>
        </w:tc>
        <w:tc>
          <w:tcPr>
            <w:tcW w:w="160" w:type="dxa"/>
            <w:vAlign w:val="bottom"/>
          </w:tcPr>
          <w:p>
            <w:pPr>
              <w:spacing w:after="0"/>
              <w:rPr>
                <w:sz w:val="14"/>
                <w:szCs w:val="14"/>
                <w:color w:val="auto"/>
              </w:rPr>
            </w:pPr>
          </w:p>
        </w:tc>
        <w:tc>
          <w:tcPr>
            <w:tcW w:w="140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96"/>
              </w:rPr>
              <w:t>instruments (2)</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60" w:type="dxa"/>
            <w:vAlign w:val="bottom"/>
            <w:gridSpan w:val="2"/>
          </w:tcPr>
          <w:p>
            <w:pPr>
              <w:jc w:val="right"/>
              <w:ind w:right="720"/>
              <w:spacing w:after="0"/>
              <w:rPr>
                <w:sz w:val="20"/>
                <w:szCs w:val="20"/>
                <w:color w:val="auto"/>
              </w:rPr>
            </w:pPr>
            <w:r>
              <w:rPr>
                <w:rFonts w:ascii="Arial" w:cs="Arial" w:eastAsia="Arial" w:hAnsi="Arial"/>
                <w:sz w:val="14"/>
                <w:szCs w:val="14"/>
                <w:b w:val="1"/>
                <w:bCs w:val="1"/>
                <w:color w:val="auto"/>
              </w:rPr>
              <w:t>pledged</w:t>
            </w:r>
          </w:p>
        </w:tc>
        <w:tc>
          <w:tcPr>
            <w:tcW w:w="200" w:type="dxa"/>
            <w:vAlign w:val="bottom"/>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26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780" w:type="dxa"/>
            <w:vAlign w:val="bottom"/>
            <w:tcBorders>
              <w:top w:val="single" w:sz="8" w:color="auto"/>
            </w:tcBorders>
            <w:gridSpan w:val="4"/>
          </w:tcPr>
          <w:p>
            <w:pPr>
              <w:jc w:val="center"/>
              <w:ind w:left="804"/>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08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2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September 30, 2015</w:t>
            </w:r>
          </w:p>
        </w:tc>
        <w:tc>
          <w:tcPr>
            <w:tcW w:w="1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3260" w:type="dxa"/>
            <w:vAlign w:val="bottom"/>
          </w:tcPr>
          <w:p>
            <w:pPr>
              <w:spacing w:after="0"/>
              <w:rPr>
                <w:sz w:val="20"/>
                <w:szCs w:val="20"/>
                <w:color w:val="auto"/>
              </w:rPr>
            </w:pPr>
            <w:r>
              <w:rPr>
                <w:rFonts w:ascii="Arial" w:cs="Arial" w:eastAsia="Arial" w:hAnsi="Arial"/>
                <w:sz w:val="18"/>
                <w:szCs w:val="18"/>
                <w:color w:val="auto"/>
              </w:rPr>
              <w:t>Derivative liabilities</w:t>
            </w:r>
          </w:p>
        </w:tc>
        <w:tc>
          <w:tcPr>
            <w:tcW w:w="19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805.2</w:t>
            </w:r>
          </w:p>
        </w:tc>
        <w:tc>
          <w:tcPr>
            <w:tcW w:w="3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(511.6)</w:t>
            </w:r>
          </w:p>
        </w:tc>
        <w:tc>
          <w:tcPr>
            <w:tcW w:w="3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(164.5)</w:t>
            </w:r>
          </w:p>
        </w:tc>
        <w:tc>
          <w:tcPr>
            <w:tcW w:w="200" w:type="dxa"/>
            <w:vAlign w:val="bottom"/>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129.1</w:t>
            </w: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3260" w:type="dxa"/>
            <w:vAlign w:val="bottom"/>
            <w:tcBorders>
              <w:top w:val="single" w:sz="8" w:color="CCEEFF"/>
            </w:tcBorders>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December 31, 2014</w:t>
            </w:r>
          </w:p>
        </w:tc>
        <w:tc>
          <w:tcPr>
            <w:tcW w:w="174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spacing w:after="0"/>
              <w:rPr>
                <w:sz w:val="14"/>
                <w:szCs w:val="14"/>
                <w:color w:val="auto"/>
              </w:rPr>
            </w:pPr>
          </w:p>
        </w:tc>
        <w:tc>
          <w:tcPr>
            <w:tcW w:w="1200" w:type="dxa"/>
            <w:vAlign w:val="bottom"/>
            <w:tcBorders>
              <w:top w:val="single" w:sz="8" w:color="auto"/>
            </w:tcBorders>
            <w:shd w:val="clear" w:color="auto" w:fill="CCEEFF"/>
          </w:tcPr>
          <w:p>
            <w:pPr>
              <w:spacing w:after="0"/>
              <w:rPr>
                <w:sz w:val="14"/>
                <w:szCs w:val="14"/>
                <w:color w:val="auto"/>
              </w:rPr>
            </w:pPr>
          </w:p>
        </w:tc>
        <w:tc>
          <w:tcPr>
            <w:tcW w:w="3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spacing w:after="0"/>
              <w:rPr>
                <w:sz w:val="14"/>
                <w:szCs w:val="14"/>
                <w:color w:val="auto"/>
              </w:rPr>
            </w:pPr>
          </w:p>
        </w:tc>
        <w:tc>
          <w:tcPr>
            <w:tcW w:w="1220" w:type="dxa"/>
            <w:vAlign w:val="bottom"/>
            <w:tcBorders>
              <w:top w:val="single" w:sz="8" w:color="auto"/>
            </w:tcBorders>
            <w:shd w:val="clear" w:color="auto" w:fill="CCEEFF"/>
          </w:tcPr>
          <w:p>
            <w:pPr>
              <w:spacing w:after="0"/>
              <w:rPr>
                <w:sz w:val="14"/>
                <w:szCs w:val="14"/>
                <w:color w:val="auto"/>
              </w:rPr>
            </w:pPr>
          </w:p>
        </w:tc>
        <w:tc>
          <w:tcPr>
            <w:tcW w:w="18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tcBorders>
            <w:shd w:val="clear" w:color="auto" w:fill="CCEEFF"/>
          </w:tcPr>
          <w:p>
            <w:pPr>
              <w:spacing w:after="0"/>
              <w:rPr>
                <w:sz w:val="14"/>
                <w:szCs w:val="14"/>
                <w:color w:val="auto"/>
              </w:rPr>
            </w:pPr>
          </w:p>
        </w:tc>
        <w:tc>
          <w:tcPr>
            <w:tcW w:w="1080" w:type="dxa"/>
            <w:vAlign w:val="bottom"/>
            <w:tcBorders>
              <w:top w:val="single" w:sz="8" w:color="auto"/>
            </w:tcBorders>
            <w:shd w:val="clear" w:color="auto" w:fill="CCEEFF"/>
          </w:tcPr>
          <w:p>
            <w:pPr>
              <w:spacing w:after="0"/>
              <w:rPr>
                <w:sz w:val="14"/>
                <w:szCs w:val="14"/>
                <w:color w:val="auto"/>
              </w:rPr>
            </w:pPr>
          </w:p>
        </w:tc>
        <w:tc>
          <w:tcPr>
            <w:tcW w:w="28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11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43"/>
        </w:trPr>
        <w:tc>
          <w:tcPr>
            <w:tcW w:w="3260" w:type="dxa"/>
            <w:vAlign w:val="bottom"/>
          </w:tcPr>
          <w:p>
            <w:pPr>
              <w:spacing w:after="0"/>
              <w:rPr>
                <w:sz w:val="20"/>
                <w:szCs w:val="20"/>
                <w:color w:val="auto"/>
              </w:rPr>
            </w:pPr>
            <w:r>
              <w:rPr>
                <w:rFonts w:ascii="Arial" w:cs="Arial" w:eastAsia="Arial" w:hAnsi="Arial"/>
                <w:sz w:val="18"/>
                <w:szCs w:val="18"/>
                <w:color w:val="auto"/>
              </w:rPr>
              <w:t>Derivative liabilities</w:t>
            </w:r>
          </w:p>
        </w:tc>
        <w:tc>
          <w:tcPr>
            <w:tcW w:w="1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786.0</w:t>
            </w:r>
          </w:p>
        </w:tc>
        <w:tc>
          <w:tcPr>
            <w:tcW w:w="3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120"/>
              <w:spacing w:after="0"/>
              <w:rPr>
                <w:sz w:val="20"/>
                <w:szCs w:val="20"/>
                <w:color w:val="auto"/>
              </w:rPr>
            </w:pPr>
            <w:r>
              <w:rPr>
                <w:rFonts w:ascii="Arial" w:cs="Arial" w:eastAsia="Arial" w:hAnsi="Arial"/>
                <w:sz w:val="18"/>
                <w:szCs w:val="18"/>
                <w:color w:val="auto"/>
              </w:rPr>
              <w:t>(479.5)</w:t>
            </w:r>
          </w:p>
        </w:tc>
        <w:tc>
          <w:tcPr>
            <w:tcW w:w="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(220.6)</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85.9</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40" w:right="160" w:hanging="332"/>
        <w:spacing w:after="0" w:line="269" w:lineRule="auto"/>
        <w:tabs>
          <w:tab w:leader="none" w:pos="347"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gross amount of recognized derivative liabilities are reported with other liabilities on the consolidated statements of financial position. The above excludes $458.7 million and $421.3 million of derivative liabilities as of September 30, 2015 and December 31, 2014, respectively, which are primarily embedded derivatives that are not subject to master netting agreements or similar agreements. The gross amounts of derivative liabilities are not netted against offsetting assets for presentation on the consolidated statements of financial position.</w:t>
      </w:r>
    </w:p>
    <w:p>
      <w:pPr>
        <w:spacing w:after="0" w:line="2" w:lineRule="exact"/>
        <w:rPr>
          <w:rFonts w:ascii="Arial" w:cs="Arial" w:eastAsia="Arial" w:hAnsi="Arial"/>
          <w:sz w:val="17"/>
          <w:szCs w:val="17"/>
          <w:color w:val="auto"/>
        </w:rPr>
      </w:pPr>
    </w:p>
    <w:p>
      <w:pPr>
        <w:ind w:left="340" w:right="400" w:hanging="332"/>
        <w:spacing w:after="0" w:line="261" w:lineRule="auto"/>
        <w:tabs>
          <w:tab w:leader="none" w:pos="347"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Represents amount of offsetting derivative assets that are subject to an enforceable master netting agreement or similar agreement that are not netted against the gross derivative liabilities for presentation on the consolidated statements of financial position.</w:t>
      </w:r>
    </w:p>
    <w:p>
      <w:pPr>
        <w:spacing w:after="0" w:line="184" w:lineRule="exact"/>
        <w:rPr>
          <w:sz w:val="20"/>
          <w:szCs w:val="20"/>
          <w:color w:val="auto"/>
        </w:rPr>
      </w:pPr>
    </w:p>
    <w:p>
      <w:pPr>
        <w:jc w:val="center"/>
        <w:ind w:right="160"/>
        <w:spacing w:after="0"/>
        <w:rPr>
          <w:sz w:val="20"/>
          <w:szCs w:val="20"/>
          <w:color w:val="auto"/>
        </w:rPr>
      </w:pPr>
      <w:r>
        <w:rPr>
          <w:rFonts w:ascii="Arial" w:cs="Arial" w:eastAsia="Arial" w:hAnsi="Arial"/>
          <w:sz w:val="18"/>
          <w:szCs w:val="18"/>
          <w:color w:val="auto"/>
        </w:rPr>
        <w:t>The financial instruments that are subject to master netting agreements or similar agreements include right of setoff provisions. Derivative</w:t>
      </w:r>
    </w:p>
    <w:p>
      <w:pPr>
        <w:spacing w:after="0" w:line="23" w:lineRule="exact"/>
        <w:rPr>
          <w:sz w:val="20"/>
          <w:szCs w:val="20"/>
          <w:color w:val="auto"/>
        </w:rPr>
      </w:pPr>
    </w:p>
    <w:p>
      <w:pPr>
        <w:jc w:val="center"/>
        <w:ind w:right="100"/>
        <w:spacing w:after="0"/>
        <w:rPr>
          <w:sz w:val="20"/>
          <w:szCs w:val="20"/>
          <w:color w:val="auto"/>
        </w:rPr>
      </w:pPr>
      <w:r>
        <w:rPr>
          <w:rFonts w:ascii="Arial" w:cs="Arial" w:eastAsia="Arial" w:hAnsi="Arial"/>
          <w:sz w:val="16"/>
          <w:szCs w:val="16"/>
          <w:color w:val="auto"/>
        </w:rPr>
        <w:t>instruments include provisions to setoff positions covered under the agreements with the same counterparties and provisions to setoff positions outside of the</w:t>
      </w:r>
    </w:p>
    <w:p>
      <w:pPr>
        <w:sectPr>
          <w:pgSz w:w="11900" w:h="16865" w:orient="portrait"/>
          <w:cols w:equalWidth="0" w:num="1">
            <w:col w:w="11420"/>
          </w:cols>
          <w:pgMar w:left="240" w:top="382" w:right="239" w:bottom="0" w:gutter="0" w:footer="0" w:header="0"/>
        </w:sectPr>
      </w:pPr>
    </w:p>
    <w:bookmarkStart w:id="21" w:name="page22"/>
    <w:bookmarkEnd w:id="21"/>
    <w:p>
      <w:pPr>
        <w:ind w:right="400"/>
        <w:spacing w:after="0" w:line="308" w:lineRule="auto"/>
        <w:rPr>
          <w:sz w:val="20"/>
          <w:szCs w:val="20"/>
          <w:color w:val="auto"/>
        </w:rPr>
      </w:pPr>
      <w:r>
        <w:rPr>
          <w:rFonts w:ascii="Arial" w:cs="Arial" w:eastAsia="Arial" w:hAnsi="Arial"/>
          <w:sz w:val="17"/>
          <w:szCs w:val="17"/>
          <w:color w:val="auto"/>
        </w:rPr>
        <w:t>agreements with the same counterparties in the event of default by one of the parties. Derivative instruments also include collateral provisions. Collateral received and pledged is generally settled daily with each counterparty. See Note 4, Derivative Financial Instruments, for further details.</w:t>
      </w:r>
    </w:p>
    <w:p>
      <w:pPr>
        <w:spacing w:after="0" w:line="147" w:lineRule="exact"/>
        <w:rPr>
          <w:sz w:val="20"/>
          <w:szCs w:val="20"/>
          <w:color w:val="auto"/>
        </w:rPr>
      </w:pPr>
    </w:p>
    <w:p>
      <w:pPr>
        <w:ind w:right="60" w:firstLine="648"/>
        <w:spacing w:after="0" w:line="291" w:lineRule="auto"/>
        <w:rPr>
          <w:sz w:val="20"/>
          <w:szCs w:val="20"/>
          <w:color w:val="auto"/>
        </w:rPr>
      </w:pPr>
      <w:r>
        <w:rPr>
          <w:rFonts w:ascii="Arial" w:cs="Arial" w:eastAsia="Arial" w:hAnsi="Arial"/>
          <w:sz w:val="16"/>
          <w:szCs w:val="16"/>
          <w:color w:val="auto"/>
        </w:rPr>
        <w:t>Repurchase and reverse repurchase agreements include provisions to setoff other repurchase and reverse repurchase balances with the same counterparty. Repurchase and reverse repurchase agreements also include collateral provisions with the counterparties. For reverse repurchase agreements we require the counterparties to pledge collateral with a value greater than the amount of cash transferred. We have the right but do not sell or repledge collateral received in reverse repurchase agreements. Repurchase agreements are structured as secured borrowings for all counterparties. We pledge fixed maturities available-for-sale, which the counterparties have the right to sell or repledge. Interest incurred on repurchase agreements is reported as part of operating expense on the consolidated statements of operations. Net proceeds related to repurchase agreements are reported as a component of financing activities on the consolidated statements of cash flows. We did not have any outstanding repurchase agreements as of September 30, 2015 and December 31, 2014.</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Derivative Financial Instruments</w:t>
      </w:r>
    </w:p>
    <w:p>
      <w:pPr>
        <w:spacing w:after="0" w:line="229" w:lineRule="exact"/>
        <w:rPr>
          <w:sz w:val="20"/>
          <w:szCs w:val="20"/>
          <w:color w:val="auto"/>
        </w:rPr>
      </w:pPr>
    </w:p>
    <w:p>
      <w:pPr>
        <w:ind w:right="300" w:firstLine="648"/>
        <w:spacing w:after="0" w:line="270" w:lineRule="auto"/>
        <w:rPr>
          <w:sz w:val="20"/>
          <w:szCs w:val="20"/>
          <w:color w:val="auto"/>
        </w:rPr>
      </w:pPr>
      <w:r>
        <w:rPr>
          <w:rFonts w:ascii="Arial" w:cs="Arial" w:eastAsia="Arial" w:hAnsi="Arial"/>
          <w:sz w:val="18"/>
          <w:szCs w:val="18"/>
          <w:color w:val="auto"/>
        </w:rPr>
        <w:t xml:space="preserve">Derivatives are generally used to hedge or reduce exposure to market risks associated with assets held or expected to be </w:t>
      </w:r>
      <w:r>
        <w:rPr>
          <w:rFonts w:ascii="Arial" w:cs="Arial" w:eastAsia="Arial" w:hAnsi="Arial"/>
          <w:sz w:val="17"/>
          <w:szCs w:val="17"/>
          <w:color w:val="auto"/>
        </w:rPr>
        <w:t>purchased or sold and</w:t>
      </w:r>
      <w:r>
        <w:rPr>
          <w:rFonts w:ascii="Arial" w:cs="Arial" w:eastAsia="Arial" w:hAnsi="Arial"/>
          <w:sz w:val="18"/>
          <w:szCs w:val="18"/>
          <w:color w:val="auto"/>
        </w:rPr>
        <w:t xml:space="preserve"> </w:t>
      </w:r>
      <w:r>
        <w:rPr>
          <w:rFonts w:ascii="Arial" w:cs="Arial" w:eastAsia="Arial" w:hAnsi="Arial"/>
          <w:sz w:val="17"/>
          <w:szCs w:val="17"/>
          <w:color w:val="auto"/>
        </w:rPr>
        <w:t>liabilities incurred or expected to be incurred. Derivatives are used to change the characteristics of our asset/liability mix consistent with our risk management activities. Derivatives are also used in asset replication strategies.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Types of Derivative Instruments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Contracts</w:t>
      </w:r>
    </w:p>
    <w:p>
      <w:pPr>
        <w:spacing w:after="0" w:line="225" w:lineRule="exact"/>
        <w:rPr>
          <w:sz w:val="20"/>
          <w:szCs w:val="20"/>
          <w:color w:val="auto"/>
        </w:rPr>
      </w:pPr>
    </w:p>
    <w:p>
      <w:pPr>
        <w:jc w:val="both"/>
        <w:ind w:right="100" w:firstLine="648"/>
        <w:spacing w:after="0" w:line="259" w:lineRule="auto"/>
        <w:rPr>
          <w:sz w:val="20"/>
          <w:szCs w:val="20"/>
          <w:color w:val="auto"/>
        </w:rPr>
      </w:pPr>
      <w:r>
        <w:rPr>
          <w:rFonts w:ascii="Arial" w:cs="Arial" w:eastAsia="Arial" w:hAnsi="Arial"/>
          <w:sz w:val="18"/>
          <w:szCs w:val="18"/>
          <w:color w:val="auto"/>
        </w:rPr>
        <w:t>Interest rate risk is the risk we will incur economic losses due to adverse changes in interest rates. Sources of interest rate risk include the difference between the maturity and interest rate changes of assets with the liabilities they support, timing differences between the pricing of liabilities and the purchase or procurement of assets and changing cash flow profiles from original projections due to prepayment options embedded within asset and liability contracts. We use various derivatives to manage our exposure to fluctuations in interest rates.</w:t>
      </w:r>
    </w:p>
    <w:p>
      <w:pPr>
        <w:spacing w:after="0" w:line="187" w:lineRule="exact"/>
        <w:rPr>
          <w:sz w:val="20"/>
          <w:szCs w:val="20"/>
          <w:color w:val="auto"/>
        </w:rPr>
      </w:pPr>
    </w:p>
    <w:p>
      <w:pPr>
        <w:ind w:right="560" w:firstLine="648"/>
        <w:spacing w:after="0" w:line="264" w:lineRule="auto"/>
        <w:rPr>
          <w:sz w:val="20"/>
          <w:szCs w:val="20"/>
          <w:color w:val="auto"/>
        </w:rPr>
      </w:pPr>
      <w:r>
        <w:rPr>
          <w:rFonts w:ascii="Arial" w:cs="Arial" w:eastAsia="Arial" w:hAnsi="Arial"/>
          <w:sz w:val="18"/>
          <w:szCs w:val="18"/>
          <w:color w:val="auto"/>
        </w:rPr>
        <w:t>Interest rate swaps are contracts in which we agree with other parties to exchange, at specified intervals, the difference between fixed rate and floating rate interest amounts based upon designated market rates or rate indices and an agreed upon notional principal amount. Generally, no cash is exchanged at the outset of the contract and no principal payments are made by</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any party. Cash is paid or received based on the terms of the swap. We use interest rate swaps primarily to more closely match the interest rate characteristics of assets and liabilities and to mitigate the risks arising from timing mismatches between assets and liabilities (including duration mismatches). We also use interest rate swaps to hedge against changes in the value of assets we anticipate acquiring and other anticipated transactions and commitments. Interest rate swaps are used to hedge against changes in the value of the guaranteed minimum withdrawal benefit (“GMWB”) liability. The GMWB rider on our variable annuity products provides for guaranteed minimum withdrawal benefits regardless of the actual performance of various equity and/or fixed income funds available with the product.</w:t>
      </w:r>
    </w:p>
    <w:p>
      <w:pPr>
        <w:spacing w:after="0" w:line="19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Interest rate options, including interest rate caps and interest rate floors, which can be combined to form interest rate collars, are contracts that entitle the purchaser to pay or receive the amounts, if any, by which a specified market rate exceeds a cap strike interest rate, or falls below a floor strike interest rate, respectively, at specified dates. We use interest rate collars to manage interest rate risk related to guaranteed minimum interest rate liabilities in our individual annuities contracts and lapse risk associated with higher interest rates.</w:t>
      </w:r>
    </w:p>
    <w:p>
      <w:pPr>
        <w:spacing w:after="0" w:line="187" w:lineRule="exact"/>
        <w:rPr>
          <w:sz w:val="20"/>
          <w:szCs w:val="20"/>
          <w:color w:val="auto"/>
        </w:rPr>
      </w:pPr>
    </w:p>
    <w:p>
      <w:pPr>
        <w:ind w:firstLine="648"/>
        <w:spacing w:after="0" w:line="312" w:lineRule="auto"/>
        <w:rPr>
          <w:sz w:val="20"/>
          <w:szCs w:val="20"/>
          <w:color w:val="auto"/>
        </w:rPr>
      </w:pPr>
      <w:r>
        <w:rPr>
          <w:rFonts w:ascii="Arial" w:cs="Arial" w:eastAsia="Arial" w:hAnsi="Arial"/>
          <w:sz w:val="16"/>
          <w:szCs w:val="16"/>
          <w:color w:val="auto"/>
        </w:rPr>
        <w:t>A swaption is an option to enter into an interest rate swap at a future date. We purchase swaptions to offset or modify existing exposures. Swaptions provide us the benefit of the agreed-upon strike rate if the market rates for liabilities are higher, with the flexibility to enter into the current market rate swap if the market rates for liabilities are lower. Swaptions not only hedge against the downside risk, but also allow us to take advantage of any upside benefits.</w:t>
      </w:r>
    </w:p>
    <w:p>
      <w:pPr>
        <w:spacing w:after="0" w:line="147"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In exchange-traded futures transactions, we agree to purchase or sell a specified number of contracts, the values of which are determined by the values of designated classes of securities, and to post variation margin on a daily basis in an amount equal to the difference in the daily market values of those contracts. We enter into exchange-traded futures with regulated futures commissions merchants who are members of a trading exchange. We have used exchange-traded futures to reduce market risks from changes in interest rates and to alter mismatches between the assets in a portfolio and the liabilities supported by those assets.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Exchange Contracts</w:t>
      </w:r>
    </w:p>
    <w:p>
      <w:pPr>
        <w:spacing w:after="0" w:line="225"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Foreign currency risk is the risk we will incur economic losses due to adverse fluctuations in foreign currency exchange rates. This risk arises from foreign currency-denominated funding agreements we issue, foreign currency-denominated fixed maturities we invest in and the financial results of our international operations, including acquisition and divestiture activity. We use various derivatives to manage our exposure to fluctuations in foreign currency exchange rates.</w:t>
      </w:r>
    </w:p>
    <w:p>
      <w:pPr>
        <w:spacing w:after="0" w:line="187" w:lineRule="exact"/>
        <w:rPr>
          <w:sz w:val="20"/>
          <w:szCs w:val="20"/>
          <w:color w:val="auto"/>
        </w:rPr>
      </w:pPr>
    </w:p>
    <w:p>
      <w:pPr>
        <w:ind w:right="200" w:firstLine="648"/>
        <w:spacing w:after="0" w:line="273" w:lineRule="auto"/>
        <w:rPr>
          <w:sz w:val="20"/>
          <w:szCs w:val="20"/>
          <w:color w:val="auto"/>
        </w:rPr>
      </w:pPr>
      <w:r>
        <w:rPr>
          <w:rFonts w:ascii="Arial" w:cs="Arial" w:eastAsia="Arial" w:hAnsi="Arial"/>
          <w:sz w:val="17"/>
          <w:szCs w:val="17"/>
          <w:color w:val="auto"/>
        </w:rPr>
        <w:t>Currency swaps are contracts in which we agree with other parties to exchange, at specified intervals, a series of principal and interest payments in one currency for that of another currency. Generally, the principal amount of each currency is exchanged at the beginning and termination of the currency swap by each party. The interest payments are primarily fixed-to-fixed rate; however, they may also be fixed-to-floating rate or floating-to-fixed rate. These transactions are entered into pursuant to master agreements that provide for a single net payment to be made by one counterparty for payments made in the same currency at each due date. We use currency swaps to reduce market risks from changes in currency exchange rates with respect to investments or liabilities denominated in foreign currencies that we either hold or intend to acquire or sell.</w:t>
      </w:r>
    </w:p>
    <w:p>
      <w:pPr>
        <w:sectPr>
          <w:pgSz w:w="11900" w:h="16838" w:orient="portrait"/>
          <w:cols w:equalWidth="0" w:num="1">
            <w:col w:w="11420"/>
          </w:cols>
          <w:pgMar w:left="240" w:top="125" w:right="239" w:bottom="0" w:gutter="0" w:footer="0" w:header="0"/>
        </w:sectPr>
      </w:pPr>
    </w:p>
    <w:bookmarkStart w:id="22" w:name="page23"/>
    <w:bookmarkEnd w:id="22"/>
    <w:p>
      <w:pPr>
        <w:ind w:firstLine="648"/>
        <w:spacing w:after="0" w:line="297" w:lineRule="auto"/>
        <w:rPr>
          <w:sz w:val="20"/>
          <w:szCs w:val="20"/>
          <w:color w:val="auto"/>
        </w:rPr>
      </w:pPr>
      <w:r>
        <w:rPr>
          <w:rFonts w:ascii="Arial" w:cs="Arial" w:eastAsia="Arial" w:hAnsi="Arial"/>
          <w:sz w:val="16"/>
          <w:szCs w:val="16"/>
          <w:color w:val="auto"/>
        </w:rPr>
        <w:t>Currency forwards are contracts in which we agree with other parties to deliver or receive a specified amount of an identified currency at a specified future date. Typically, the price is agreed upon at the time of the contract and payment for such a contract is made at the specified future date. We use currency forwards to reduce market risks from changes in currency exchange rates with respect to investments or liabilities denominated in foreign currencies that we either hold or intend to acquire or sell and to hedge the currency risk associated with a business combination. We used currency forwards during 2015 to hedge certain net investments in foreign operations. Currency forwards were not used for hedging any net investments in foreign operations during 2014.</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Contracts</w:t>
      </w:r>
    </w:p>
    <w:p>
      <w:pPr>
        <w:spacing w:after="0" w:line="225" w:lineRule="exact"/>
        <w:rPr>
          <w:sz w:val="20"/>
          <w:szCs w:val="20"/>
          <w:color w:val="auto"/>
        </w:rPr>
      </w:pPr>
    </w:p>
    <w:p>
      <w:pPr>
        <w:ind w:right="120" w:firstLine="648"/>
        <w:spacing w:after="0" w:line="264" w:lineRule="auto"/>
        <w:rPr>
          <w:sz w:val="20"/>
          <w:szCs w:val="20"/>
          <w:color w:val="auto"/>
        </w:rPr>
      </w:pPr>
      <w:r>
        <w:rPr>
          <w:rFonts w:ascii="Arial" w:cs="Arial" w:eastAsia="Arial" w:hAnsi="Arial"/>
          <w:sz w:val="18"/>
          <w:szCs w:val="18"/>
          <w:color w:val="auto"/>
        </w:rPr>
        <w:t>Equity risk is the risk that we will incur economic losses due to adverse fluctuations in common stock. We use various derivatives to manage our exposure to equity risk, which arises from products in which the interest we credit is tied to an external equity index as well as products subject to minimum contractual guarantees.</w:t>
      </w:r>
    </w:p>
    <w:p>
      <w:pPr>
        <w:spacing w:after="0" w:line="181"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We purchase equity call spreads to hedge the equity participation rates promised to contractholders in conjunction with our fixed deferred annuity and universal life products that credit interest based on changes in an external equity index. We use</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40"/>
        <w:spacing w:after="0" w:line="342" w:lineRule="auto"/>
        <w:rPr>
          <w:sz w:val="20"/>
          <w:szCs w:val="20"/>
          <w:color w:val="auto"/>
        </w:rPr>
      </w:pPr>
      <w:r>
        <w:rPr>
          <w:rFonts w:ascii="Arial" w:cs="Arial" w:eastAsia="Arial" w:hAnsi="Arial"/>
          <w:sz w:val="16"/>
          <w:szCs w:val="16"/>
          <w:color w:val="auto"/>
        </w:rPr>
        <w:t>exchange-traded futures and equity put options to hedge against changes in the value of the GMWB liability related to the GMWB rider on our variable annuity product, as previously explained. The premium associated with certain options is paid quarterly over the life of the option contract.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Contracts</w:t>
      </w:r>
    </w:p>
    <w:p>
      <w:pPr>
        <w:spacing w:after="0" w:line="225" w:lineRule="exact"/>
        <w:rPr>
          <w:sz w:val="20"/>
          <w:szCs w:val="20"/>
          <w:color w:val="auto"/>
        </w:rPr>
      </w:pPr>
    </w:p>
    <w:p>
      <w:pPr>
        <w:ind w:right="100" w:firstLine="648"/>
        <w:spacing w:after="0" w:line="290" w:lineRule="auto"/>
        <w:rPr>
          <w:sz w:val="20"/>
          <w:szCs w:val="20"/>
          <w:color w:val="auto"/>
        </w:rPr>
      </w:pPr>
      <w:r>
        <w:rPr>
          <w:rFonts w:ascii="Arial" w:cs="Arial" w:eastAsia="Arial" w:hAnsi="Arial"/>
          <w:sz w:val="16"/>
          <w:szCs w:val="16"/>
          <w:color w:val="auto"/>
        </w:rPr>
        <w:t>Credit risk relates to the uncertainty associated with the continued ability of a given obligor to make timely payments of principal and interest. We use credit default swaps to enhance the return on our investment portfolio by providing comparable exposure to fixed income securities that might not be available in the primary market. They are also used to hedge credit exposures in our investment portfolio. Credit derivatives are used to sell or buy credit protection on an identified name or names on an unfunded or synthetic basis in return for receiving or paying a quarterly premium. The premium generally corresponds to a referenced name’s credit spread at the time the agreement is executed. In cases where we sell protection, we also buy a quality cash bond to match against the credit default swap, thereby entering into a synthetic transaction replicating a cash security. When selling protection, if there is an event of default by the referenced name, as defined by the agreement, we are obligated to pay the counterparty the referenced amount of the contract and receive in return the referenced security in a principal amount equal to the notional value of the credit default swap.</w:t>
      </w:r>
    </w:p>
    <w:p>
      <w:pPr>
        <w:spacing w:after="0" w:line="166"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Total return swaps are contracts in which we agree with other parties to exchange, at specified intervals, an amount determined by the difference between the previous price and the current price of a reference asset based upon an agreed upon notional principal amount plus an additional amount determined by the financing spread. We currently use futures traded on an exchange (“exchange-traded”) and total return swaps referencing equity indices to hedge our portfolio from potential credit losses related to systemic events.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Contracts</w:t>
      </w:r>
    </w:p>
    <w:p>
      <w:pPr>
        <w:spacing w:after="0" w:line="225"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b w:val="1"/>
          <w:bCs w:val="1"/>
          <w:i w:val="1"/>
          <w:iCs w:val="1"/>
          <w:color w:val="auto"/>
        </w:rPr>
        <w:t xml:space="preserve">Embedded Derivatives. </w:t>
      </w:r>
      <w:r>
        <w:rPr>
          <w:rFonts w:ascii="Arial" w:cs="Arial" w:eastAsia="Arial" w:hAnsi="Arial"/>
          <w:sz w:val="18"/>
          <w:szCs w:val="18"/>
          <w:color w:val="auto"/>
        </w:rPr>
        <w:t>We purchase or issue certain financial instruments or products that contain a derivative instrument that is embedded in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financial instrument or product. When it is determined that the embedded derivative possesses economic characteristics that are not clearly or closely related to the economic characteristics of the host contract and a separate instrument with the same terms would qualify as a derivative instrument, the embedded derivative is bifurcated from the host instrument for measurement purposes. The embedded derivative, which is reported with the host instrument in the consolidated statements of financial position, is carried at fair value.</w:t>
      </w:r>
    </w:p>
    <w:p>
      <w:pPr>
        <w:spacing w:after="0" w:line="188"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We have investment-type insurance contracts in which the return is tied to a leveraged inflation index. We economically hedge the risk associated with these investment-type insurance contracts.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 xml:space="preserve">We offer group annuity contracts that have guaranteed separate accounts as an investment option. We also offer </w:t>
      </w:r>
      <w:r>
        <w:rPr>
          <w:rFonts w:ascii="Arial" w:cs="Arial" w:eastAsia="Arial" w:hAnsi="Arial"/>
          <w:sz w:val="15"/>
          <w:szCs w:val="15"/>
          <w:color w:val="auto"/>
        </w:rPr>
        <w:t>funds with embedded fixed-rate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guarantees as investment options in our defined contribution plans in Hong Kong.</w:t>
      </w:r>
    </w:p>
    <w:p>
      <w:pPr>
        <w:spacing w:after="0" w:line="211" w:lineRule="exact"/>
        <w:rPr>
          <w:sz w:val="20"/>
          <w:szCs w:val="20"/>
          <w:color w:val="auto"/>
        </w:rPr>
      </w:pPr>
    </w:p>
    <w:p>
      <w:pPr>
        <w:ind w:right="360" w:firstLine="648"/>
        <w:spacing w:after="0" w:line="264" w:lineRule="auto"/>
        <w:rPr>
          <w:sz w:val="20"/>
          <w:szCs w:val="20"/>
          <w:color w:val="auto"/>
        </w:rPr>
      </w:pPr>
      <w:r>
        <w:rPr>
          <w:rFonts w:ascii="Arial" w:cs="Arial" w:eastAsia="Arial" w:hAnsi="Arial"/>
          <w:sz w:val="18"/>
          <w:szCs w:val="18"/>
          <w:color w:val="auto"/>
        </w:rPr>
        <w:t>We have structured investment relationships with trusts we have determined to be VIEs, which are consolidated in our financial statements. The notes issued by these trusts include obligations to deliver an underlying security to residual interest holders and the obligations contain an embedded derivative of the forecasted transaction to deliver the underlying security.</w:t>
      </w:r>
    </w:p>
    <w:p>
      <w:pPr>
        <w:spacing w:after="0" w:line="181" w:lineRule="exact"/>
        <w:rPr>
          <w:sz w:val="20"/>
          <w:szCs w:val="20"/>
          <w:color w:val="auto"/>
        </w:rPr>
      </w:pPr>
    </w:p>
    <w:p>
      <w:pPr>
        <w:ind w:right="160" w:firstLine="648"/>
        <w:spacing w:after="0" w:line="279" w:lineRule="auto"/>
        <w:rPr>
          <w:sz w:val="20"/>
          <w:szCs w:val="20"/>
          <w:color w:val="auto"/>
        </w:rPr>
      </w:pPr>
      <w:r>
        <w:rPr>
          <w:rFonts w:ascii="Arial" w:cs="Arial" w:eastAsia="Arial" w:hAnsi="Arial"/>
          <w:sz w:val="17"/>
          <w:szCs w:val="17"/>
          <w:color w:val="auto"/>
        </w:rPr>
        <w:t>We have fixed deferred annuities and universal life contracts that credit interest based on changes in an external equity index. We also have certain variable annuity products with a GMWB rider, which allows the customer to make withdrawals of a specified annual amount, either for a fixed number of years or for the lifetime of the customer, even if the account value is fully exhausted. Declines in the equity markets may increase our exposure to benefits under contracts with the GMWB. We economically hedge the exposure in these contracts, as previously explained.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Exposure</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Our risk of loss is typically limited to the fair value of our derivative instruments and not to the notional or contractual amounts of these derivatives. We are also exposed to credit losses in the event of nonperformance of the counterparties. Our current credit exposure is limited to the value of derivatives that have become favorable to us. This credit risk is minimized by purchasing such agreements from financial institutions with high credit ratings and by establishing and monitoring exposure limits. We also utilize various credit enhancements, including collateral and credit triggers to reduce the credit exposure to our derivative instruments.</w:t>
      </w:r>
    </w:p>
    <w:p>
      <w:pPr>
        <w:sectPr>
          <w:pgSz w:w="11900" w:h="16838" w:orient="portrait"/>
          <w:cols w:equalWidth="0" w:num="1">
            <w:col w:w="11380"/>
          </w:cols>
          <w:pgMar w:left="240" w:top="125" w:right="279" w:bottom="0" w:gutter="0" w:footer="0" w:header="0"/>
        </w:sectPr>
      </w:pP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31</w:t>
      </w:r>
    </w:p>
    <w:p>
      <w:pPr>
        <w:sectPr>
          <w:pgSz w:w="11900" w:h="16838" w:orient="portrait"/>
          <w:cols w:equalWidth="0" w:num="1">
            <w:col w:w="11380"/>
          </w:cols>
          <w:pgMar w:left="240" w:top="125" w:right="279" w:bottom="0" w:gutter="0" w:footer="0" w:header="0"/>
          <w:type w:val="continuous"/>
        </w:sectPr>
      </w:pPr>
    </w:p>
    <w:bookmarkStart w:id="23" w:name="page24"/>
    <w:bookmarkEnd w:id="23"/>
    <w:p>
      <w:pPr>
        <w:spacing w:after="0"/>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20" w:firstLine="648"/>
        <w:spacing w:after="0" w:line="280" w:lineRule="auto"/>
        <w:rPr>
          <w:sz w:val="20"/>
          <w:szCs w:val="20"/>
          <w:color w:val="auto"/>
        </w:rPr>
      </w:pPr>
      <w:r>
        <w:rPr>
          <w:rFonts w:ascii="Arial" w:cs="Arial" w:eastAsia="Arial" w:hAnsi="Arial"/>
          <w:sz w:val="17"/>
          <w:szCs w:val="17"/>
          <w:color w:val="auto"/>
        </w:rPr>
        <w:t xml:space="preserve">Derivatives may be exchange-traded or they may be privately negotiated contracts, which are usually referred to as over-the-counter (“OTC”) derivatives. Certain of our OTC derivatives are cleared and settled through central clearing counterparties (“OTC cleared”), while others are bilateral contracts between two counterparties (“bilateral OTC”). </w:t>
      </w:r>
      <w:r>
        <w:rPr>
          <w:rFonts w:ascii="Arial" w:cs="Arial" w:eastAsia="Arial" w:hAnsi="Arial"/>
          <w:sz w:val="16"/>
          <w:szCs w:val="16"/>
          <w:color w:val="auto"/>
        </w:rPr>
        <w:t>Our derivative transactions are generally documented under International Swaps and Derivatives</w:t>
      </w:r>
      <w:r>
        <w:rPr>
          <w:rFonts w:ascii="Arial" w:cs="Arial" w:eastAsia="Arial" w:hAnsi="Arial"/>
          <w:sz w:val="17"/>
          <w:szCs w:val="17"/>
          <w:color w:val="auto"/>
        </w:rPr>
        <w:t xml:space="preserve"> </w:t>
      </w:r>
      <w:r>
        <w:rPr>
          <w:rFonts w:ascii="Arial" w:cs="Arial" w:eastAsia="Arial" w:hAnsi="Arial"/>
          <w:sz w:val="16"/>
          <w:szCs w:val="16"/>
          <w:color w:val="auto"/>
        </w:rPr>
        <w:t>Association, Inc. (“ISDA”) Master Agreements. Management believes that such agreements provide for legally enforceable set-off and close-out netting of exposures to specific counterparties. Under such agreements, in connection with an early termination of a transaction, we are permitted to set off our receivable from a counterparty against our payables to the same counterparty arising out of all included transactions. For reporting purposes, we do not offset fair value amounts recognized for the right to reclaim cash collateral or the obligation to return cash collateral against fair value amounts recognized for derivative instruments executed with the same counterparties under master netting agreements.</w:t>
      </w:r>
    </w:p>
    <w:p>
      <w:pPr>
        <w:spacing w:after="0" w:line="174"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We posted $249.0 million and $271.6 million in cash and securities under collateral arrangements as of September 30, 2015 and December 31, 2014, respectively, to satisfy collateral requirements associated with our derivative credit support agreements and FCM agreements. These amounts include initial margin requirements.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Certain of our derivative instruments contain provisions that require us to maintain an investment grade rating from each of the major credit rating</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agencies on our debt. If the ratings on our debt were to fall below investment grade, it would be in violation of these provisions and the counterparties to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derivative instruments could request immediate payment or demand immediate and ongoing full overnight collateralization on derivative instruments in net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liability positions. The aggregate fair value, inclusive of accrued interest, of all derivative instruments with credit-risk-related contingent features that were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 liability position without regard to netting under derivative credit support annex agreements as of September 30, 2015 and December 31, 2014, was $585.8</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million and $656.2 million, respectively. Cleared derivatives have contingent features that require us to post excess margin as required by the FCM. The terms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surrounding excess margin vary by FCM agreement. With respect to derivatives containing collateral triggers, we posted collateral and initial margin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$249.0 million and $271.6 million as of September 30, 2015 and December 31, 2014, respectively, in the normal course of business, which reflects netting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under derivative agreements. If the credit-risk-related contingent features underlying these agreements were triggered on September 30, 2015, we would be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required to post an additional $90.4 million of collateral to our counterparties.</w:t>
      </w:r>
    </w:p>
    <w:p>
      <w:pPr>
        <w:spacing w:after="0" w:line="211"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As of September 30, 2015 and December 31, 2014, we had received $273.9 million and $148.3 million, respectively, of cash collateral associated with our derivative credit support annex agreements and FCM agreements, for which we recorded a corresponding liability reflecting our obligation to return the collateral.</w:t>
      </w:r>
    </w:p>
    <w:p>
      <w:pPr>
        <w:spacing w:after="0" w:line="181"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Notional amounts are used to express the extent of our involvement in derivative transactions and represent a standard measurement of the volume of our derivative activity. Notional amounts represent those amounts used to calculate contractual flows to be exchanged and are not paid or received, except for contracts such as currency swaps. Credit exposure represents the gross amount owed to us under derivative contracts as of the valuation date. The notional amounts and credit exposure of our derivative financial instruments by type were as follows: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60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2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4"/>
              </w:rPr>
              <w:t>September 30, 2015</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40" w:type="dxa"/>
            <w:vAlign w:val="bottom"/>
            <w:gridSpan w:val="2"/>
          </w:tcPr>
          <w:p>
            <w:pPr>
              <w:ind w:left="60"/>
              <w:spacing w:after="0"/>
              <w:rPr>
                <w:sz w:val="20"/>
                <w:szCs w:val="20"/>
                <w:color w:val="auto"/>
              </w:rPr>
            </w:pPr>
            <w:r>
              <w:rPr>
                <w:rFonts w:ascii="Arial" w:cs="Arial" w:eastAsia="Arial" w:hAnsi="Arial"/>
                <w:sz w:val="14"/>
                <w:szCs w:val="14"/>
                <w:b w:val="1"/>
                <w:bCs w:val="1"/>
                <w:color w:val="auto"/>
              </w:rPr>
              <w:t>December 31, 2014</w:t>
            </w:r>
          </w:p>
        </w:tc>
      </w:tr>
      <w:tr>
        <w:trPr>
          <w:trHeight w:val="142"/>
        </w:trPr>
        <w:tc>
          <w:tcPr>
            <w:tcW w:w="560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3340" w:type="dxa"/>
            <w:vAlign w:val="bottom"/>
            <w:tcBorders>
              <w:top w:val="single" w:sz="8" w:color="auto"/>
            </w:tcBorders>
            <w:gridSpan w:val="5"/>
          </w:tcPr>
          <w:p>
            <w:pPr>
              <w:jc w:val="right"/>
              <w:ind w:right="1291"/>
              <w:spacing w:after="0" w:line="142" w:lineRule="exact"/>
              <w:rPr>
                <w:sz w:val="20"/>
                <w:szCs w:val="20"/>
                <w:color w:val="auto"/>
              </w:rPr>
            </w:pPr>
            <w:r>
              <w:rPr>
                <w:rFonts w:ascii="Arial" w:cs="Arial" w:eastAsia="Arial" w:hAnsi="Arial"/>
                <w:sz w:val="14"/>
                <w:szCs w:val="14"/>
                <w:b w:val="1"/>
                <w:bCs w:val="1"/>
                <w:color w:val="auto"/>
              </w:rPr>
              <w:t>(in millions)</w:t>
            </w:r>
          </w:p>
        </w:tc>
        <w:tc>
          <w:tcPr>
            <w:tcW w:w="100" w:type="dxa"/>
            <w:vAlign w:val="bottom"/>
          </w:tcPr>
          <w:p>
            <w:pPr>
              <w:spacing w:after="0"/>
              <w:rPr>
                <w:sz w:val="12"/>
                <w:szCs w:val="12"/>
                <w:color w:val="auto"/>
              </w:rPr>
            </w:pP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Notional amounts of derivative instruments</w:t>
            </w:r>
          </w:p>
        </w:tc>
        <w:tc>
          <w:tcPr>
            <w:tcW w:w="2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600" w:type="dxa"/>
            <w:vAlign w:val="bottom"/>
          </w:tcPr>
          <w:p>
            <w:pPr>
              <w:spacing w:after="0"/>
              <w:rPr>
                <w:sz w:val="20"/>
                <w:szCs w:val="20"/>
                <w:color w:val="auto"/>
              </w:rPr>
            </w:pPr>
            <w:r>
              <w:rPr>
                <w:rFonts w:ascii="Arial" w:cs="Arial" w:eastAsia="Arial" w:hAnsi="Arial"/>
                <w:sz w:val="18"/>
                <w:szCs w:val="18"/>
                <w:b w:val="1"/>
                <w:bCs w:val="1"/>
                <w:i w:val="1"/>
                <w:iCs w:val="1"/>
                <w:color w:val="auto"/>
              </w:rPr>
              <w:t>Interest rate contracts:</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rate swaps</w:t>
            </w:r>
          </w:p>
        </w:tc>
        <w:tc>
          <w:tcPr>
            <w:tcW w:w="23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21,931.0</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19,182.6</w:t>
            </w:r>
          </w:p>
        </w:tc>
      </w:tr>
      <w:tr>
        <w:trPr>
          <w:trHeight w:val="216"/>
        </w:trPr>
        <w:tc>
          <w:tcPr>
            <w:tcW w:w="5600" w:type="dxa"/>
            <w:vAlign w:val="bottom"/>
          </w:tcPr>
          <w:p>
            <w:pPr>
              <w:ind w:left="200"/>
              <w:spacing w:after="0"/>
              <w:rPr>
                <w:sz w:val="20"/>
                <w:szCs w:val="20"/>
                <w:color w:val="auto"/>
              </w:rPr>
            </w:pPr>
            <w:r>
              <w:rPr>
                <w:rFonts w:ascii="Arial" w:cs="Arial" w:eastAsia="Arial" w:hAnsi="Arial"/>
                <w:sz w:val="18"/>
                <w:szCs w:val="18"/>
                <w:color w:val="auto"/>
              </w:rPr>
              <w:t>Interest rate options</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4,900.0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4,900.0</w:t>
            </w:r>
          </w:p>
        </w:tc>
      </w:tr>
      <w:tr>
        <w:trPr>
          <w:trHeight w:val="216"/>
        </w:trPr>
        <w:tc>
          <w:tcPr>
            <w:tcW w:w="5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Swaptions</w:t>
            </w:r>
          </w:p>
        </w:tc>
        <w:tc>
          <w:tcPr>
            <w:tcW w:w="2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159.0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260.0</w:t>
            </w:r>
          </w:p>
        </w:tc>
      </w:tr>
      <w:tr>
        <w:trPr>
          <w:trHeight w:val="216"/>
        </w:trPr>
        <w:tc>
          <w:tcPr>
            <w:tcW w:w="5600" w:type="dxa"/>
            <w:vAlign w:val="bottom"/>
          </w:tcPr>
          <w:p>
            <w:pPr>
              <w:ind w:left="200"/>
              <w:spacing w:after="0"/>
              <w:rPr>
                <w:sz w:val="20"/>
                <w:szCs w:val="20"/>
                <w:color w:val="auto"/>
              </w:rPr>
            </w:pPr>
            <w:r>
              <w:rPr>
                <w:rFonts w:ascii="Arial" w:cs="Arial" w:eastAsia="Arial" w:hAnsi="Arial"/>
                <w:sz w:val="18"/>
                <w:szCs w:val="18"/>
                <w:color w:val="auto"/>
              </w:rPr>
              <w:t>Interest rate futures</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173.5</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147.5</w:t>
            </w: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Foreign exchange contracts:</w:t>
            </w:r>
          </w:p>
        </w:tc>
        <w:tc>
          <w:tcPr>
            <w:tcW w:w="2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600" w:type="dxa"/>
            <w:vAlign w:val="bottom"/>
          </w:tcPr>
          <w:p>
            <w:pPr>
              <w:ind w:left="200"/>
              <w:spacing w:after="0"/>
              <w:rPr>
                <w:sz w:val="20"/>
                <w:szCs w:val="20"/>
                <w:color w:val="auto"/>
              </w:rPr>
            </w:pPr>
            <w:r>
              <w:rPr>
                <w:rFonts w:ascii="Arial" w:cs="Arial" w:eastAsia="Arial" w:hAnsi="Arial"/>
                <w:sz w:val="18"/>
                <w:szCs w:val="18"/>
                <w:color w:val="auto"/>
              </w:rPr>
              <w:t>Currency swaps</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1,831.6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1,975.5</w:t>
            </w:r>
          </w:p>
        </w:tc>
      </w:tr>
      <w:tr>
        <w:trPr>
          <w:trHeight w:val="216"/>
        </w:trPr>
        <w:tc>
          <w:tcPr>
            <w:tcW w:w="5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Currency forwards</w:t>
            </w:r>
          </w:p>
        </w:tc>
        <w:tc>
          <w:tcPr>
            <w:tcW w:w="2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963.0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270.7</w:t>
            </w:r>
          </w:p>
        </w:tc>
      </w:tr>
      <w:tr>
        <w:trPr>
          <w:trHeight w:val="216"/>
        </w:trPr>
        <w:tc>
          <w:tcPr>
            <w:tcW w:w="5600" w:type="dxa"/>
            <w:vAlign w:val="bottom"/>
          </w:tcPr>
          <w:p>
            <w:pPr>
              <w:spacing w:after="0"/>
              <w:rPr>
                <w:sz w:val="20"/>
                <w:szCs w:val="20"/>
                <w:color w:val="auto"/>
              </w:rPr>
            </w:pPr>
            <w:r>
              <w:rPr>
                <w:rFonts w:ascii="Arial" w:cs="Arial" w:eastAsia="Arial" w:hAnsi="Arial"/>
                <w:sz w:val="18"/>
                <w:szCs w:val="18"/>
                <w:b w:val="1"/>
                <w:bCs w:val="1"/>
                <w:i w:val="1"/>
                <w:iCs w:val="1"/>
                <w:color w:val="auto"/>
              </w:rPr>
              <w:t>Equity contracts:</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Equity options</w:t>
            </w:r>
          </w:p>
        </w:tc>
        <w:tc>
          <w:tcPr>
            <w:tcW w:w="2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3,558.2</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3,293.4</w:t>
            </w:r>
          </w:p>
        </w:tc>
      </w:tr>
      <w:tr>
        <w:trPr>
          <w:trHeight w:val="216"/>
        </w:trPr>
        <w:tc>
          <w:tcPr>
            <w:tcW w:w="5600" w:type="dxa"/>
            <w:vAlign w:val="bottom"/>
          </w:tcPr>
          <w:p>
            <w:pPr>
              <w:ind w:left="200"/>
              <w:spacing w:after="0"/>
              <w:rPr>
                <w:sz w:val="20"/>
                <w:szCs w:val="20"/>
                <w:color w:val="auto"/>
              </w:rPr>
            </w:pPr>
            <w:r>
              <w:rPr>
                <w:rFonts w:ascii="Arial" w:cs="Arial" w:eastAsia="Arial" w:hAnsi="Arial"/>
                <w:sz w:val="18"/>
                <w:szCs w:val="18"/>
                <w:color w:val="auto"/>
              </w:rPr>
              <w:t>Equity futures</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563.4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498.1</w:t>
            </w: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Credit contracts:</w:t>
            </w:r>
          </w:p>
        </w:tc>
        <w:tc>
          <w:tcPr>
            <w:tcW w:w="2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600" w:type="dxa"/>
            <w:vAlign w:val="bottom"/>
          </w:tcPr>
          <w:p>
            <w:pPr>
              <w:ind w:left="200"/>
              <w:spacing w:after="0"/>
              <w:rPr>
                <w:sz w:val="20"/>
                <w:szCs w:val="20"/>
                <w:color w:val="auto"/>
              </w:rPr>
            </w:pPr>
            <w:r>
              <w:rPr>
                <w:rFonts w:ascii="Arial" w:cs="Arial" w:eastAsia="Arial" w:hAnsi="Arial"/>
                <w:sz w:val="18"/>
                <w:szCs w:val="18"/>
                <w:color w:val="auto"/>
              </w:rPr>
              <w:t>Credit default swaps</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1,095.9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1,234.5</w:t>
            </w:r>
          </w:p>
        </w:tc>
      </w:tr>
      <w:tr>
        <w:trPr>
          <w:trHeight w:val="216"/>
        </w:trPr>
        <w:tc>
          <w:tcPr>
            <w:tcW w:w="5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Total return swaps</w:t>
            </w:r>
          </w:p>
        </w:tc>
        <w:tc>
          <w:tcPr>
            <w:tcW w:w="2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90.0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90.0</w:t>
            </w:r>
          </w:p>
        </w:tc>
      </w:tr>
      <w:tr>
        <w:trPr>
          <w:trHeight w:val="216"/>
        </w:trPr>
        <w:tc>
          <w:tcPr>
            <w:tcW w:w="5600" w:type="dxa"/>
            <w:vAlign w:val="bottom"/>
          </w:tcPr>
          <w:p>
            <w:pPr>
              <w:ind w:left="200"/>
              <w:spacing w:after="0"/>
              <w:rPr>
                <w:sz w:val="20"/>
                <w:szCs w:val="20"/>
                <w:color w:val="auto"/>
              </w:rPr>
            </w:pPr>
            <w:r>
              <w:rPr>
                <w:rFonts w:ascii="Arial" w:cs="Arial" w:eastAsia="Arial" w:hAnsi="Arial"/>
                <w:sz w:val="18"/>
                <w:szCs w:val="18"/>
                <w:color w:val="auto"/>
              </w:rPr>
              <w:t>Futures</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15.6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10.5</w:t>
            </w: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Other contracts:</w:t>
            </w:r>
          </w:p>
        </w:tc>
        <w:tc>
          <w:tcPr>
            <w:tcW w:w="2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600" w:type="dxa"/>
            <w:vAlign w:val="bottom"/>
          </w:tcPr>
          <w:p>
            <w:pPr>
              <w:ind w:left="200"/>
              <w:spacing w:after="0"/>
              <w:rPr>
                <w:sz w:val="20"/>
                <w:szCs w:val="20"/>
                <w:color w:val="auto"/>
              </w:rPr>
            </w:pPr>
            <w:r>
              <w:rPr>
                <w:rFonts w:ascii="Arial" w:cs="Arial" w:eastAsia="Arial" w:hAnsi="Arial"/>
                <w:sz w:val="18"/>
                <w:szCs w:val="18"/>
                <w:color w:val="auto"/>
              </w:rPr>
              <w:t>Embedded derivatives</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9,773.2</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9,235.7</w:t>
            </w:r>
          </w:p>
        </w:tc>
      </w:tr>
      <w:tr>
        <w:trPr>
          <w:trHeight w:val="210"/>
        </w:trPr>
        <w:tc>
          <w:tcPr>
            <w:tcW w:w="56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notional amounts at end of period</w:t>
            </w:r>
          </w:p>
        </w:tc>
        <w:tc>
          <w:tcPr>
            <w:tcW w:w="22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45,054.4</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41,098.5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560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exposure of derivative instruments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3716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contracts: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246620" cy="11303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46620" cy="113030"/>
                    </a:xfrm>
                    <a:prstGeom prst="rect">
                      <a:avLst/>
                    </a:prstGeom>
                    <a:noFill/>
                  </pic:spPr>
                </pic:pic>
              </a:graphicData>
            </a:graphic>
          </wp:anchor>
        </w:drawing>
      </w:r>
    </w:p>
    <w:p>
      <w:pPr>
        <w:sectPr>
          <w:pgSz w:w="11900" w:h="16838" w:orient="portrait"/>
          <w:cols w:equalWidth="0" w:num="1">
            <w:col w:w="11420"/>
          </w:cols>
          <w:pgMar w:left="240" w:top="517" w:right="239" w:bottom="0" w:gutter="0" w:footer="0" w:header="0"/>
        </w:sectPr>
      </w:pPr>
    </w:p>
    <w:bookmarkStart w:id="24" w:name="page25"/>
    <w:bookmarkEnd w:id="24"/>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rate swaps</w:t>
            </w:r>
          </w:p>
        </w:tc>
        <w:tc>
          <w:tcPr>
            <w:tcW w:w="3480" w:type="dxa"/>
            <w:vAlign w:val="bottom"/>
            <w:gridSpan w:val="2"/>
            <w:shd w:val="clear" w:color="auto" w:fill="CCEEFF"/>
          </w:tcPr>
          <w:p>
            <w:pPr>
              <w:jc w:val="right"/>
              <w:ind w:right="450"/>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632.9</w:t>
            </w:r>
          </w:p>
        </w:tc>
        <w:tc>
          <w:tcPr>
            <w:tcW w:w="620" w:type="dxa"/>
            <w:vAlign w:val="bottom"/>
            <w:gridSpan w:val="2"/>
            <w:shd w:val="clear" w:color="auto" w:fill="CCEEFF"/>
          </w:tcPr>
          <w:p>
            <w:pPr>
              <w:jc w:val="right"/>
              <w:ind w:right="490"/>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510.8</w:t>
            </w:r>
          </w:p>
        </w:tc>
        <w:tc>
          <w:tcPr>
            <w:tcW w:w="80" w:type="dxa"/>
            <w:vAlign w:val="bottom"/>
            <w:shd w:val="clear" w:color="auto" w:fill="CCEEFF"/>
          </w:tcPr>
          <w:p>
            <w:pPr>
              <w:spacing w:after="0"/>
              <w:rPr>
                <w:sz w:val="18"/>
                <w:szCs w:val="18"/>
                <w:color w:val="auto"/>
              </w:rPr>
            </w:pPr>
          </w:p>
        </w:tc>
      </w:tr>
      <w:tr>
        <w:trPr>
          <w:trHeight w:val="216"/>
        </w:trPr>
        <w:tc>
          <w:tcPr>
            <w:tcW w:w="5000" w:type="dxa"/>
            <w:vAlign w:val="bottom"/>
          </w:tcPr>
          <w:p>
            <w:pPr>
              <w:ind w:left="200"/>
              <w:spacing w:after="0"/>
              <w:rPr>
                <w:sz w:val="20"/>
                <w:szCs w:val="20"/>
                <w:color w:val="auto"/>
              </w:rPr>
            </w:pPr>
            <w:r>
              <w:rPr>
                <w:rFonts w:ascii="Arial" w:cs="Arial" w:eastAsia="Arial" w:hAnsi="Arial"/>
                <w:sz w:val="18"/>
                <w:szCs w:val="18"/>
                <w:color w:val="auto"/>
              </w:rPr>
              <w:t>Interest rate options</w:t>
            </w:r>
          </w:p>
        </w:tc>
        <w:tc>
          <w:tcPr>
            <w:tcW w:w="28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40.1</w:t>
            </w: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41.0</w:t>
            </w:r>
          </w:p>
        </w:tc>
        <w:tc>
          <w:tcPr>
            <w:tcW w:w="80" w:type="dxa"/>
            <w:vAlign w:val="bottom"/>
          </w:tcPr>
          <w:p>
            <w:pPr>
              <w:spacing w:after="0"/>
              <w:rPr>
                <w:sz w:val="18"/>
                <w:szCs w:val="18"/>
                <w:color w:val="auto"/>
              </w:rPr>
            </w:pPr>
          </w:p>
        </w:tc>
      </w:tr>
      <w:tr>
        <w:trPr>
          <w:trHeight w:val="216"/>
        </w:trPr>
        <w:tc>
          <w:tcPr>
            <w:tcW w:w="500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Foreign exchange contracts:</w:t>
            </w:r>
          </w:p>
        </w:tc>
        <w:tc>
          <w:tcPr>
            <w:tcW w:w="28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000" w:type="dxa"/>
            <w:vAlign w:val="bottom"/>
          </w:tcPr>
          <w:p>
            <w:pPr>
              <w:ind w:left="200"/>
              <w:spacing w:after="0"/>
              <w:rPr>
                <w:sz w:val="20"/>
                <w:szCs w:val="20"/>
                <w:color w:val="auto"/>
              </w:rPr>
            </w:pPr>
            <w:r>
              <w:rPr>
                <w:rFonts w:ascii="Arial" w:cs="Arial" w:eastAsia="Arial" w:hAnsi="Arial"/>
                <w:sz w:val="18"/>
                <w:szCs w:val="18"/>
                <w:color w:val="auto"/>
              </w:rPr>
              <w:t>Currency swaps</w:t>
            </w:r>
          </w:p>
        </w:tc>
        <w:tc>
          <w:tcPr>
            <w:tcW w:w="28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112.6</w:t>
            </w: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97.1</w:t>
            </w:r>
          </w:p>
        </w:tc>
        <w:tc>
          <w:tcPr>
            <w:tcW w:w="80" w:type="dxa"/>
            <w:vAlign w:val="bottom"/>
          </w:tcPr>
          <w:p>
            <w:pPr>
              <w:spacing w:after="0"/>
              <w:rPr>
                <w:sz w:val="18"/>
                <w:szCs w:val="18"/>
                <w:color w:val="auto"/>
              </w:rPr>
            </w:pPr>
          </w:p>
        </w:tc>
      </w:tr>
      <w:tr>
        <w:trPr>
          <w:trHeight w:val="216"/>
        </w:trPr>
        <w:tc>
          <w:tcPr>
            <w:tcW w:w="50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Currency forwards</w:t>
            </w:r>
          </w:p>
        </w:tc>
        <w:tc>
          <w:tcPr>
            <w:tcW w:w="28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3.9</w:t>
            </w: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w:t>
            </w:r>
          </w:p>
        </w:tc>
        <w:tc>
          <w:tcPr>
            <w:tcW w:w="80" w:type="dxa"/>
            <w:vAlign w:val="bottom"/>
            <w:shd w:val="clear" w:color="auto" w:fill="CCEEFF"/>
          </w:tcPr>
          <w:p>
            <w:pPr>
              <w:spacing w:after="0"/>
              <w:rPr>
                <w:sz w:val="18"/>
                <w:szCs w:val="18"/>
                <w:color w:val="auto"/>
              </w:rPr>
            </w:pPr>
          </w:p>
        </w:tc>
      </w:tr>
      <w:tr>
        <w:trPr>
          <w:trHeight w:val="216"/>
        </w:trPr>
        <w:tc>
          <w:tcPr>
            <w:tcW w:w="5000" w:type="dxa"/>
            <w:vAlign w:val="bottom"/>
          </w:tcPr>
          <w:p>
            <w:pPr>
              <w:spacing w:after="0"/>
              <w:rPr>
                <w:sz w:val="20"/>
                <w:szCs w:val="20"/>
                <w:color w:val="auto"/>
              </w:rPr>
            </w:pPr>
            <w:r>
              <w:rPr>
                <w:rFonts w:ascii="Arial" w:cs="Arial" w:eastAsia="Arial" w:hAnsi="Arial"/>
                <w:sz w:val="18"/>
                <w:szCs w:val="18"/>
                <w:b w:val="1"/>
                <w:bCs w:val="1"/>
                <w:i w:val="1"/>
                <w:iCs w:val="1"/>
                <w:color w:val="auto"/>
              </w:rPr>
              <w:t>Equity contracts:</w:t>
            </w:r>
          </w:p>
        </w:tc>
        <w:tc>
          <w:tcPr>
            <w:tcW w:w="28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0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Equity options</w:t>
            </w:r>
          </w:p>
        </w:tc>
        <w:tc>
          <w:tcPr>
            <w:tcW w:w="28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72.4</w:t>
            </w: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30.2</w:t>
            </w:r>
          </w:p>
        </w:tc>
        <w:tc>
          <w:tcPr>
            <w:tcW w:w="80" w:type="dxa"/>
            <w:vAlign w:val="bottom"/>
            <w:shd w:val="clear" w:color="auto" w:fill="CCEEFF"/>
          </w:tcPr>
          <w:p>
            <w:pPr>
              <w:spacing w:after="0"/>
              <w:rPr>
                <w:sz w:val="18"/>
                <w:szCs w:val="18"/>
                <w:color w:val="auto"/>
              </w:rPr>
            </w:pPr>
          </w:p>
        </w:tc>
      </w:tr>
      <w:tr>
        <w:trPr>
          <w:trHeight w:val="216"/>
        </w:trPr>
        <w:tc>
          <w:tcPr>
            <w:tcW w:w="5000" w:type="dxa"/>
            <w:vAlign w:val="bottom"/>
          </w:tcPr>
          <w:p>
            <w:pPr>
              <w:spacing w:after="0"/>
              <w:rPr>
                <w:sz w:val="20"/>
                <w:szCs w:val="20"/>
                <w:color w:val="auto"/>
              </w:rPr>
            </w:pPr>
            <w:r>
              <w:rPr>
                <w:rFonts w:ascii="Arial" w:cs="Arial" w:eastAsia="Arial" w:hAnsi="Arial"/>
                <w:sz w:val="18"/>
                <w:szCs w:val="18"/>
                <w:b w:val="1"/>
                <w:bCs w:val="1"/>
                <w:i w:val="1"/>
                <w:iCs w:val="1"/>
                <w:color w:val="auto"/>
              </w:rPr>
              <w:t>Credit contracts:</w:t>
            </w:r>
          </w:p>
        </w:tc>
        <w:tc>
          <w:tcPr>
            <w:tcW w:w="28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0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Credit default swaps</w:t>
            </w:r>
          </w:p>
        </w:tc>
        <w:tc>
          <w:tcPr>
            <w:tcW w:w="28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13.1</w:t>
            </w: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13.3</w:t>
            </w:r>
          </w:p>
        </w:tc>
        <w:tc>
          <w:tcPr>
            <w:tcW w:w="80" w:type="dxa"/>
            <w:vAlign w:val="bottom"/>
            <w:shd w:val="clear" w:color="auto" w:fill="CCEEFF"/>
          </w:tcPr>
          <w:p>
            <w:pPr>
              <w:spacing w:after="0"/>
              <w:rPr>
                <w:sz w:val="18"/>
                <w:szCs w:val="18"/>
                <w:color w:val="auto"/>
              </w:rPr>
            </w:pPr>
          </w:p>
        </w:tc>
      </w:tr>
      <w:tr>
        <w:trPr>
          <w:trHeight w:val="210"/>
        </w:trPr>
        <w:tc>
          <w:tcPr>
            <w:tcW w:w="5000" w:type="dxa"/>
            <w:vAlign w:val="bottom"/>
          </w:tcPr>
          <w:p>
            <w:pPr>
              <w:spacing w:after="0"/>
              <w:rPr>
                <w:sz w:val="20"/>
                <w:szCs w:val="20"/>
                <w:color w:val="auto"/>
              </w:rPr>
            </w:pPr>
            <w:r>
              <w:rPr>
                <w:rFonts w:ascii="Arial" w:cs="Arial" w:eastAsia="Arial" w:hAnsi="Arial"/>
                <w:sz w:val="18"/>
                <w:szCs w:val="18"/>
                <w:color w:val="auto"/>
              </w:rPr>
              <w:t>Total gross credit exposure</w:t>
            </w:r>
          </w:p>
        </w:tc>
        <w:tc>
          <w:tcPr>
            <w:tcW w:w="2840" w:type="dxa"/>
            <w:vAlign w:val="bottom"/>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875.0</w:t>
            </w: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693.8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Less: collateral received</w:t>
            </w:r>
          </w:p>
        </w:tc>
        <w:tc>
          <w:tcPr>
            <w:tcW w:w="28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308.4</w:t>
            </w: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183.5</w:t>
            </w:r>
          </w:p>
        </w:tc>
        <w:tc>
          <w:tcPr>
            <w:tcW w:w="80" w:type="dxa"/>
            <w:vAlign w:val="bottom"/>
            <w:shd w:val="clear" w:color="auto" w:fill="CCEEFF"/>
          </w:tcPr>
          <w:p>
            <w:pPr>
              <w:spacing w:after="0"/>
              <w:rPr>
                <w:sz w:val="18"/>
                <w:szCs w:val="18"/>
                <w:color w:val="auto"/>
              </w:rPr>
            </w:pPr>
          </w:p>
        </w:tc>
      </w:tr>
      <w:tr>
        <w:trPr>
          <w:trHeight w:val="210"/>
        </w:trPr>
        <w:tc>
          <w:tcPr>
            <w:tcW w:w="5000" w:type="dxa"/>
            <w:vAlign w:val="bottom"/>
          </w:tcPr>
          <w:p>
            <w:pPr>
              <w:spacing w:after="0"/>
              <w:rPr>
                <w:sz w:val="20"/>
                <w:szCs w:val="20"/>
                <w:color w:val="auto"/>
              </w:rPr>
            </w:pPr>
            <w:r>
              <w:rPr>
                <w:rFonts w:ascii="Arial" w:cs="Arial" w:eastAsia="Arial" w:hAnsi="Arial"/>
                <w:sz w:val="18"/>
                <w:szCs w:val="18"/>
                <w:color w:val="auto"/>
              </w:rPr>
              <w:t>Net credit exposure</w:t>
            </w:r>
          </w:p>
        </w:tc>
        <w:tc>
          <w:tcPr>
            <w:tcW w:w="2840" w:type="dxa"/>
            <w:vAlign w:val="bottom"/>
          </w:tcPr>
          <w:p>
            <w:pPr>
              <w:spacing w:after="0"/>
              <w:rPr>
                <w:sz w:val="18"/>
                <w:szCs w:val="18"/>
                <w:color w:val="auto"/>
              </w:rPr>
            </w:pPr>
          </w:p>
        </w:tc>
        <w:tc>
          <w:tcPr>
            <w:tcW w:w="640" w:type="dxa"/>
            <w:vAlign w:val="bottom"/>
            <w:tcBorders>
              <w:top w:val="single" w:sz="8" w:color="auto"/>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566.6</w:t>
            </w:r>
          </w:p>
        </w:tc>
        <w:tc>
          <w:tcPr>
            <w:tcW w:w="3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00" w:type="dxa"/>
            <w:vAlign w:val="bottom"/>
            <w:tcBorders>
              <w:top w:val="single" w:sz="8" w:color="auto"/>
              <w:bottom w:val="single" w:sz="8" w:color="auto"/>
            </w:tcBorders>
          </w:tcPr>
          <w:p>
            <w:pPr>
              <w:jc w:val="right"/>
              <w:ind w:right="490"/>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510.3</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0"/>
        </w:trPr>
        <w:tc>
          <w:tcPr>
            <w:tcW w:w="500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fair value of our derivative instruments classified as assets and liabilities was as follows: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500" w:type="dxa"/>
            <w:vAlign w:val="bottom"/>
            <w:gridSpan w:val="5"/>
          </w:tcPr>
          <w:p>
            <w:pPr>
              <w:jc w:val="right"/>
              <w:ind w:right="1280"/>
              <w:spacing w:after="0"/>
              <w:rPr>
                <w:sz w:val="20"/>
                <w:szCs w:val="20"/>
                <w:color w:val="auto"/>
              </w:rPr>
            </w:pPr>
            <w:r>
              <w:rPr>
                <w:rFonts w:ascii="Arial" w:cs="Arial" w:eastAsia="Arial" w:hAnsi="Arial"/>
                <w:sz w:val="14"/>
                <w:szCs w:val="14"/>
                <w:b w:val="1"/>
                <w:bCs w:val="1"/>
                <w:color w:val="auto"/>
              </w:rPr>
              <w:t>Derivative assets (1)</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420" w:type="dxa"/>
            <w:vAlign w:val="bottom"/>
            <w:gridSpan w:val="7"/>
          </w:tcPr>
          <w:p>
            <w:pPr>
              <w:ind w:left="880"/>
              <w:spacing w:after="0"/>
              <w:rPr>
                <w:sz w:val="20"/>
                <w:szCs w:val="20"/>
                <w:color w:val="auto"/>
              </w:rPr>
            </w:pPr>
            <w:r>
              <w:rPr>
                <w:rFonts w:ascii="Arial" w:cs="Arial" w:eastAsia="Arial" w:hAnsi="Arial"/>
                <w:sz w:val="14"/>
                <w:szCs w:val="14"/>
                <w:b w:val="1"/>
                <w:bCs w:val="1"/>
                <w:color w:val="auto"/>
              </w:rPr>
              <w:t>Derivative liabilities (2)</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760" w:type="dxa"/>
            <w:vAlign w:val="bottom"/>
            <w:tcBorders>
              <w:top w:val="single" w:sz="8" w:color="auto"/>
              <w:bottom w:val="single" w:sz="8" w:color="auto"/>
            </w:tcBorders>
            <w:gridSpan w:val="2"/>
          </w:tcPr>
          <w:p>
            <w:pPr>
              <w:jc w:val="right"/>
              <w:ind w:right="500"/>
              <w:spacing w:after="0" w:line="142" w:lineRule="exact"/>
              <w:rPr>
                <w:sz w:val="20"/>
                <w:szCs w:val="20"/>
                <w:color w:val="auto"/>
              </w:rPr>
            </w:pPr>
            <w:r>
              <w:rPr>
                <w:rFonts w:ascii="Arial" w:cs="Arial" w:eastAsia="Arial" w:hAnsi="Arial"/>
                <w:sz w:val="14"/>
                <w:szCs w:val="14"/>
                <w:b w:val="1"/>
                <w:bCs w:val="1"/>
                <w:color w:val="auto"/>
                <w:w w:val="94"/>
              </w:rPr>
              <w:t>September 30, 2015</w:t>
            </w:r>
          </w:p>
        </w:tc>
        <w:tc>
          <w:tcPr>
            <w:tcW w:w="160" w:type="dxa"/>
            <w:vAlign w:val="bottom"/>
            <w:tcBorders>
              <w:top w:val="single" w:sz="8" w:color="auto"/>
              <w:bottom w:val="single" w:sz="8" w:color="auto"/>
            </w:tcBorders>
          </w:tcPr>
          <w:p>
            <w:pPr>
              <w:spacing w:after="0"/>
              <w:rPr>
                <w:sz w:val="12"/>
                <w:szCs w:val="12"/>
                <w:color w:val="auto"/>
              </w:rPr>
            </w:pPr>
          </w:p>
        </w:tc>
        <w:tc>
          <w:tcPr>
            <w:tcW w:w="1440" w:type="dxa"/>
            <w:vAlign w:val="bottom"/>
            <w:tcBorders>
              <w:top w:val="single" w:sz="8" w:color="auto"/>
              <w:bottom w:val="single" w:sz="8" w:color="auto"/>
            </w:tcBorders>
          </w:tcPr>
          <w:p>
            <w:pPr>
              <w:jc w:val="right"/>
              <w:ind w:right="133"/>
              <w:spacing w:after="0" w:line="142" w:lineRule="exact"/>
              <w:rPr>
                <w:sz w:val="20"/>
                <w:szCs w:val="20"/>
                <w:color w:val="auto"/>
              </w:rPr>
            </w:pPr>
            <w:r>
              <w:rPr>
                <w:rFonts w:ascii="Arial" w:cs="Arial" w:eastAsia="Arial" w:hAnsi="Arial"/>
                <w:sz w:val="14"/>
                <w:szCs w:val="14"/>
                <w:b w:val="1"/>
                <w:bCs w:val="1"/>
                <w:color w:val="auto"/>
                <w:w w:val="95"/>
              </w:rPr>
              <w:t>December 31, 2014</w:t>
            </w:r>
          </w:p>
        </w:tc>
        <w:tc>
          <w:tcPr>
            <w:tcW w:w="14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740" w:type="dxa"/>
            <w:vAlign w:val="bottom"/>
            <w:tcBorders>
              <w:top w:val="single" w:sz="8" w:color="auto"/>
              <w:bottom w:val="single" w:sz="8" w:color="auto"/>
            </w:tcBorders>
            <w:gridSpan w:val="2"/>
          </w:tcPr>
          <w:p>
            <w:pPr>
              <w:jc w:val="right"/>
              <w:ind w:right="480"/>
              <w:spacing w:after="0" w:line="142" w:lineRule="exact"/>
              <w:rPr>
                <w:sz w:val="20"/>
                <w:szCs w:val="20"/>
                <w:color w:val="auto"/>
              </w:rPr>
            </w:pPr>
            <w:r>
              <w:rPr>
                <w:rFonts w:ascii="Arial" w:cs="Arial" w:eastAsia="Arial" w:hAnsi="Arial"/>
                <w:sz w:val="14"/>
                <w:szCs w:val="14"/>
                <w:b w:val="1"/>
                <w:bCs w:val="1"/>
                <w:color w:val="auto"/>
                <w:w w:val="94"/>
              </w:rPr>
              <w:t>September 30, 2015</w:t>
            </w:r>
          </w:p>
        </w:tc>
        <w:tc>
          <w:tcPr>
            <w:tcW w:w="2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440" w:type="dxa"/>
            <w:vAlign w:val="bottom"/>
            <w:tcBorders>
              <w:top w:val="single" w:sz="8" w:color="auto"/>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w w:val="95"/>
              </w:rPr>
              <w:t>December 31, 2014</w:t>
            </w:r>
          </w:p>
        </w:tc>
        <w:tc>
          <w:tcPr>
            <w:tcW w:w="10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0" w:type="dxa"/>
            <w:vAlign w:val="bottom"/>
            <w:gridSpan w:val="6"/>
          </w:tcPr>
          <w:p>
            <w:pPr>
              <w:jc w:val="right"/>
              <w:ind w:right="1680"/>
              <w:spacing w:after="0" w:line="142" w:lineRule="exact"/>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9"/>
              </w:rPr>
              <w:t>Derivatives designated as hedging instruments</w:t>
            </w:r>
          </w:p>
        </w:tc>
        <w:tc>
          <w:tcPr>
            <w:tcW w:w="14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20"/>
                <w:szCs w:val="20"/>
                <w:color w:val="auto"/>
              </w:rPr>
            </w:pPr>
            <w:r>
              <w:rPr>
                <w:rFonts w:ascii="Arial" w:cs="Arial" w:eastAsia="Arial" w:hAnsi="Arial"/>
                <w:sz w:val="18"/>
                <w:szCs w:val="18"/>
                <w:color w:val="auto"/>
              </w:rPr>
              <w:t>Interest rate contracts</w:t>
            </w: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7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15.7</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580" w:type="dxa"/>
            <w:vAlign w:val="bottom"/>
            <w:gridSpan w:val="2"/>
          </w:tcPr>
          <w:p>
            <w:pPr>
              <w:jc w:val="right"/>
              <w:ind w:right="140"/>
              <w:spacing w:after="0"/>
              <w:rPr>
                <w:sz w:val="20"/>
                <w:szCs w:val="20"/>
                <w:color w:val="auto"/>
              </w:rPr>
            </w:pPr>
            <w:r>
              <w:rPr>
                <w:rFonts w:ascii="Arial" w:cs="Arial" w:eastAsia="Arial" w:hAnsi="Arial"/>
                <w:sz w:val="18"/>
                <w:szCs w:val="18"/>
                <w:color w:val="auto"/>
              </w:rPr>
              <w:t>8.8</w:t>
            </w:r>
          </w:p>
        </w:tc>
        <w:tc>
          <w:tcPr>
            <w:tcW w:w="2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74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162.2</w:t>
            </w: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193.9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Foreign exchange contracts</w:t>
            </w:r>
          </w:p>
        </w:tc>
        <w:tc>
          <w:tcPr>
            <w:tcW w:w="140" w:type="dxa"/>
            <w:vAlign w:val="bottom"/>
            <w:shd w:val="clear" w:color="auto" w:fill="CCEEFF"/>
          </w:tcPr>
          <w:p>
            <w:pPr>
              <w:spacing w:after="0"/>
              <w:rPr>
                <w:sz w:val="18"/>
                <w:szCs w:val="18"/>
                <w:color w:val="auto"/>
              </w:rPr>
            </w:pPr>
          </w:p>
        </w:tc>
        <w:tc>
          <w:tcPr>
            <w:tcW w:w="1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105.0</w:t>
            </w: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80.0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146.5</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69.1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0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w w:val="97"/>
              </w:rPr>
              <w:t>Total derivatives designated as hedging instruments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120.7</w:t>
            </w:r>
          </w:p>
        </w:tc>
        <w:tc>
          <w:tcPr>
            <w:tcW w:w="3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88.8</w:t>
            </w:r>
          </w:p>
        </w:tc>
        <w:tc>
          <w:tcPr>
            <w:tcW w:w="140" w:type="dxa"/>
            <w:vAlign w:val="bottom"/>
            <w:tcBorders>
              <w:bottom w:val="single" w:sz="8" w:color="CCEEFF"/>
            </w:tcBorders>
          </w:tcPr>
          <w:p>
            <w:pPr>
              <w:spacing w:after="0"/>
              <w:rPr>
                <w:sz w:val="21"/>
                <w:szCs w:val="21"/>
                <w:color w:val="auto"/>
              </w:rPr>
            </w:pPr>
          </w:p>
        </w:tc>
        <w:tc>
          <w:tcPr>
            <w:tcW w:w="14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308.7</w:t>
            </w:r>
          </w:p>
        </w:tc>
        <w:tc>
          <w:tcPr>
            <w:tcW w:w="30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263.0</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0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4060" w:type="dxa"/>
            <w:vAlign w:val="bottom"/>
          </w:tcPr>
          <w:p>
            <w:pPr>
              <w:spacing w:after="0" w:line="198" w:lineRule="exact"/>
              <w:rPr>
                <w:sz w:val="20"/>
                <w:szCs w:val="20"/>
                <w:color w:val="auto"/>
              </w:rPr>
            </w:pPr>
            <w:r>
              <w:rPr>
                <w:rFonts w:ascii="Arial" w:cs="Arial" w:eastAsia="Arial" w:hAnsi="Arial"/>
                <w:sz w:val="18"/>
                <w:szCs w:val="18"/>
                <w:b w:val="1"/>
                <w:bCs w:val="1"/>
                <w:color w:val="auto"/>
              </w:rPr>
              <w:t>Derivatives not designated as hedging</w:t>
            </w:r>
          </w:p>
        </w:tc>
        <w:tc>
          <w:tcPr>
            <w:tcW w:w="14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060" w:type="dxa"/>
            <w:vAlign w:val="bottom"/>
          </w:tcPr>
          <w:p>
            <w:pPr>
              <w:ind w:left="160"/>
              <w:spacing w:after="0"/>
              <w:rPr>
                <w:sz w:val="20"/>
                <w:szCs w:val="20"/>
                <w:color w:val="auto"/>
              </w:rPr>
            </w:pPr>
            <w:r>
              <w:rPr>
                <w:rFonts w:ascii="Arial" w:cs="Arial" w:eastAsia="Arial" w:hAnsi="Arial"/>
                <w:sz w:val="18"/>
                <w:szCs w:val="18"/>
                <w:b w:val="1"/>
                <w:bCs w:val="1"/>
                <w:color w:val="auto"/>
              </w:rPr>
              <w:t>instruments</w:t>
            </w:r>
          </w:p>
        </w:tc>
        <w:tc>
          <w:tcPr>
            <w:tcW w:w="14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Interest rate contracts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597.8</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508.7</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314.1</w:t>
            </w:r>
          </w:p>
        </w:tc>
        <w:tc>
          <w:tcPr>
            <w:tcW w:w="140" w:type="dxa"/>
            <w:vAlign w:val="bottom"/>
            <w:gridSpan w:val="2"/>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321.4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20"/>
                <w:szCs w:val="20"/>
                <w:color w:val="auto"/>
              </w:rPr>
            </w:pPr>
            <w:r>
              <w:rPr>
                <w:rFonts w:ascii="Arial" w:cs="Arial" w:eastAsia="Arial" w:hAnsi="Arial"/>
                <w:sz w:val="18"/>
                <w:szCs w:val="18"/>
                <w:color w:val="auto"/>
              </w:rPr>
              <w:t>Foreign exchange contracts</w:t>
            </w:r>
          </w:p>
        </w:tc>
        <w:tc>
          <w:tcPr>
            <w:tcW w:w="140" w:type="dxa"/>
            <w:vAlign w:val="bottom"/>
          </w:tcPr>
          <w:p>
            <w:pPr>
              <w:spacing w:after="0"/>
              <w:rPr>
                <w:sz w:val="18"/>
                <w:szCs w:val="18"/>
                <w:color w:val="auto"/>
              </w:rPr>
            </w:pPr>
          </w:p>
        </w:tc>
        <w:tc>
          <w:tcPr>
            <w:tcW w:w="17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17.2</w:t>
            </w:r>
          </w:p>
        </w:tc>
        <w:tc>
          <w:tcPr>
            <w:tcW w:w="160" w:type="dxa"/>
            <w:vAlign w:val="bottom"/>
          </w:tcPr>
          <w:p>
            <w:pPr>
              <w:spacing w:after="0"/>
              <w:rPr>
                <w:sz w:val="18"/>
                <w:szCs w:val="18"/>
                <w:color w:val="auto"/>
              </w:rPr>
            </w:pPr>
          </w:p>
        </w:tc>
        <w:tc>
          <w:tcPr>
            <w:tcW w:w="1580" w:type="dxa"/>
            <w:vAlign w:val="bottom"/>
            <w:gridSpan w:val="2"/>
          </w:tcPr>
          <w:p>
            <w:pPr>
              <w:jc w:val="right"/>
              <w:ind w:right="140"/>
              <w:spacing w:after="0"/>
              <w:rPr>
                <w:sz w:val="20"/>
                <w:szCs w:val="20"/>
                <w:color w:val="auto"/>
              </w:rPr>
            </w:pPr>
            <w:r>
              <w:rPr>
                <w:rFonts w:ascii="Arial" w:cs="Arial" w:eastAsia="Arial" w:hAnsi="Arial"/>
                <w:sz w:val="18"/>
                <w:szCs w:val="18"/>
                <w:color w:val="auto"/>
              </w:rPr>
              <w:t>20.8</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4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63.8</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40.1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Equity contracts</w:t>
            </w:r>
          </w:p>
        </w:tc>
        <w:tc>
          <w:tcPr>
            <w:tcW w:w="140" w:type="dxa"/>
            <w:vAlign w:val="bottom"/>
            <w:shd w:val="clear" w:color="auto" w:fill="CCEEFF"/>
          </w:tcPr>
          <w:p>
            <w:pPr>
              <w:spacing w:after="0"/>
              <w:rPr>
                <w:sz w:val="18"/>
                <w:szCs w:val="18"/>
                <w:color w:val="auto"/>
              </w:rPr>
            </w:pPr>
          </w:p>
        </w:tc>
        <w:tc>
          <w:tcPr>
            <w:tcW w:w="1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72.5</w:t>
            </w: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30.2</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91.7</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131.7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20"/>
                <w:szCs w:val="20"/>
                <w:color w:val="auto"/>
              </w:rPr>
            </w:pPr>
            <w:r>
              <w:rPr>
                <w:rFonts w:ascii="Arial" w:cs="Arial" w:eastAsia="Arial" w:hAnsi="Arial"/>
                <w:sz w:val="18"/>
                <w:szCs w:val="18"/>
                <w:color w:val="auto"/>
              </w:rPr>
              <w:t>Credit contracts</w:t>
            </w:r>
          </w:p>
        </w:tc>
        <w:tc>
          <w:tcPr>
            <w:tcW w:w="140" w:type="dxa"/>
            <w:vAlign w:val="bottom"/>
          </w:tcPr>
          <w:p>
            <w:pPr>
              <w:spacing w:after="0"/>
              <w:rPr>
                <w:sz w:val="18"/>
                <w:szCs w:val="18"/>
                <w:color w:val="auto"/>
              </w:rPr>
            </w:pPr>
          </w:p>
        </w:tc>
        <w:tc>
          <w:tcPr>
            <w:tcW w:w="17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13.1</w:t>
            </w:r>
          </w:p>
        </w:tc>
        <w:tc>
          <w:tcPr>
            <w:tcW w:w="160" w:type="dxa"/>
            <w:vAlign w:val="bottom"/>
          </w:tcPr>
          <w:p>
            <w:pPr>
              <w:spacing w:after="0"/>
              <w:rPr>
                <w:sz w:val="18"/>
                <w:szCs w:val="18"/>
                <w:color w:val="auto"/>
              </w:rPr>
            </w:pPr>
          </w:p>
        </w:tc>
        <w:tc>
          <w:tcPr>
            <w:tcW w:w="1580" w:type="dxa"/>
            <w:vAlign w:val="bottom"/>
            <w:gridSpan w:val="2"/>
          </w:tcPr>
          <w:p>
            <w:pPr>
              <w:jc w:val="right"/>
              <w:ind w:right="140"/>
              <w:spacing w:after="0"/>
              <w:rPr>
                <w:sz w:val="20"/>
                <w:szCs w:val="20"/>
                <w:color w:val="auto"/>
              </w:rPr>
            </w:pPr>
            <w:r>
              <w:rPr>
                <w:rFonts w:ascii="Arial" w:cs="Arial" w:eastAsia="Arial" w:hAnsi="Arial"/>
                <w:sz w:val="18"/>
                <w:szCs w:val="18"/>
                <w:color w:val="auto"/>
              </w:rPr>
              <w:t>13.3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4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38.7</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35.6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Other contracts</w:t>
            </w:r>
          </w:p>
        </w:tc>
        <w:tc>
          <w:tcPr>
            <w:tcW w:w="140" w:type="dxa"/>
            <w:vAlign w:val="bottom"/>
            <w:shd w:val="clear" w:color="auto" w:fill="CCEEFF"/>
          </w:tcPr>
          <w:p>
            <w:pPr>
              <w:spacing w:after="0"/>
              <w:rPr>
                <w:sz w:val="18"/>
                <w:szCs w:val="18"/>
                <w:color w:val="auto"/>
              </w:rPr>
            </w:pPr>
          </w:p>
        </w:tc>
        <w:tc>
          <w:tcPr>
            <w:tcW w:w="1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446.9</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415.5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60" w:type="dxa"/>
            <w:vAlign w:val="bottom"/>
            <w:vMerge w:val="restart"/>
          </w:tcPr>
          <w:p>
            <w:pPr>
              <w:spacing w:after="0" w:line="201" w:lineRule="exact"/>
              <w:rPr>
                <w:sz w:val="20"/>
                <w:szCs w:val="20"/>
                <w:color w:val="auto"/>
              </w:rPr>
            </w:pPr>
            <w:r>
              <w:rPr>
                <w:rFonts w:ascii="Arial" w:cs="Arial" w:eastAsia="Arial" w:hAnsi="Arial"/>
                <w:sz w:val="18"/>
                <w:szCs w:val="18"/>
                <w:color w:val="auto"/>
              </w:rPr>
              <w:t>Total derivatives not designated as hedging</w:t>
            </w:r>
          </w:p>
        </w:tc>
        <w:tc>
          <w:tcPr>
            <w:tcW w:w="14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20" w:type="dxa"/>
            <w:vAlign w:val="bottom"/>
          </w:tcPr>
          <w:p>
            <w:pPr>
              <w:spacing w:after="0"/>
              <w:rPr>
                <w:sz w:val="15"/>
                <w:szCs w:val="15"/>
                <w:color w:val="auto"/>
              </w:rPr>
            </w:pPr>
          </w:p>
        </w:tc>
        <w:tc>
          <w:tcPr>
            <w:tcW w:w="406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1760" w:type="dxa"/>
            <w:vAlign w:val="bottom"/>
            <w:gridSpan w:val="2"/>
            <w:vMerge w:val="restart"/>
          </w:tcPr>
          <w:p>
            <w:pPr>
              <w:jc w:val="right"/>
              <w:ind w:right="300"/>
              <w:spacing w:after="0"/>
              <w:rPr>
                <w:sz w:val="20"/>
                <w:szCs w:val="20"/>
                <w:color w:val="auto"/>
              </w:rPr>
            </w:pPr>
            <w:r>
              <w:rPr>
                <w:rFonts w:ascii="Arial" w:cs="Arial" w:eastAsia="Arial" w:hAnsi="Arial"/>
                <w:sz w:val="18"/>
                <w:szCs w:val="18"/>
                <w:b w:val="1"/>
                <w:bCs w:val="1"/>
                <w:color w:val="auto"/>
              </w:rPr>
              <w:t>700.6</w:t>
            </w:r>
          </w:p>
        </w:tc>
        <w:tc>
          <w:tcPr>
            <w:tcW w:w="16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740" w:type="dxa"/>
            <w:vAlign w:val="bottom"/>
            <w:gridSpan w:val="2"/>
            <w:vMerge w:val="restart"/>
          </w:tcPr>
          <w:p>
            <w:pPr>
              <w:jc w:val="right"/>
              <w:ind w:right="300"/>
              <w:spacing w:after="0"/>
              <w:rPr>
                <w:sz w:val="20"/>
                <w:szCs w:val="20"/>
                <w:color w:val="auto"/>
              </w:rPr>
            </w:pPr>
            <w:r>
              <w:rPr>
                <w:rFonts w:ascii="Arial" w:cs="Arial" w:eastAsia="Arial" w:hAnsi="Arial"/>
                <w:sz w:val="18"/>
                <w:szCs w:val="18"/>
                <w:b w:val="1"/>
                <w:bCs w:val="1"/>
                <w:color w:val="auto"/>
              </w:rPr>
              <w:t>955.2</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060" w:type="dxa"/>
            <w:vAlign w:val="bottom"/>
          </w:tcPr>
          <w:p>
            <w:pPr>
              <w:ind w:left="160"/>
              <w:spacing w:after="0"/>
              <w:rPr>
                <w:sz w:val="20"/>
                <w:szCs w:val="20"/>
                <w:color w:val="auto"/>
              </w:rPr>
            </w:pPr>
            <w:r>
              <w:rPr>
                <w:rFonts w:ascii="Arial" w:cs="Arial" w:eastAsia="Arial" w:hAnsi="Arial"/>
                <w:sz w:val="18"/>
                <w:szCs w:val="18"/>
                <w:color w:val="auto"/>
              </w:rPr>
              <w:t>instruments</w:t>
            </w:r>
          </w:p>
        </w:tc>
        <w:tc>
          <w:tcPr>
            <w:tcW w:w="140" w:type="dxa"/>
            <w:vAlign w:val="bottom"/>
          </w:tcPr>
          <w:p>
            <w:pPr>
              <w:spacing w:after="0"/>
              <w:rPr>
                <w:sz w:val="20"/>
                <w:szCs w:val="20"/>
                <w:color w:val="auto"/>
              </w:rPr>
            </w:pPr>
          </w:p>
        </w:tc>
        <w:tc>
          <w:tcPr>
            <w:tcW w:w="1760" w:type="dxa"/>
            <w:vAlign w:val="bottom"/>
            <w:gridSpan w:val="2"/>
            <w:vMerge w:val="continue"/>
          </w:tcPr>
          <w:p>
            <w:pPr>
              <w:spacing w:after="0"/>
              <w:rPr>
                <w:sz w:val="20"/>
                <w:szCs w:val="20"/>
                <w:color w:val="auto"/>
              </w:rPr>
            </w:pPr>
          </w:p>
        </w:tc>
        <w:tc>
          <w:tcPr>
            <w:tcW w:w="160" w:type="dxa"/>
            <w:vAlign w:val="bottom"/>
          </w:tcPr>
          <w:p>
            <w:pPr>
              <w:spacing w:after="0"/>
              <w:rPr>
                <w:sz w:val="20"/>
                <w:szCs w:val="20"/>
                <w:color w:val="auto"/>
              </w:rPr>
            </w:pPr>
          </w:p>
        </w:tc>
        <w:tc>
          <w:tcPr>
            <w:tcW w:w="1580" w:type="dxa"/>
            <w:vAlign w:val="bottom"/>
            <w:gridSpan w:val="2"/>
          </w:tcPr>
          <w:p>
            <w:pPr>
              <w:jc w:val="right"/>
              <w:ind w:right="140"/>
              <w:spacing w:after="0"/>
              <w:rPr>
                <w:sz w:val="20"/>
                <w:szCs w:val="20"/>
                <w:color w:val="auto"/>
              </w:rPr>
            </w:pPr>
            <w:r>
              <w:rPr>
                <w:rFonts w:ascii="Arial" w:cs="Arial" w:eastAsia="Arial" w:hAnsi="Arial"/>
                <w:sz w:val="18"/>
                <w:szCs w:val="18"/>
                <w:color w:val="auto"/>
              </w:rPr>
              <w:t>573.0</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74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944.3</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0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44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4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44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60" w:type="dxa"/>
            <w:vAlign w:val="bottom"/>
          </w:tcPr>
          <w:p>
            <w:pPr>
              <w:spacing w:after="0"/>
              <w:rPr>
                <w:sz w:val="20"/>
                <w:szCs w:val="20"/>
                <w:color w:val="auto"/>
              </w:rPr>
            </w:pPr>
            <w:r>
              <w:rPr>
                <w:rFonts w:ascii="Arial" w:cs="Arial" w:eastAsia="Arial" w:hAnsi="Arial"/>
                <w:sz w:val="18"/>
                <w:szCs w:val="18"/>
                <w:color w:val="auto"/>
              </w:rPr>
              <w:t>Total derivative instruments</w:t>
            </w: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7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821.3</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580" w:type="dxa"/>
            <w:vAlign w:val="bottom"/>
            <w:gridSpan w:val="2"/>
          </w:tcPr>
          <w:p>
            <w:pPr>
              <w:jc w:val="right"/>
              <w:ind w:right="140"/>
              <w:spacing w:after="0"/>
              <w:rPr>
                <w:sz w:val="20"/>
                <w:szCs w:val="20"/>
                <w:color w:val="auto"/>
              </w:rPr>
            </w:pPr>
            <w:r>
              <w:rPr>
                <w:rFonts w:ascii="Arial" w:cs="Arial" w:eastAsia="Arial" w:hAnsi="Arial"/>
                <w:sz w:val="18"/>
                <w:szCs w:val="18"/>
                <w:color w:val="auto"/>
              </w:rPr>
              <w:t>661.8</w:t>
            </w:r>
          </w:p>
        </w:tc>
        <w:tc>
          <w:tcPr>
            <w:tcW w:w="2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74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1,263.9</w:t>
            </w: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1,207.3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00" w:hanging="292"/>
        <w:spacing w:after="0"/>
        <w:tabs>
          <w:tab w:leader="none" w:pos="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fair value of derivative assets is reported with other investments on the consolidated statements of financial position.</w:t>
      </w:r>
    </w:p>
    <w:p>
      <w:pPr>
        <w:spacing w:after="0" w:line="23" w:lineRule="exact"/>
        <w:rPr>
          <w:rFonts w:ascii="Arial" w:cs="Arial" w:eastAsia="Arial" w:hAnsi="Arial"/>
          <w:sz w:val="18"/>
          <w:szCs w:val="18"/>
          <w:color w:val="auto"/>
        </w:rPr>
      </w:pPr>
    </w:p>
    <w:p>
      <w:pPr>
        <w:ind w:left="340" w:right="240" w:hanging="332"/>
        <w:spacing w:after="0" w:line="277" w:lineRule="auto"/>
        <w:tabs>
          <w:tab w:leader="none" w:pos="316"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fair value of derivative liabilities is reported with other liabilities on the consolidated statements of financial position, with the exception of certain embedded derivative liabilities. Embedded derivative liabilities with a fair value of $210.3 million and $176.4 million as of September 30, 2015 and December 31, 2014, respectively, are reported with contractholder funds on the consolidated statements of financial position.</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Derivatives Sold</w:t>
      </w:r>
    </w:p>
    <w:p>
      <w:pPr>
        <w:spacing w:after="0" w:line="229" w:lineRule="exact"/>
        <w:rPr>
          <w:sz w:val="20"/>
          <w:szCs w:val="20"/>
          <w:color w:val="auto"/>
        </w:rPr>
      </w:pPr>
    </w:p>
    <w:p>
      <w:pPr>
        <w:jc w:val="both"/>
        <w:ind w:right="100" w:firstLine="648"/>
        <w:spacing w:after="0" w:line="279" w:lineRule="auto"/>
        <w:rPr>
          <w:sz w:val="20"/>
          <w:szCs w:val="20"/>
          <w:color w:val="auto"/>
        </w:rPr>
      </w:pPr>
      <w:r>
        <w:rPr>
          <w:rFonts w:ascii="Arial" w:cs="Arial" w:eastAsia="Arial" w:hAnsi="Arial"/>
          <w:sz w:val="17"/>
          <w:szCs w:val="17"/>
          <w:color w:val="auto"/>
        </w:rPr>
        <w:t>When we sell credit protection, we are exposed to the underlying credit risk similar to purchasing a fixed maturity security instrument. The majority of our credit derivative contracts sold reference a single name or reference security (referred to as “single name credit default swaps”). The remainder of our credit derivatives reference either a basket or index of securities. These instruments are either referenced in an over-the-counter credit derivative transaction, or embedded within an investment structure that has been fully consolidated into our financial statements.</w:t>
      </w:r>
    </w:p>
    <w:p>
      <w:pPr>
        <w:spacing w:after="0" w:line="171" w:lineRule="exact"/>
        <w:rPr>
          <w:sz w:val="20"/>
          <w:szCs w:val="20"/>
          <w:color w:val="auto"/>
        </w:rPr>
      </w:pPr>
    </w:p>
    <w:p>
      <w:pPr>
        <w:ind w:right="40" w:firstLine="648"/>
        <w:spacing w:after="0" w:line="254" w:lineRule="auto"/>
        <w:rPr>
          <w:sz w:val="20"/>
          <w:szCs w:val="20"/>
          <w:color w:val="auto"/>
        </w:rPr>
      </w:pPr>
      <w:r>
        <w:rPr>
          <w:rFonts w:ascii="Arial" w:cs="Arial" w:eastAsia="Arial" w:hAnsi="Arial"/>
          <w:sz w:val="18"/>
          <w:szCs w:val="18"/>
          <w:color w:val="auto"/>
        </w:rPr>
        <w:t>These credit derivative transactions are subject to events of default defined within the terms of the contract, which normally consist of bankruptcy, failure to pay, or modified restructuring of the reference entity and/or issue. If a default event occurs for a reference name or security, we are obligated to pay the counterparty an amount equal to the notional amount of the credit derivative transaction. As a result, our maximum future payment is equal to the notional amount of the credit derivative. In certain cases, we also have purchased credit protection with identical underlyings to certain of our sold protection transactions. The effect of this purchased protection would reduce our total maximum future payments by $0.0 million as of September 30, 2015 and $10.0 million as of December 31, 2014. These purchased credit derivative transactions had a net asset (liability) fair value of $0.0 million as of September 30, 2015 and $(0.1) million as of December 31, 2014. In certain circumstances, our potential loss could also be reduced by any amount recovered in the default proceedings of the underlying credit name.</w:t>
      </w:r>
    </w:p>
    <w:p>
      <w:pPr>
        <w:spacing w:after="0" w:line="192"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We purchased an investment structure with embedded credit features that is fully consolidated into our financial statements. This consolidation results in recognition of the underlying credit derivatives and collateral within the structure, typically high quality fixed maturities that are owned by a special purpose vehicle. These credit derivatives reference several names in a basket structure. In the event of default, the collateral within the structure would typically be liquidated to pay the claims of the credit derivative counterparty.</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64" w:orient="portrait"/>
          <w:cols w:equalWidth="0" w:num="1">
            <w:col w:w="11420"/>
          </w:cols>
          <w:pgMar w:left="240" w:top="140" w:right="239" w:bottom="0" w:gutter="0" w:footer="0" w:header="0"/>
        </w:sectPr>
      </w:pPr>
    </w:p>
    <w:p>
      <w:pPr>
        <w:spacing w:after="0" w:line="200" w:lineRule="exact"/>
        <w:rPr>
          <w:sz w:val="20"/>
          <w:szCs w:val="20"/>
          <w:color w:val="auto"/>
        </w:rPr>
      </w:pPr>
    </w:p>
    <w:p>
      <w:pPr>
        <w:spacing w:after="0" w:line="309" w:lineRule="exact"/>
        <w:rPr>
          <w:sz w:val="20"/>
          <w:szCs w:val="20"/>
          <w:color w:val="auto"/>
        </w:rPr>
      </w:pPr>
    </w:p>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ectPr>
          <w:pgSz w:w="11900" w:h="16864" w:orient="portrait"/>
          <w:cols w:equalWidth="0" w:num="1">
            <w:col w:w="11420"/>
          </w:cols>
          <w:pgMar w:left="240" w:top="140" w:right="239" w:bottom="0" w:gutter="0" w:footer="0" w:header="0"/>
          <w:type w:val="continuous"/>
        </w:sectPr>
      </w:pPr>
    </w:p>
    <w:bookmarkStart w:id="25" w:name="page26"/>
    <w:bookmarkEnd w:id="25"/>
    <w:p>
      <w:pPr>
        <w:spacing w:after="0" w:line="6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The following tables show our credit default swap protection sold by types of contract, types of referenced/underlying asset class and external agency rating for the underlying reference security. The maximum future payments are undiscounted and have not been reduced by the effect of any offsetting transactions, collateral or recourse features described above.</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2420" w:type="dxa"/>
            <w:vAlign w:val="bottom"/>
            <w:tcBorders>
              <w:bottom w:val="single" w:sz="8" w:color="auto"/>
            </w:tcBorders>
            <w:gridSpan w:val="5"/>
          </w:tcPr>
          <w:p>
            <w:pPr>
              <w:jc w:val="center"/>
              <w:ind w:right="1180"/>
              <w:spacing w:after="0"/>
              <w:rPr>
                <w:sz w:val="20"/>
                <w:szCs w:val="20"/>
                <w:color w:val="auto"/>
              </w:rPr>
            </w:pPr>
            <w:r>
              <w:rPr>
                <w:rFonts w:ascii="Arial" w:cs="Arial" w:eastAsia="Arial" w:hAnsi="Arial"/>
                <w:sz w:val="14"/>
                <w:szCs w:val="14"/>
                <w:b w:val="1"/>
                <w:bCs w:val="1"/>
                <w:color w:val="auto"/>
                <w:w w:val="91"/>
              </w:rPr>
              <w:t>September 30, 2015</w:t>
            </w:r>
          </w:p>
        </w:tc>
        <w:tc>
          <w:tcPr>
            <w:tcW w:w="1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360" w:type="dxa"/>
            <w:vAlign w:val="bottom"/>
            <w:gridSpan w:val="2"/>
            <w:vMerge w:val="restart"/>
          </w:tcPr>
          <w:p>
            <w:pPr>
              <w:jc w:val="center"/>
              <w:ind w:right="600"/>
              <w:spacing w:after="0"/>
              <w:rPr>
                <w:sz w:val="20"/>
                <w:szCs w:val="20"/>
                <w:color w:val="auto"/>
              </w:rPr>
            </w:pPr>
            <w:r>
              <w:rPr>
                <w:rFonts w:ascii="Arial" w:cs="Arial" w:eastAsia="Arial" w:hAnsi="Arial"/>
                <w:sz w:val="14"/>
                <w:szCs w:val="14"/>
                <w:b w:val="1"/>
                <w:bCs w:val="1"/>
                <w:color w:val="auto"/>
                <w:w w:val="99"/>
              </w:rPr>
              <w:t>Maximum</w:t>
            </w:r>
          </w:p>
        </w:tc>
        <w:tc>
          <w:tcPr>
            <w:tcW w:w="13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9"/>
              </w:rPr>
              <w:t>Weighted</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60" w:type="dxa"/>
            <w:vAlign w:val="bottom"/>
            <w:vMerge w:val="restart"/>
          </w:tcPr>
          <w:p>
            <w:pPr>
              <w:jc w:val="center"/>
              <w:ind w:left="325"/>
              <w:spacing w:after="0"/>
              <w:rPr>
                <w:sz w:val="20"/>
                <w:szCs w:val="20"/>
                <w:color w:val="auto"/>
              </w:rPr>
            </w:pPr>
            <w:r>
              <w:rPr>
                <w:rFonts w:ascii="Arial" w:cs="Arial" w:eastAsia="Arial" w:hAnsi="Arial"/>
                <w:sz w:val="14"/>
                <w:szCs w:val="14"/>
                <w:b w:val="1"/>
                <w:bCs w:val="1"/>
                <w:color w:val="auto"/>
                <w:w w:val="92"/>
              </w:rPr>
              <w:t>Notional</w:t>
            </w:r>
          </w:p>
        </w:tc>
        <w:tc>
          <w:tcPr>
            <w:tcW w:w="4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80" w:type="dxa"/>
            <w:vAlign w:val="bottom"/>
            <w:vMerge w:val="restart"/>
          </w:tcPr>
          <w:p>
            <w:pPr>
              <w:jc w:val="center"/>
              <w:ind w:left="419"/>
              <w:spacing w:after="0"/>
              <w:rPr>
                <w:sz w:val="20"/>
                <w:szCs w:val="20"/>
                <w:color w:val="auto"/>
              </w:rPr>
            </w:pPr>
            <w:r>
              <w:rPr>
                <w:rFonts w:ascii="Arial" w:cs="Arial" w:eastAsia="Arial" w:hAnsi="Arial"/>
                <w:sz w:val="14"/>
                <w:szCs w:val="14"/>
                <w:b w:val="1"/>
                <w:bCs w:val="1"/>
                <w:color w:val="auto"/>
              </w:rPr>
              <w:t>Fair</w:t>
            </w:r>
          </w:p>
        </w:tc>
        <w:tc>
          <w:tcPr>
            <w:tcW w:w="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4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average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60" w:type="dxa"/>
            <w:vAlign w:val="bottom"/>
            <w:vMerge w:val="continue"/>
          </w:tcPr>
          <w:p>
            <w:pPr>
              <w:spacing w:after="0"/>
              <w:rPr>
                <w:sz w:val="12"/>
                <w:szCs w:val="12"/>
                <w:color w:val="auto"/>
              </w:rPr>
            </w:pPr>
          </w:p>
        </w:tc>
        <w:tc>
          <w:tcPr>
            <w:tcW w:w="4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60" w:type="dxa"/>
            <w:vAlign w:val="bottom"/>
            <w:gridSpan w:val="2"/>
          </w:tcPr>
          <w:p>
            <w:pPr>
              <w:jc w:val="center"/>
              <w:ind w:right="580"/>
              <w:spacing w:after="0" w:line="149" w:lineRule="exact"/>
              <w:rPr>
                <w:sz w:val="20"/>
                <w:szCs w:val="20"/>
                <w:color w:val="auto"/>
              </w:rPr>
            </w:pPr>
            <w:r>
              <w:rPr>
                <w:rFonts w:ascii="Arial" w:cs="Arial" w:eastAsia="Arial" w:hAnsi="Arial"/>
                <w:sz w:val="14"/>
                <w:szCs w:val="14"/>
                <w:b w:val="1"/>
                <w:bCs w:val="1"/>
                <w:color w:val="auto"/>
                <w:w w:val="95"/>
              </w:rPr>
              <w:t>future</w:t>
            </w:r>
          </w:p>
        </w:tc>
        <w:tc>
          <w:tcPr>
            <w:tcW w:w="14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expected life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60" w:type="dxa"/>
            <w:vAlign w:val="bottom"/>
          </w:tcPr>
          <w:p>
            <w:pPr>
              <w:jc w:val="center"/>
              <w:ind w:left="325"/>
              <w:spacing w:after="0"/>
              <w:rPr>
                <w:sz w:val="20"/>
                <w:szCs w:val="20"/>
                <w:color w:val="auto"/>
              </w:rPr>
            </w:pPr>
            <w:r>
              <w:rPr>
                <w:rFonts w:ascii="Arial" w:cs="Arial" w:eastAsia="Arial" w:hAnsi="Arial"/>
                <w:sz w:val="14"/>
                <w:szCs w:val="14"/>
                <w:b w:val="1"/>
                <w:bCs w:val="1"/>
                <w:color w:val="auto"/>
                <w:w w:val="94"/>
              </w:rPr>
              <w:t>amount</w:t>
            </w:r>
          </w:p>
        </w:tc>
        <w:tc>
          <w:tcPr>
            <w:tcW w:w="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80" w:type="dxa"/>
            <w:vAlign w:val="bottom"/>
          </w:tcPr>
          <w:p>
            <w:pPr>
              <w:jc w:val="center"/>
              <w:ind w:left="419"/>
              <w:spacing w:after="0"/>
              <w:rPr>
                <w:sz w:val="20"/>
                <w:szCs w:val="20"/>
                <w:color w:val="auto"/>
              </w:rPr>
            </w:pPr>
            <w:r>
              <w:rPr>
                <w:rFonts w:ascii="Arial" w:cs="Arial" w:eastAsia="Arial" w:hAnsi="Arial"/>
                <w:sz w:val="14"/>
                <w:szCs w:val="14"/>
                <w:b w:val="1"/>
                <w:bCs w:val="1"/>
                <w:color w:val="auto"/>
                <w:w w:val="94"/>
              </w:rPr>
              <w:t>value</w:t>
            </w: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6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8"/>
              </w:rPr>
              <w:t>payments</w:t>
            </w:r>
          </w:p>
        </w:tc>
        <w:tc>
          <w:tcPr>
            <w:tcW w:w="14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(in years)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gridSpan w:val="3"/>
          </w:tcPr>
          <w:p>
            <w:pPr>
              <w:jc w:val="center"/>
              <w:ind w:left="72"/>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0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3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Single name credit default swaps</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Corporate debt</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AAA</w:t>
            </w:r>
          </w:p>
        </w:tc>
        <w:tc>
          <w:tcPr>
            <w:tcW w:w="2380" w:type="dxa"/>
            <w:vAlign w:val="bottom"/>
            <w:gridSpan w:val="2"/>
            <w:shd w:val="clear" w:color="auto" w:fill="CCEEFF"/>
          </w:tcPr>
          <w:p>
            <w:pPr>
              <w:jc w:val="right"/>
              <w:ind w:right="805"/>
              <w:spacing w:after="0"/>
              <w:rPr>
                <w:sz w:val="20"/>
                <w:szCs w:val="20"/>
                <w:color w:val="auto"/>
              </w:rPr>
            </w:pPr>
            <w:r>
              <w:rPr>
                <w:rFonts w:ascii="Arial" w:cs="Arial" w:eastAsia="Arial" w:hAnsi="Arial"/>
                <w:sz w:val="18"/>
                <w:szCs w:val="18"/>
                <w:b w:val="1"/>
                <w:bCs w:val="1"/>
                <w:color w:val="auto"/>
              </w:rPr>
              <w:t>$</w:t>
            </w: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30.0</w:t>
            </w:r>
          </w:p>
        </w:tc>
        <w:tc>
          <w:tcPr>
            <w:tcW w:w="880" w:type="dxa"/>
            <w:vAlign w:val="bottom"/>
            <w:shd w:val="clear" w:color="auto" w:fill="CCEEFF"/>
          </w:tcPr>
          <w:p>
            <w:pPr>
              <w:jc w:val="right"/>
              <w:ind w:right="699"/>
              <w:spacing w:after="0"/>
              <w:rPr>
                <w:sz w:val="20"/>
                <w:szCs w:val="20"/>
                <w:color w:val="auto"/>
              </w:rPr>
            </w:pPr>
            <w:r>
              <w:rPr>
                <w:rFonts w:ascii="Arial" w:cs="Arial" w:eastAsia="Arial" w:hAnsi="Arial"/>
                <w:sz w:val="18"/>
                <w:szCs w:val="18"/>
                <w:b w:val="1"/>
                <w:bCs w:val="1"/>
                <w:color w:val="auto"/>
                <w:w w:val="79"/>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0.8</w:t>
            </w:r>
          </w:p>
        </w:tc>
        <w:tc>
          <w:tcPr>
            <w:tcW w:w="280" w:type="dxa"/>
            <w:vAlign w:val="bottom"/>
            <w:shd w:val="clear" w:color="auto" w:fill="CCEEFF"/>
          </w:tcPr>
          <w:p>
            <w:pPr>
              <w:jc w:val="right"/>
              <w:ind w:right="125"/>
              <w:spacing w:after="0"/>
              <w:rPr>
                <w:sz w:val="20"/>
                <w:szCs w:val="20"/>
                <w:color w:val="auto"/>
              </w:rPr>
            </w:pPr>
            <w:r>
              <w:rPr>
                <w:rFonts w:ascii="Arial" w:cs="Arial" w:eastAsia="Arial" w:hAnsi="Arial"/>
                <w:sz w:val="15"/>
                <w:szCs w:val="15"/>
                <w:b w:val="1"/>
                <w:bCs w:val="1"/>
                <w:color w:val="auto"/>
                <w:w w:val="71"/>
              </w:rPr>
              <w:t>$</w:t>
            </w: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360"/>
              <w:spacing w:after="0"/>
              <w:rPr>
                <w:sz w:val="20"/>
                <w:szCs w:val="20"/>
                <w:color w:val="auto"/>
              </w:rPr>
            </w:pPr>
            <w:r>
              <w:rPr>
                <w:rFonts w:ascii="Arial" w:cs="Arial" w:eastAsia="Arial" w:hAnsi="Arial"/>
                <w:sz w:val="18"/>
                <w:szCs w:val="18"/>
                <w:color w:val="auto"/>
              </w:rPr>
              <w:t>AA</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74.0</w:t>
            </w:r>
          </w:p>
        </w:tc>
        <w:tc>
          <w:tcPr>
            <w:tcW w:w="88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1.2</w:t>
            </w:r>
          </w:p>
        </w:tc>
        <w:tc>
          <w:tcPr>
            <w:tcW w:w="28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74.0</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4"/>
              </w:rPr>
              <w:t>204.5</w:t>
            </w:r>
          </w:p>
        </w:tc>
        <w:tc>
          <w:tcPr>
            <w:tcW w:w="3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2.9</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204.5</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360"/>
              <w:spacing w:after="0"/>
              <w:rPr>
                <w:sz w:val="20"/>
                <w:szCs w:val="20"/>
                <w:color w:val="auto"/>
              </w:rPr>
            </w:pPr>
            <w:r>
              <w:rPr>
                <w:rFonts w:ascii="Arial" w:cs="Arial" w:eastAsia="Arial" w:hAnsi="Arial"/>
                <w:sz w:val="18"/>
                <w:szCs w:val="18"/>
                <w:color w:val="auto"/>
              </w:rPr>
              <w:t>BBB</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b w:val="1"/>
                <w:bCs w:val="1"/>
                <w:color w:val="auto"/>
                <w:w w:val="84"/>
              </w:rPr>
              <w:t>340.0</w:t>
            </w: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(1.3)</w:t>
            </w:r>
          </w:p>
        </w:tc>
        <w:tc>
          <w:tcPr>
            <w:tcW w:w="28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340.0</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BB</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10.0</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(2.1)</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Government/municipalities</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AA</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30.0</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0.6</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Sovereign</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AA</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10.0</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(0.1)</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360"/>
              <w:spacing w:after="0"/>
              <w:rPr>
                <w:sz w:val="20"/>
                <w:szCs w:val="20"/>
                <w:color w:val="auto"/>
              </w:rPr>
            </w:pPr>
            <w:r>
              <w:rPr>
                <w:rFonts w:ascii="Arial" w:cs="Arial" w:eastAsia="Arial" w:hAnsi="Arial"/>
                <w:sz w:val="18"/>
                <w:szCs w:val="18"/>
                <w:color w:val="auto"/>
              </w:rPr>
              <w:t>BBB</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40.0</w:t>
            </w:r>
          </w:p>
        </w:tc>
        <w:tc>
          <w:tcPr>
            <w:tcW w:w="88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(1.1)</w:t>
            </w:r>
          </w:p>
        </w:tc>
        <w:tc>
          <w:tcPr>
            <w:tcW w:w="28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40.0</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single name credit default swaps</w:t>
            </w:r>
          </w:p>
        </w:tc>
        <w:tc>
          <w:tcPr>
            <w:tcW w:w="142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4"/>
              </w:rPr>
              <w:t>738.5</w:t>
            </w:r>
          </w:p>
        </w:tc>
        <w:tc>
          <w:tcPr>
            <w:tcW w:w="30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0.9</w:t>
            </w:r>
          </w:p>
        </w:tc>
        <w:tc>
          <w:tcPr>
            <w:tcW w:w="2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738.5</w:t>
            </w:r>
          </w:p>
        </w:tc>
        <w:tc>
          <w:tcPr>
            <w:tcW w:w="300" w:type="dxa"/>
            <w:vAlign w:val="bottom"/>
            <w:tcBorders>
              <w:top w:val="single" w:sz="8" w:color="CCEEFF"/>
            </w:tcBorders>
            <w:shd w:val="clear" w:color="auto" w:fill="CCEEFF"/>
          </w:tcPr>
          <w:p>
            <w:pPr>
              <w:spacing w:after="0"/>
              <w:rPr>
                <w:sz w:val="18"/>
                <w:szCs w:val="18"/>
                <w:color w:val="auto"/>
              </w:rPr>
            </w:pPr>
          </w:p>
        </w:tc>
        <w:tc>
          <w:tcPr>
            <w:tcW w:w="1460" w:type="dxa"/>
            <w:vAlign w:val="bottom"/>
            <w:tcBorders>
              <w:top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Basket and index credit default swaps</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Corporate debt</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Near default (1)</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4"/>
              </w:rPr>
              <w:t>100.4</w:t>
            </w:r>
          </w:p>
        </w:tc>
        <w:tc>
          <w:tcPr>
            <w:tcW w:w="3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(22.5)</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100.4</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Government/municipalities</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AA</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30.0</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(1.2)</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Structured finance</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AAA</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13.8</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0.1</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13.8</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Total basket and index credit default swaps</w:t>
            </w:r>
          </w:p>
        </w:tc>
        <w:tc>
          <w:tcPr>
            <w:tcW w:w="1420" w:type="dxa"/>
            <w:vAlign w:val="bottom"/>
            <w:tcBorders>
              <w:bottom w:val="single" w:sz="8" w:color="CCEEFF"/>
            </w:tcBorders>
          </w:tcPr>
          <w:p>
            <w:pPr>
              <w:spacing w:after="0"/>
              <w:rPr>
                <w:sz w:val="18"/>
                <w:szCs w:val="18"/>
                <w:color w:val="auto"/>
              </w:rPr>
            </w:pPr>
          </w:p>
        </w:tc>
        <w:tc>
          <w:tcPr>
            <w:tcW w:w="960" w:type="dxa"/>
            <w:vAlign w:val="bottom"/>
            <w:tcBorders>
              <w:top w:val="single" w:sz="8" w:color="auto"/>
              <w:bottom w:val="single" w:sz="8" w:color="auto"/>
            </w:tcBorders>
          </w:tcPr>
          <w:p>
            <w:pPr>
              <w:spacing w:after="0"/>
              <w:rPr>
                <w:sz w:val="18"/>
                <w:szCs w:val="18"/>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84"/>
              </w:rPr>
              <w:t>144.2</w:t>
            </w:r>
          </w:p>
        </w:tc>
        <w:tc>
          <w:tcPr>
            <w:tcW w:w="300" w:type="dxa"/>
            <w:vAlign w:val="bottom"/>
            <w:tcBorders>
              <w:bottom w:val="single" w:sz="8" w:color="CCEEFF"/>
            </w:tcBorders>
          </w:tcPr>
          <w:p>
            <w:pPr>
              <w:spacing w:after="0"/>
              <w:rPr>
                <w:sz w:val="18"/>
                <w:szCs w:val="18"/>
                <w:color w:val="auto"/>
              </w:rPr>
            </w:pPr>
          </w:p>
        </w:tc>
        <w:tc>
          <w:tcPr>
            <w:tcW w:w="880" w:type="dxa"/>
            <w:vAlign w:val="bottom"/>
            <w:tcBorders>
              <w:top w:val="single" w:sz="8" w:color="auto"/>
              <w:bottom w:val="single" w:sz="8" w:color="auto"/>
            </w:tcBorders>
          </w:tcPr>
          <w:p>
            <w:pPr>
              <w:spacing w:after="0"/>
              <w:rPr>
                <w:sz w:val="18"/>
                <w:szCs w:val="18"/>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(23.6)</w:t>
            </w:r>
          </w:p>
        </w:tc>
        <w:tc>
          <w:tcPr>
            <w:tcW w:w="28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144.2</w:t>
            </w:r>
          </w:p>
        </w:tc>
        <w:tc>
          <w:tcPr>
            <w:tcW w:w="300" w:type="dxa"/>
            <w:vAlign w:val="bottom"/>
            <w:tcBorders>
              <w:bottom w:val="single" w:sz="8" w:color="CCEEFF"/>
            </w:tcBorders>
          </w:tcPr>
          <w:p>
            <w:pPr>
              <w:spacing w:after="0"/>
              <w:rPr>
                <w:sz w:val="18"/>
                <w:szCs w:val="18"/>
                <w:color w:val="auto"/>
              </w:rPr>
            </w:pPr>
          </w:p>
        </w:tc>
        <w:tc>
          <w:tcPr>
            <w:tcW w:w="146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b w:val="1"/>
                <w:bCs w:val="1"/>
                <w:color w:val="auto"/>
              </w:rPr>
              <w:t>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credit default swap protection sold</w:t>
            </w:r>
          </w:p>
        </w:tc>
        <w:tc>
          <w:tcPr>
            <w:tcW w:w="142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805"/>
              <w:spacing w:after="0"/>
              <w:rPr>
                <w:sz w:val="20"/>
                <w:szCs w:val="20"/>
                <w:color w:val="auto"/>
              </w:rPr>
            </w:pPr>
            <w:r>
              <w:rPr>
                <w:rFonts w:ascii="Arial" w:cs="Arial" w:eastAsia="Arial" w:hAnsi="Arial"/>
                <w:sz w:val="15"/>
                <w:szCs w:val="15"/>
                <w:b w:val="1"/>
                <w:bCs w:val="1"/>
                <w:color w:val="auto"/>
                <w:w w:val="71"/>
              </w:rPr>
              <w:t>$</w:t>
            </w: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4"/>
              </w:rPr>
              <w:t>882.7</w:t>
            </w:r>
          </w:p>
        </w:tc>
        <w:tc>
          <w:tcPr>
            <w:tcW w:w="30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ind w:right="699"/>
              <w:spacing w:after="0"/>
              <w:rPr>
                <w:sz w:val="20"/>
                <w:szCs w:val="20"/>
                <w:color w:val="auto"/>
              </w:rPr>
            </w:pPr>
            <w:r>
              <w:rPr>
                <w:rFonts w:ascii="Arial" w:cs="Arial" w:eastAsia="Arial" w:hAnsi="Arial"/>
                <w:sz w:val="18"/>
                <w:szCs w:val="18"/>
                <w:b w:val="1"/>
                <w:bCs w:val="1"/>
                <w:color w:val="auto"/>
                <w:w w:val="79"/>
              </w:rPr>
              <w:t>$</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(22.7</w:t>
            </w:r>
          </w:p>
        </w:tc>
        <w:tc>
          <w:tcPr>
            <w:tcW w:w="280" w:type="dxa"/>
            <w:vAlign w:val="bottom"/>
            <w:tcBorders>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b w:val="1"/>
                <w:bCs w:val="1"/>
                <w:color w:val="auto"/>
                <w:w w:val="74"/>
              </w:rPr>
              <w:t>)</w:t>
            </w: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b w:val="1"/>
                <w:bCs w:val="1"/>
                <w:color w:val="auto"/>
                <w:w w:val="71"/>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882.7</w:t>
            </w:r>
          </w:p>
        </w:tc>
        <w:tc>
          <w:tcPr>
            <w:tcW w:w="300" w:type="dxa"/>
            <w:vAlign w:val="bottom"/>
            <w:tcBorders>
              <w:bottom w:val="single" w:sz="8" w:color="CCEEFF"/>
            </w:tcBorders>
            <w:shd w:val="clear" w:color="auto" w:fill="CCEEFF"/>
          </w:tcPr>
          <w:p>
            <w:pPr>
              <w:spacing w:after="0"/>
              <w:rPr>
                <w:sz w:val="19"/>
                <w:szCs w:val="19"/>
                <w:color w:val="auto"/>
              </w:rPr>
            </w:pPr>
          </w:p>
        </w:tc>
        <w:tc>
          <w:tcPr>
            <w:tcW w:w="1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2380" w:type="dxa"/>
            <w:vAlign w:val="bottom"/>
            <w:gridSpan w:val="2"/>
          </w:tcPr>
          <w:p>
            <w:pPr>
              <w:jc w:val="center"/>
              <w:ind w:left="1790"/>
              <w:spacing w:after="0"/>
              <w:rPr>
                <w:sz w:val="20"/>
                <w:szCs w:val="20"/>
                <w:color w:val="auto"/>
              </w:rPr>
            </w:pPr>
            <w:r>
              <w:rPr>
                <w:rFonts w:ascii="Arial" w:cs="Arial" w:eastAsia="Arial" w:hAnsi="Arial"/>
                <w:sz w:val="18"/>
                <w:szCs w:val="18"/>
                <w:color w:val="auto"/>
                <w:w w:val="89"/>
              </w:rPr>
              <w:t>35</w:t>
            </w: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2300" w:type="dxa"/>
            <w:vAlign w:val="bottom"/>
            <w:tcBorders>
              <w:bottom w:val="single" w:sz="8" w:color="808080"/>
            </w:tcBorders>
          </w:tcPr>
          <w:p>
            <w:pPr>
              <w:spacing w:after="0"/>
              <w:rPr>
                <w:sz w:val="11"/>
                <w:szCs w:val="11"/>
                <w:color w:val="auto"/>
              </w:rPr>
            </w:pPr>
          </w:p>
        </w:tc>
        <w:tc>
          <w:tcPr>
            <w:tcW w:w="142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4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3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358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14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2300" w:type="dxa"/>
            <w:vAlign w:val="bottom"/>
          </w:tcPr>
          <w:p>
            <w:pPr>
              <w:spacing w:after="0"/>
              <w:rPr>
                <w:sz w:val="24"/>
                <w:szCs w:val="24"/>
                <w:color w:val="auto"/>
              </w:rPr>
            </w:pPr>
          </w:p>
        </w:tc>
        <w:tc>
          <w:tcPr>
            <w:tcW w:w="3960" w:type="dxa"/>
            <w:vAlign w:val="bottom"/>
            <w:gridSpan w:val="5"/>
          </w:tcPr>
          <w:p>
            <w:pPr>
              <w:jc w:val="center"/>
              <w:ind w:left="210"/>
              <w:spacing w:after="0"/>
              <w:rPr>
                <w:sz w:val="20"/>
                <w:szCs w:val="20"/>
                <w:color w:val="auto"/>
              </w:rPr>
            </w:pPr>
            <w:r>
              <w:rPr>
                <w:rFonts w:ascii="Arial" w:cs="Arial" w:eastAsia="Arial" w:hAnsi="Arial"/>
                <w:sz w:val="18"/>
                <w:szCs w:val="18"/>
                <w:b w:val="1"/>
                <w:bCs w:val="1"/>
                <w:color w:val="auto"/>
                <w:w w:val="93"/>
              </w:rPr>
              <w:t>Principal Financial Group, Inc.</w:t>
            </w: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3960" w:type="dxa"/>
            <w:vAlign w:val="bottom"/>
            <w:gridSpan w:val="5"/>
          </w:tcPr>
          <w:p>
            <w:pPr>
              <w:jc w:val="center"/>
              <w:ind w:left="21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3080" w:type="dxa"/>
            <w:vAlign w:val="bottom"/>
            <w:gridSpan w:val="4"/>
          </w:tcPr>
          <w:p>
            <w:pPr>
              <w:jc w:val="center"/>
              <w:ind w:left="1090"/>
              <w:spacing w:after="0"/>
              <w:rPr>
                <w:sz w:val="20"/>
                <w:szCs w:val="20"/>
                <w:color w:val="auto"/>
              </w:rPr>
            </w:pPr>
            <w:r>
              <w:rPr>
                <w:rFonts w:ascii="Arial" w:cs="Arial" w:eastAsia="Arial" w:hAnsi="Arial"/>
                <w:sz w:val="18"/>
                <w:szCs w:val="18"/>
                <w:b w:val="1"/>
                <w:bCs w:val="1"/>
                <w:color w:val="auto"/>
                <w:w w:val="89"/>
              </w:rPr>
              <w:t>September 30, 2015</w:t>
            </w: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660" w:type="dxa"/>
            <w:vAlign w:val="bottom"/>
            <w:gridSpan w:val="3"/>
          </w:tcPr>
          <w:p>
            <w:pPr>
              <w:jc w:val="center"/>
              <w:ind w:right="240"/>
              <w:spacing w:after="0"/>
              <w:rPr>
                <w:sz w:val="20"/>
                <w:szCs w:val="20"/>
                <w:color w:val="auto"/>
              </w:rPr>
            </w:pPr>
            <w:r>
              <w:rPr>
                <w:rFonts w:ascii="Arial" w:cs="Arial" w:eastAsia="Arial" w:hAnsi="Arial"/>
                <w:sz w:val="18"/>
                <w:szCs w:val="18"/>
                <w:b w:val="1"/>
                <w:bCs w:val="1"/>
                <w:color w:val="auto"/>
                <w:w w:val="93"/>
              </w:rPr>
              <w:t>(Unaudited)</w:t>
            </w:r>
          </w:p>
        </w:tc>
        <w:tc>
          <w:tcPr>
            <w:tcW w:w="8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420" w:type="dxa"/>
            <w:vAlign w:val="bottom"/>
            <w:tcBorders>
              <w:bottom w:val="single" w:sz="8" w:color="auto"/>
            </w:tcBorders>
            <w:gridSpan w:val="5"/>
          </w:tcPr>
          <w:p>
            <w:pPr>
              <w:jc w:val="center"/>
              <w:ind w:right="1180"/>
              <w:spacing w:after="0"/>
              <w:rPr>
                <w:sz w:val="20"/>
                <w:szCs w:val="20"/>
                <w:color w:val="auto"/>
              </w:rPr>
            </w:pPr>
            <w:r>
              <w:rPr>
                <w:rFonts w:ascii="Arial" w:cs="Arial" w:eastAsia="Arial" w:hAnsi="Arial"/>
                <w:sz w:val="14"/>
                <w:szCs w:val="14"/>
                <w:b w:val="1"/>
                <w:bCs w:val="1"/>
                <w:color w:val="auto"/>
                <w:w w:val="91"/>
              </w:rPr>
              <w:t>December 31, 2014</w:t>
            </w:r>
          </w:p>
        </w:tc>
        <w:tc>
          <w:tcPr>
            <w:tcW w:w="13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360" w:type="dxa"/>
            <w:vAlign w:val="bottom"/>
            <w:gridSpan w:val="2"/>
            <w:vMerge w:val="restart"/>
          </w:tcPr>
          <w:p>
            <w:pPr>
              <w:jc w:val="center"/>
              <w:ind w:right="600"/>
              <w:spacing w:after="0"/>
              <w:rPr>
                <w:sz w:val="20"/>
                <w:szCs w:val="20"/>
                <w:color w:val="auto"/>
              </w:rPr>
            </w:pPr>
            <w:r>
              <w:rPr>
                <w:rFonts w:ascii="Arial" w:cs="Arial" w:eastAsia="Arial" w:hAnsi="Arial"/>
                <w:sz w:val="14"/>
                <w:szCs w:val="14"/>
                <w:b w:val="1"/>
                <w:bCs w:val="1"/>
                <w:color w:val="auto"/>
                <w:w w:val="99"/>
              </w:rPr>
              <w:t>Maximum</w:t>
            </w:r>
          </w:p>
        </w:tc>
        <w:tc>
          <w:tcPr>
            <w:tcW w:w="13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9"/>
              </w:rPr>
              <w:t>Weighted</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60" w:type="dxa"/>
            <w:vAlign w:val="bottom"/>
            <w:vMerge w:val="restart"/>
          </w:tcPr>
          <w:p>
            <w:pPr>
              <w:jc w:val="center"/>
              <w:ind w:left="325"/>
              <w:spacing w:after="0"/>
              <w:rPr>
                <w:sz w:val="20"/>
                <w:szCs w:val="20"/>
                <w:color w:val="auto"/>
              </w:rPr>
            </w:pPr>
            <w:r>
              <w:rPr>
                <w:rFonts w:ascii="Arial" w:cs="Arial" w:eastAsia="Arial" w:hAnsi="Arial"/>
                <w:sz w:val="14"/>
                <w:szCs w:val="14"/>
                <w:b w:val="1"/>
                <w:bCs w:val="1"/>
                <w:color w:val="auto"/>
                <w:w w:val="92"/>
              </w:rPr>
              <w:t>Notional</w:t>
            </w:r>
          </w:p>
        </w:tc>
        <w:tc>
          <w:tcPr>
            <w:tcW w:w="4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80" w:type="dxa"/>
            <w:vAlign w:val="bottom"/>
            <w:vMerge w:val="restart"/>
          </w:tcPr>
          <w:p>
            <w:pPr>
              <w:jc w:val="center"/>
              <w:ind w:left="419"/>
              <w:spacing w:after="0"/>
              <w:rPr>
                <w:sz w:val="20"/>
                <w:szCs w:val="20"/>
                <w:color w:val="auto"/>
              </w:rPr>
            </w:pPr>
            <w:r>
              <w:rPr>
                <w:rFonts w:ascii="Arial" w:cs="Arial" w:eastAsia="Arial" w:hAnsi="Arial"/>
                <w:sz w:val="14"/>
                <w:szCs w:val="14"/>
                <w:b w:val="1"/>
                <w:bCs w:val="1"/>
                <w:color w:val="auto"/>
              </w:rPr>
              <w:t>Fair</w:t>
            </w:r>
          </w:p>
        </w:tc>
        <w:tc>
          <w:tcPr>
            <w:tcW w:w="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4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average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60" w:type="dxa"/>
            <w:vAlign w:val="bottom"/>
            <w:vMerge w:val="continue"/>
          </w:tcPr>
          <w:p>
            <w:pPr>
              <w:spacing w:after="0"/>
              <w:rPr>
                <w:sz w:val="12"/>
                <w:szCs w:val="12"/>
                <w:color w:val="auto"/>
              </w:rPr>
            </w:pPr>
          </w:p>
        </w:tc>
        <w:tc>
          <w:tcPr>
            <w:tcW w:w="4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60" w:type="dxa"/>
            <w:vAlign w:val="bottom"/>
            <w:gridSpan w:val="2"/>
          </w:tcPr>
          <w:p>
            <w:pPr>
              <w:jc w:val="center"/>
              <w:ind w:right="580"/>
              <w:spacing w:after="0" w:line="149" w:lineRule="exact"/>
              <w:rPr>
                <w:sz w:val="20"/>
                <w:szCs w:val="20"/>
                <w:color w:val="auto"/>
              </w:rPr>
            </w:pPr>
            <w:r>
              <w:rPr>
                <w:rFonts w:ascii="Arial" w:cs="Arial" w:eastAsia="Arial" w:hAnsi="Arial"/>
                <w:sz w:val="14"/>
                <w:szCs w:val="14"/>
                <w:b w:val="1"/>
                <w:bCs w:val="1"/>
                <w:color w:val="auto"/>
                <w:w w:val="95"/>
              </w:rPr>
              <w:t>future</w:t>
            </w:r>
          </w:p>
        </w:tc>
        <w:tc>
          <w:tcPr>
            <w:tcW w:w="14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expected life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60" w:type="dxa"/>
            <w:vAlign w:val="bottom"/>
          </w:tcPr>
          <w:p>
            <w:pPr>
              <w:jc w:val="center"/>
              <w:ind w:left="325"/>
              <w:spacing w:after="0"/>
              <w:rPr>
                <w:sz w:val="20"/>
                <w:szCs w:val="20"/>
                <w:color w:val="auto"/>
              </w:rPr>
            </w:pPr>
            <w:r>
              <w:rPr>
                <w:rFonts w:ascii="Arial" w:cs="Arial" w:eastAsia="Arial" w:hAnsi="Arial"/>
                <w:sz w:val="14"/>
                <w:szCs w:val="14"/>
                <w:b w:val="1"/>
                <w:bCs w:val="1"/>
                <w:color w:val="auto"/>
                <w:w w:val="94"/>
              </w:rPr>
              <w:t>amount</w:t>
            </w:r>
          </w:p>
        </w:tc>
        <w:tc>
          <w:tcPr>
            <w:tcW w:w="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80" w:type="dxa"/>
            <w:vAlign w:val="bottom"/>
          </w:tcPr>
          <w:p>
            <w:pPr>
              <w:jc w:val="center"/>
              <w:ind w:left="419"/>
              <w:spacing w:after="0"/>
              <w:rPr>
                <w:sz w:val="20"/>
                <w:szCs w:val="20"/>
                <w:color w:val="auto"/>
              </w:rPr>
            </w:pPr>
            <w:r>
              <w:rPr>
                <w:rFonts w:ascii="Arial" w:cs="Arial" w:eastAsia="Arial" w:hAnsi="Arial"/>
                <w:sz w:val="14"/>
                <w:szCs w:val="14"/>
                <w:b w:val="1"/>
                <w:bCs w:val="1"/>
                <w:color w:val="auto"/>
                <w:w w:val="94"/>
              </w:rPr>
              <w:t>value</w:t>
            </w: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6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8"/>
              </w:rPr>
              <w:t>payments</w:t>
            </w:r>
          </w:p>
        </w:tc>
        <w:tc>
          <w:tcPr>
            <w:tcW w:w="14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(in years)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gridSpan w:val="3"/>
          </w:tcPr>
          <w:p>
            <w:pPr>
              <w:jc w:val="center"/>
              <w:ind w:left="72"/>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0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3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Single name credit default swaps</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Corporate debt</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AAA</w:t>
            </w:r>
          </w:p>
        </w:tc>
        <w:tc>
          <w:tcPr>
            <w:tcW w:w="2380" w:type="dxa"/>
            <w:vAlign w:val="bottom"/>
            <w:gridSpan w:val="2"/>
            <w:shd w:val="clear" w:color="auto" w:fill="CCEEFF"/>
          </w:tcPr>
          <w:p>
            <w:pPr>
              <w:jc w:val="right"/>
              <w:ind w:right="805"/>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30.0</w:t>
            </w:r>
          </w:p>
        </w:tc>
        <w:tc>
          <w:tcPr>
            <w:tcW w:w="880" w:type="dxa"/>
            <w:vAlign w:val="bottom"/>
            <w:shd w:val="clear" w:color="auto" w:fill="CCEEFF"/>
          </w:tcPr>
          <w:p>
            <w:pPr>
              <w:jc w:val="right"/>
              <w:ind w:right="699"/>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w:t>
            </w:r>
          </w:p>
        </w:tc>
        <w:tc>
          <w:tcPr>
            <w:tcW w:w="28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360"/>
              <w:spacing w:after="0"/>
              <w:rPr>
                <w:sz w:val="20"/>
                <w:szCs w:val="20"/>
                <w:color w:val="auto"/>
              </w:rPr>
            </w:pPr>
            <w:r>
              <w:rPr>
                <w:rFonts w:ascii="Arial" w:cs="Arial" w:eastAsia="Arial" w:hAnsi="Arial"/>
                <w:sz w:val="18"/>
                <w:szCs w:val="18"/>
                <w:color w:val="auto"/>
              </w:rPr>
              <w:t>AA</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79.0</w:t>
            </w:r>
          </w:p>
        </w:tc>
        <w:tc>
          <w:tcPr>
            <w:tcW w:w="88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1.6</w:t>
            </w:r>
          </w:p>
        </w:tc>
        <w:tc>
          <w:tcPr>
            <w:tcW w:w="28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color w:val="auto"/>
              </w:rPr>
              <w:t>79.0</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3.3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254.5</w:t>
            </w:r>
          </w:p>
        </w:tc>
        <w:tc>
          <w:tcPr>
            <w:tcW w:w="3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254.5</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360"/>
              <w:spacing w:after="0"/>
              <w:rPr>
                <w:sz w:val="20"/>
                <w:szCs w:val="20"/>
                <w:color w:val="auto"/>
              </w:rPr>
            </w:pPr>
            <w:r>
              <w:rPr>
                <w:rFonts w:ascii="Arial" w:cs="Arial" w:eastAsia="Arial" w:hAnsi="Arial"/>
                <w:sz w:val="18"/>
                <w:szCs w:val="18"/>
                <w:color w:val="auto"/>
              </w:rPr>
              <w:t>BBB</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345.0</w:t>
            </w: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1.2</w:t>
            </w:r>
          </w:p>
        </w:tc>
        <w:tc>
          <w:tcPr>
            <w:tcW w:w="28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color w:val="auto"/>
              </w:rPr>
              <w:t>345.0</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3.6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BB</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10.0</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0.9</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Government/municipalities</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AA</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30.0</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0.6</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Sovereign</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AA</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10.0</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0.1</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360"/>
              <w:spacing w:after="0"/>
              <w:rPr>
                <w:sz w:val="20"/>
                <w:szCs w:val="20"/>
                <w:color w:val="auto"/>
              </w:rPr>
            </w:pPr>
            <w:r>
              <w:rPr>
                <w:rFonts w:ascii="Arial" w:cs="Arial" w:eastAsia="Arial" w:hAnsi="Arial"/>
                <w:sz w:val="18"/>
                <w:szCs w:val="18"/>
                <w:color w:val="auto"/>
              </w:rPr>
              <w:t>BBB</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40.0</w:t>
            </w:r>
          </w:p>
        </w:tc>
        <w:tc>
          <w:tcPr>
            <w:tcW w:w="88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(0.1)</w:t>
            </w:r>
          </w:p>
        </w:tc>
        <w:tc>
          <w:tcPr>
            <w:tcW w:w="28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color w:val="auto"/>
              </w:rPr>
              <w:t>40.0</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single name credit default swaps</w:t>
            </w:r>
          </w:p>
        </w:tc>
        <w:tc>
          <w:tcPr>
            <w:tcW w:w="142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798.5</w:t>
            </w:r>
          </w:p>
        </w:tc>
        <w:tc>
          <w:tcPr>
            <w:tcW w:w="30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w:t>
            </w:r>
          </w:p>
        </w:tc>
        <w:tc>
          <w:tcPr>
            <w:tcW w:w="2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798.5</w:t>
            </w:r>
          </w:p>
        </w:tc>
        <w:tc>
          <w:tcPr>
            <w:tcW w:w="300" w:type="dxa"/>
            <w:vAlign w:val="bottom"/>
            <w:tcBorders>
              <w:top w:val="single" w:sz="8" w:color="CCEEFF"/>
            </w:tcBorders>
            <w:shd w:val="clear" w:color="auto" w:fill="CCEEFF"/>
          </w:tcPr>
          <w:p>
            <w:pPr>
              <w:spacing w:after="0"/>
              <w:rPr>
                <w:sz w:val="18"/>
                <w:szCs w:val="18"/>
                <w:color w:val="auto"/>
              </w:rPr>
            </w:pPr>
          </w:p>
        </w:tc>
        <w:tc>
          <w:tcPr>
            <w:tcW w:w="1460" w:type="dxa"/>
            <w:vAlign w:val="bottom"/>
            <w:tcBorders>
              <w:top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Basket and index credit default swaps</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Corporate debt</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Near default (1)</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100.4</w:t>
            </w:r>
          </w:p>
        </w:tc>
        <w:tc>
          <w:tcPr>
            <w:tcW w:w="3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(19.1)</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100.4</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Government/municipalities</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AA</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30.0</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30.0</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Structured finance</w:t>
            </w:r>
          </w:p>
        </w:tc>
        <w:tc>
          <w:tcPr>
            <w:tcW w:w="1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BBB</w:t>
            </w:r>
          </w:p>
        </w:tc>
        <w:tc>
          <w:tcPr>
            <w:tcW w:w="1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16.9</w:t>
            </w:r>
          </w:p>
        </w:tc>
        <w:tc>
          <w:tcPr>
            <w:tcW w:w="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0.1</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16.9</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Total basket and index credit default swaps</w:t>
            </w:r>
          </w:p>
        </w:tc>
        <w:tc>
          <w:tcPr>
            <w:tcW w:w="1420" w:type="dxa"/>
            <w:vAlign w:val="bottom"/>
            <w:tcBorders>
              <w:bottom w:val="single" w:sz="8" w:color="CCEEFF"/>
            </w:tcBorders>
          </w:tcPr>
          <w:p>
            <w:pPr>
              <w:spacing w:after="0"/>
              <w:rPr>
                <w:sz w:val="18"/>
                <w:szCs w:val="18"/>
                <w:color w:val="auto"/>
              </w:rPr>
            </w:pPr>
          </w:p>
        </w:tc>
        <w:tc>
          <w:tcPr>
            <w:tcW w:w="960" w:type="dxa"/>
            <w:vAlign w:val="bottom"/>
            <w:tcBorders>
              <w:top w:val="single" w:sz="8" w:color="auto"/>
              <w:bottom w:val="single" w:sz="8" w:color="auto"/>
            </w:tcBorders>
          </w:tcPr>
          <w:p>
            <w:pPr>
              <w:spacing w:after="0"/>
              <w:rPr>
                <w:sz w:val="18"/>
                <w:szCs w:val="18"/>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147.3</w:t>
            </w:r>
          </w:p>
        </w:tc>
        <w:tc>
          <w:tcPr>
            <w:tcW w:w="300" w:type="dxa"/>
            <w:vAlign w:val="bottom"/>
            <w:tcBorders>
              <w:bottom w:val="single" w:sz="8" w:color="CCEEFF"/>
            </w:tcBorders>
          </w:tcPr>
          <w:p>
            <w:pPr>
              <w:spacing w:after="0"/>
              <w:rPr>
                <w:sz w:val="18"/>
                <w:szCs w:val="18"/>
                <w:color w:val="auto"/>
              </w:rPr>
            </w:pPr>
          </w:p>
        </w:tc>
        <w:tc>
          <w:tcPr>
            <w:tcW w:w="880" w:type="dxa"/>
            <w:vAlign w:val="bottom"/>
            <w:tcBorders>
              <w:top w:val="single" w:sz="8" w:color="auto"/>
              <w:bottom w:val="single" w:sz="8" w:color="auto"/>
            </w:tcBorders>
          </w:tcPr>
          <w:p>
            <w:pPr>
              <w:spacing w:after="0"/>
              <w:rPr>
                <w:sz w:val="18"/>
                <w:szCs w:val="18"/>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(20.8)</w:t>
            </w:r>
          </w:p>
        </w:tc>
        <w:tc>
          <w:tcPr>
            <w:tcW w:w="28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147.3</w:t>
            </w:r>
          </w:p>
        </w:tc>
        <w:tc>
          <w:tcPr>
            <w:tcW w:w="300" w:type="dxa"/>
            <w:vAlign w:val="bottom"/>
            <w:tcBorders>
              <w:bottom w:val="single" w:sz="8" w:color="CCEEFF"/>
            </w:tcBorders>
          </w:tcPr>
          <w:p>
            <w:pPr>
              <w:spacing w:after="0"/>
              <w:rPr>
                <w:sz w:val="18"/>
                <w:szCs w:val="18"/>
                <w:color w:val="auto"/>
              </w:rPr>
            </w:pPr>
          </w:p>
        </w:tc>
        <w:tc>
          <w:tcPr>
            <w:tcW w:w="146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credit default swap protection sold</w:t>
            </w:r>
          </w:p>
        </w:tc>
        <w:tc>
          <w:tcPr>
            <w:tcW w:w="142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805"/>
              <w:spacing w:after="0"/>
              <w:rPr>
                <w:sz w:val="20"/>
                <w:szCs w:val="20"/>
                <w:color w:val="auto"/>
              </w:rPr>
            </w:pPr>
            <w:r>
              <w:rPr>
                <w:rFonts w:ascii="Arial" w:cs="Arial" w:eastAsia="Arial" w:hAnsi="Arial"/>
                <w:sz w:val="15"/>
                <w:szCs w:val="15"/>
                <w:color w:val="auto"/>
                <w:w w:val="71"/>
              </w:rPr>
              <w:t>$</w:t>
            </w: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945.8</w:t>
            </w:r>
          </w:p>
        </w:tc>
        <w:tc>
          <w:tcPr>
            <w:tcW w:w="30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ind w:right="699"/>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(12.2</w:t>
            </w:r>
          </w:p>
        </w:tc>
        <w:tc>
          <w:tcPr>
            <w:tcW w:w="280" w:type="dxa"/>
            <w:vAlign w:val="bottom"/>
            <w:tcBorders>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w w:val="74"/>
              </w:rPr>
              <w:t>)</w:t>
            </w: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945.8</w:t>
            </w:r>
          </w:p>
        </w:tc>
        <w:tc>
          <w:tcPr>
            <w:tcW w:w="300" w:type="dxa"/>
            <w:vAlign w:val="bottom"/>
            <w:tcBorders>
              <w:bottom w:val="single" w:sz="8" w:color="CCEEFF"/>
            </w:tcBorders>
            <w:shd w:val="clear" w:color="auto" w:fill="CCEEFF"/>
          </w:tcPr>
          <w:p>
            <w:pPr>
              <w:spacing w:after="0"/>
              <w:rPr>
                <w:sz w:val="19"/>
                <w:szCs w:val="19"/>
                <w:color w:val="auto"/>
              </w:rPr>
            </w:pPr>
          </w:p>
        </w:tc>
        <w:tc>
          <w:tcPr>
            <w:tcW w:w="1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-5002530</wp:posOffset>
            </wp:positionV>
            <wp:extent cx="12700" cy="298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-5002530</wp:posOffset>
            </wp:positionV>
            <wp:extent cx="12700" cy="298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900" w:orient="portrait"/>
          <w:cols w:equalWidth="0" w:num="1">
            <w:col w:w="11460"/>
          </w:cols>
          <w:pgMar w:left="240" w:top="337" w:right="199" w:bottom="0" w:gutter="0" w:footer="0" w:header="0"/>
        </w:sectPr>
      </w:pPr>
    </w:p>
    <w:bookmarkStart w:id="26" w:name="page27"/>
    <w:bookmarkEnd w:id="26"/>
    <w:p>
      <w:pPr>
        <w:ind w:left="340" w:right="240" w:hanging="332"/>
        <w:spacing w:after="0" w:line="277" w:lineRule="auto"/>
        <w:tabs>
          <w:tab w:leader="none" w:pos="347" w:val="left"/>
        </w:tabs>
        <w:numPr>
          <w:ilvl w:val="0"/>
          <w:numId w:val="1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157480</wp:posOffset>
            </wp:positionH>
            <wp:positionV relativeFrom="page">
              <wp:posOffset>294640</wp:posOffset>
            </wp:positionV>
            <wp:extent cx="1826895"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826895" cy="8890"/>
                    </a:xfrm>
                    <a:prstGeom prst="rect">
                      <a:avLst/>
                    </a:prstGeom>
                    <a:noFill/>
                  </pic:spPr>
                </pic:pic>
              </a:graphicData>
            </a:graphic>
          </wp:anchor>
        </w:drawing>
        <w:t>Includes $78.0 million as of both September 30, 2015 and December 31, 2014, notional of derivatives in consolidated collateralized private investment vehicle VIEs where the credit risk is borne by third party investors.</w:t>
      </w:r>
    </w:p>
    <w:p>
      <w:pPr>
        <w:spacing w:after="0" w:line="170" w:lineRule="exact"/>
        <w:rPr>
          <w:sz w:val="20"/>
          <w:szCs w:val="20"/>
          <w:color w:val="auto"/>
        </w:rPr>
      </w:pPr>
    </w:p>
    <w:p>
      <w:pPr>
        <w:ind w:right="120" w:firstLine="648"/>
        <w:spacing w:after="0" w:line="297" w:lineRule="auto"/>
        <w:rPr>
          <w:sz w:val="20"/>
          <w:szCs w:val="20"/>
          <w:color w:val="auto"/>
        </w:rPr>
      </w:pPr>
      <w:r>
        <w:rPr>
          <w:rFonts w:ascii="Arial" w:cs="Arial" w:eastAsia="Arial" w:hAnsi="Arial"/>
          <w:sz w:val="16"/>
          <w:szCs w:val="16"/>
          <w:color w:val="auto"/>
        </w:rPr>
        <w:t>We also have invested in fixed maturities classified as trading that contain credit default swaps. These securities are subject to the credit risk of the issuer, normally a special purpose vehicle, which consists of the underlying credit default swaps and high quality fixed maturities that serve as collateral. A default event occurs if the cumulative losses exceed a specified attachment point, which is typically not the first loss of the portfolio. If a default event occurs that exceeds the specified attachment point, our investment may not be fully returned. We would have no future potential payments under these investments. The following tables show, by the types of referenced/underlying asset class and external rating, our fixed maturities with embedded credit derivatives.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3"/>
          </w:tcPr>
          <w:p>
            <w:pPr>
              <w:jc w:val="center"/>
              <w:ind w:right="40"/>
              <w:spacing w:after="0"/>
              <w:rPr>
                <w:sz w:val="20"/>
                <w:szCs w:val="20"/>
                <w:color w:val="auto"/>
              </w:rPr>
            </w:pPr>
            <w:r>
              <w:rPr>
                <w:rFonts w:ascii="Arial" w:cs="Arial" w:eastAsia="Arial" w:hAnsi="Arial"/>
                <w:sz w:val="14"/>
                <w:szCs w:val="14"/>
                <w:b w:val="1"/>
                <w:bCs w:val="1"/>
                <w:color w:val="auto"/>
                <w:w w:val="91"/>
              </w:rPr>
              <w:t>September 30, 2015</w:t>
            </w:r>
          </w:p>
        </w:tc>
        <w:tc>
          <w:tcPr>
            <w:tcW w:w="16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340" w:type="dxa"/>
            <w:vAlign w:val="bottom"/>
          </w:tcPr>
          <w:p>
            <w:pPr>
              <w:spacing w:after="0"/>
              <w:rPr>
                <w:sz w:val="10"/>
                <w:szCs w:val="10"/>
                <w:color w:val="auto"/>
              </w:rPr>
            </w:pPr>
          </w:p>
        </w:tc>
        <w:tc>
          <w:tcPr>
            <w:tcW w:w="30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40" w:type="dxa"/>
            <w:vAlign w:val="bottom"/>
          </w:tcPr>
          <w:p>
            <w:pPr>
              <w:jc w:val="center"/>
              <w:ind w:left="177"/>
              <w:spacing w:after="0" w:line="119" w:lineRule="exact"/>
              <w:rPr>
                <w:sz w:val="20"/>
                <w:szCs w:val="20"/>
                <w:color w:val="auto"/>
              </w:rPr>
            </w:pPr>
            <w:r>
              <w:rPr>
                <w:rFonts w:ascii="Arial" w:cs="Arial" w:eastAsia="Arial" w:hAnsi="Arial"/>
                <w:sz w:val="13"/>
                <w:szCs w:val="13"/>
                <w:b w:val="1"/>
                <w:bCs w:val="1"/>
                <w:color w:val="auto"/>
                <w:w w:val="99"/>
              </w:rPr>
              <w:t>Weighted</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360" w:type="dxa"/>
            <w:vAlign w:val="bottom"/>
            <w:gridSpan w:val="2"/>
            <w:vMerge w:val="restart"/>
          </w:tcPr>
          <w:p>
            <w:pPr>
              <w:jc w:val="center"/>
              <w:ind w:right="620"/>
              <w:spacing w:after="0"/>
              <w:rPr>
                <w:sz w:val="20"/>
                <w:szCs w:val="20"/>
                <w:color w:val="auto"/>
              </w:rPr>
            </w:pPr>
            <w:r>
              <w:rPr>
                <w:rFonts w:ascii="Arial" w:cs="Arial" w:eastAsia="Arial" w:hAnsi="Arial"/>
                <w:sz w:val="14"/>
                <w:szCs w:val="14"/>
                <w:b w:val="1"/>
                <w:bCs w:val="1"/>
                <w:color w:val="auto"/>
                <w:w w:val="96"/>
              </w:rPr>
              <w:t>Amortized</w:t>
            </w:r>
          </w:p>
        </w:tc>
        <w:tc>
          <w:tcPr>
            <w:tcW w:w="180" w:type="dxa"/>
            <w:vAlign w:val="bottom"/>
          </w:tcPr>
          <w:p>
            <w:pPr>
              <w:spacing w:after="0"/>
              <w:rPr>
                <w:sz w:val="12"/>
                <w:szCs w:val="12"/>
                <w:color w:val="auto"/>
              </w:rPr>
            </w:pPr>
          </w:p>
        </w:tc>
        <w:tc>
          <w:tcPr>
            <w:tcW w:w="118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rPr>
              <w:t>Carrying</w:t>
            </w:r>
          </w:p>
        </w:tc>
        <w:tc>
          <w:tcPr>
            <w:tcW w:w="1740" w:type="dxa"/>
            <w:vAlign w:val="bottom"/>
            <w:gridSpan w:val="2"/>
          </w:tcPr>
          <w:p>
            <w:pPr>
              <w:jc w:val="center"/>
              <w:ind w:left="77"/>
              <w:spacing w:after="0" w:line="149" w:lineRule="exact"/>
              <w:rPr>
                <w:sz w:val="20"/>
                <w:szCs w:val="20"/>
                <w:color w:val="auto"/>
              </w:rPr>
            </w:pPr>
            <w:r>
              <w:rPr>
                <w:rFonts w:ascii="Arial" w:cs="Arial" w:eastAsia="Arial" w:hAnsi="Arial"/>
                <w:sz w:val="14"/>
                <w:szCs w:val="14"/>
                <w:b w:val="1"/>
                <w:bCs w:val="1"/>
                <w:color w:val="auto"/>
                <w:w w:val="86"/>
              </w:rPr>
              <w:t>average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740" w:type="dxa"/>
            <w:vAlign w:val="bottom"/>
            <w:gridSpan w:val="2"/>
          </w:tcPr>
          <w:p>
            <w:pPr>
              <w:jc w:val="center"/>
              <w:ind w:left="77"/>
              <w:spacing w:after="0" w:line="149" w:lineRule="exact"/>
              <w:rPr>
                <w:sz w:val="20"/>
                <w:szCs w:val="20"/>
                <w:color w:val="auto"/>
              </w:rPr>
            </w:pPr>
            <w:r>
              <w:rPr>
                <w:rFonts w:ascii="Arial" w:cs="Arial" w:eastAsia="Arial" w:hAnsi="Arial"/>
                <w:sz w:val="14"/>
                <w:szCs w:val="14"/>
                <w:b w:val="1"/>
                <w:bCs w:val="1"/>
                <w:color w:val="auto"/>
                <w:w w:val="91"/>
              </w:rPr>
              <w:t>expected life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60" w:type="dxa"/>
            <w:vAlign w:val="bottom"/>
            <w:gridSpan w:val="2"/>
          </w:tcPr>
          <w:p>
            <w:pPr>
              <w:jc w:val="center"/>
              <w:ind w:right="640"/>
              <w:spacing w:after="0"/>
              <w:rPr>
                <w:sz w:val="20"/>
                <w:szCs w:val="20"/>
                <w:color w:val="auto"/>
              </w:rPr>
            </w:pPr>
            <w:r>
              <w:rPr>
                <w:rFonts w:ascii="Arial" w:cs="Arial" w:eastAsia="Arial" w:hAnsi="Arial"/>
                <w:sz w:val="14"/>
                <w:szCs w:val="14"/>
                <w:b w:val="1"/>
                <w:bCs w:val="1"/>
                <w:color w:val="auto"/>
                <w:w w:val="83"/>
              </w:rPr>
              <w:t>cost</w:t>
            </w:r>
          </w:p>
        </w:tc>
        <w:tc>
          <w:tcPr>
            <w:tcW w:w="180" w:type="dxa"/>
            <w:vAlign w:val="bottom"/>
          </w:tcPr>
          <w:p>
            <w:pPr>
              <w:spacing w:after="0"/>
              <w:rPr>
                <w:sz w:val="14"/>
                <w:szCs w:val="14"/>
                <w:color w:val="auto"/>
              </w:rPr>
            </w:pP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4"/>
              </w:rPr>
              <w:t>value</w:t>
            </w:r>
          </w:p>
        </w:tc>
        <w:tc>
          <w:tcPr>
            <w:tcW w:w="1740" w:type="dxa"/>
            <w:vAlign w:val="bottom"/>
            <w:gridSpan w:val="2"/>
          </w:tcPr>
          <w:p>
            <w:pPr>
              <w:jc w:val="center"/>
              <w:ind w:left="77"/>
              <w:spacing w:after="0"/>
              <w:rPr>
                <w:sz w:val="20"/>
                <w:szCs w:val="20"/>
                <w:color w:val="auto"/>
              </w:rPr>
            </w:pPr>
            <w:r>
              <w:rPr>
                <w:rFonts w:ascii="Arial" w:cs="Arial" w:eastAsia="Arial" w:hAnsi="Arial"/>
                <w:sz w:val="14"/>
                <w:szCs w:val="14"/>
                <w:b w:val="1"/>
                <w:bCs w:val="1"/>
                <w:color w:val="auto"/>
                <w:w w:val="93"/>
              </w:rPr>
              <w:t>(in years)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gridSpan w:val="2"/>
          </w:tcPr>
          <w:p>
            <w:pPr>
              <w:jc w:val="center"/>
              <w:ind w:right="24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6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Corporate debt</w:t>
            </w:r>
          </w:p>
        </w:tc>
        <w:tc>
          <w:tcPr>
            <w:tcW w:w="3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tcPr>
          <w:p>
            <w:pPr>
              <w:ind w:left="180"/>
              <w:spacing w:after="0"/>
              <w:rPr>
                <w:sz w:val="20"/>
                <w:szCs w:val="20"/>
                <w:color w:val="auto"/>
              </w:rPr>
            </w:pPr>
            <w:r>
              <w:rPr>
                <w:rFonts w:ascii="Arial" w:cs="Arial" w:eastAsia="Arial" w:hAnsi="Arial"/>
                <w:sz w:val="18"/>
                <w:szCs w:val="18"/>
                <w:color w:val="auto"/>
              </w:rPr>
              <w:t>A</w:t>
            </w:r>
          </w:p>
        </w:tc>
        <w:tc>
          <w:tcPr>
            <w:tcW w:w="3340" w:type="dxa"/>
            <w:vAlign w:val="bottom"/>
            <w:gridSpan w:val="2"/>
          </w:tcPr>
          <w:p>
            <w:pPr>
              <w:jc w:val="right"/>
              <w:ind w:right="165"/>
              <w:spacing w:after="0"/>
              <w:rPr>
                <w:sz w:val="20"/>
                <w:szCs w:val="20"/>
                <w:color w:val="auto"/>
              </w:rPr>
            </w:pPr>
            <w:r>
              <w:rPr>
                <w:rFonts w:ascii="Arial" w:cs="Arial" w:eastAsia="Arial" w:hAnsi="Arial"/>
                <w:sz w:val="18"/>
                <w:szCs w:val="18"/>
                <w:b w:val="1"/>
                <w:bCs w:val="1"/>
                <w:color w:val="auto"/>
              </w:rPr>
              <w:t>$</w:t>
            </w:r>
          </w:p>
        </w:tc>
        <w:tc>
          <w:tcPr>
            <w:tcW w:w="13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24.4</w:t>
            </w:r>
          </w:p>
        </w:tc>
        <w:tc>
          <w:tcPr>
            <w:tcW w:w="180" w:type="dxa"/>
            <w:vAlign w:val="bottom"/>
          </w:tcPr>
          <w:p>
            <w:pPr>
              <w:jc w:val="right"/>
              <w:ind w:right="26"/>
              <w:spacing w:after="0"/>
              <w:rPr>
                <w:sz w:val="20"/>
                <w:szCs w:val="20"/>
                <w:color w:val="auto"/>
              </w:rPr>
            </w:pPr>
            <w:r>
              <w:rPr>
                <w:rFonts w:ascii="Arial" w:cs="Arial" w:eastAsia="Arial" w:hAnsi="Arial"/>
                <w:sz w:val="15"/>
                <w:szCs w:val="15"/>
                <w:b w:val="1"/>
                <w:bCs w:val="1"/>
                <w:color w:val="auto"/>
                <w:w w:val="71"/>
              </w:rPr>
              <w:t>$</w:t>
            </w:r>
          </w:p>
        </w:tc>
        <w:tc>
          <w:tcPr>
            <w:tcW w:w="11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24.4</w:t>
            </w:r>
          </w:p>
        </w:tc>
        <w:tc>
          <w:tcPr>
            <w:tcW w:w="17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0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corporate debt</w:t>
            </w:r>
          </w:p>
        </w:tc>
        <w:tc>
          <w:tcPr>
            <w:tcW w:w="30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24.4</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24.4</w:t>
            </w:r>
          </w:p>
        </w:tc>
        <w:tc>
          <w:tcPr>
            <w:tcW w:w="20" w:type="dxa"/>
            <w:vAlign w:val="bottom"/>
            <w:tcBorders>
              <w:top w:val="single" w:sz="8" w:color="CCEEFF"/>
            </w:tcBorders>
            <w:shd w:val="clear" w:color="auto" w:fill="CCEEFF"/>
          </w:tcPr>
          <w:p>
            <w:pPr>
              <w:spacing w:after="0"/>
              <w:rPr>
                <w:sz w:val="18"/>
                <w:szCs w:val="18"/>
                <w:color w:val="auto"/>
              </w:rPr>
            </w:pPr>
          </w:p>
        </w:tc>
        <w:tc>
          <w:tcPr>
            <w:tcW w:w="1740" w:type="dxa"/>
            <w:vAlign w:val="bottom"/>
            <w:tcBorders>
              <w:top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3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Structured finance</w:t>
            </w:r>
          </w:p>
        </w:tc>
        <w:tc>
          <w:tcPr>
            <w:tcW w:w="3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tcPr>
          <w:p>
            <w:pPr>
              <w:ind w:left="180"/>
              <w:spacing w:after="0"/>
              <w:rPr>
                <w:sz w:val="20"/>
                <w:szCs w:val="20"/>
                <w:color w:val="auto"/>
              </w:rPr>
            </w:pPr>
            <w:r>
              <w:rPr>
                <w:rFonts w:ascii="Arial" w:cs="Arial" w:eastAsia="Arial" w:hAnsi="Arial"/>
                <w:sz w:val="18"/>
                <w:szCs w:val="18"/>
                <w:color w:val="auto"/>
              </w:rPr>
              <w:t>A</w:t>
            </w:r>
          </w:p>
        </w:tc>
        <w:tc>
          <w:tcPr>
            <w:tcW w:w="3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62.1</w:t>
            </w:r>
          </w:p>
        </w:tc>
        <w:tc>
          <w:tcPr>
            <w:tcW w:w="18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62.1</w:t>
            </w:r>
          </w:p>
        </w:tc>
        <w:tc>
          <w:tcPr>
            <w:tcW w:w="17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BB</w:t>
            </w:r>
          </w:p>
        </w:tc>
        <w:tc>
          <w:tcPr>
            <w:tcW w:w="3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5.8</w:t>
            </w:r>
          </w:p>
        </w:tc>
        <w:tc>
          <w:tcPr>
            <w:tcW w:w="1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5.8</w:t>
            </w:r>
          </w:p>
        </w:tc>
        <w:tc>
          <w:tcPr>
            <w:tcW w:w="1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tcPr>
          <w:p>
            <w:pPr>
              <w:ind w:left="180"/>
              <w:spacing w:after="0"/>
              <w:rPr>
                <w:sz w:val="20"/>
                <w:szCs w:val="20"/>
                <w:color w:val="auto"/>
              </w:rPr>
            </w:pPr>
            <w:r>
              <w:rPr>
                <w:rFonts w:ascii="Arial" w:cs="Arial" w:eastAsia="Arial" w:hAnsi="Arial"/>
                <w:sz w:val="18"/>
                <w:szCs w:val="18"/>
                <w:color w:val="auto"/>
              </w:rPr>
              <w:t>CCC</w:t>
            </w:r>
          </w:p>
        </w:tc>
        <w:tc>
          <w:tcPr>
            <w:tcW w:w="3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8.4</w:t>
            </w:r>
          </w:p>
        </w:tc>
        <w:tc>
          <w:tcPr>
            <w:tcW w:w="18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8.4</w:t>
            </w:r>
          </w:p>
        </w:tc>
        <w:tc>
          <w:tcPr>
            <w:tcW w:w="17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0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structured finance</w:t>
            </w:r>
          </w:p>
        </w:tc>
        <w:tc>
          <w:tcPr>
            <w:tcW w:w="30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76.3</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76.3</w:t>
            </w:r>
          </w:p>
        </w:tc>
        <w:tc>
          <w:tcPr>
            <w:tcW w:w="20" w:type="dxa"/>
            <w:vAlign w:val="bottom"/>
            <w:tcBorders>
              <w:top w:val="single" w:sz="8" w:color="CCEEFF"/>
            </w:tcBorders>
            <w:shd w:val="clear" w:color="auto" w:fill="CCEEFF"/>
          </w:tcPr>
          <w:p>
            <w:pPr>
              <w:spacing w:after="0"/>
              <w:rPr>
                <w:sz w:val="18"/>
                <w:szCs w:val="18"/>
                <w:color w:val="auto"/>
              </w:rPr>
            </w:pPr>
          </w:p>
        </w:tc>
        <w:tc>
          <w:tcPr>
            <w:tcW w:w="1740" w:type="dxa"/>
            <w:vAlign w:val="bottom"/>
            <w:tcBorders>
              <w:top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00" w:type="dxa"/>
            <w:vAlign w:val="bottom"/>
            <w:gridSpan w:val="2"/>
          </w:tcPr>
          <w:p>
            <w:pPr>
              <w:spacing w:after="0"/>
              <w:rPr>
                <w:sz w:val="20"/>
                <w:szCs w:val="20"/>
                <w:color w:val="auto"/>
              </w:rPr>
            </w:pPr>
            <w:r>
              <w:rPr>
                <w:rFonts w:ascii="Arial" w:cs="Arial" w:eastAsia="Arial" w:hAnsi="Arial"/>
                <w:sz w:val="18"/>
                <w:szCs w:val="18"/>
                <w:color w:val="auto"/>
              </w:rPr>
              <w:t>Total fixed maturities with credit derivatives</w:t>
            </w:r>
          </w:p>
        </w:tc>
        <w:tc>
          <w:tcPr>
            <w:tcW w:w="3020" w:type="dxa"/>
            <w:vAlign w:val="bottom"/>
          </w:tcPr>
          <w:p>
            <w:pPr>
              <w:spacing w:after="0"/>
              <w:rPr>
                <w:sz w:val="18"/>
                <w:szCs w:val="18"/>
                <w:color w:val="auto"/>
              </w:rPr>
            </w:pPr>
          </w:p>
        </w:tc>
        <w:tc>
          <w:tcPr>
            <w:tcW w:w="320" w:type="dxa"/>
            <w:vAlign w:val="bottom"/>
            <w:tcBorders>
              <w:bottom w:val="single" w:sz="8" w:color="auto"/>
            </w:tcBorders>
          </w:tcPr>
          <w:p>
            <w:pPr>
              <w:jc w:val="right"/>
              <w:ind w:right="165"/>
              <w:spacing w:after="0"/>
              <w:rPr>
                <w:sz w:val="20"/>
                <w:szCs w:val="20"/>
                <w:color w:val="auto"/>
              </w:rPr>
            </w:pPr>
            <w:r>
              <w:rPr>
                <w:rFonts w:ascii="Arial" w:cs="Arial" w:eastAsia="Arial" w:hAnsi="Arial"/>
                <w:sz w:val="15"/>
                <w:szCs w:val="15"/>
                <w:b w:val="1"/>
                <w:bCs w:val="1"/>
                <w:color w:val="auto"/>
                <w:w w:val="71"/>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100.7</w:t>
            </w:r>
          </w:p>
        </w:tc>
        <w:tc>
          <w:tcPr>
            <w:tcW w:w="300" w:type="dxa"/>
            <w:vAlign w:val="bottom"/>
          </w:tcPr>
          <w:p>
            <w:pPr>
              <w:spacing w:after="0"/>
              <w:rPr>
                <w:sz w:val="18"/>
                <w:szCs w:val="18"/>
                <w:color w:val="auto"/>
              </w:rPr>
            </w:pPr>
          </w:p>
        </w:tc>
        <w:tc>
          <w:tcPr>
            <w:tcW w:w="180" w:type="dxa"/>
            <w:vAlign w:val="bottom"/>
            <w:tcBorders>
              <w:bottom w:val="single" w:sz="8" w:color="auto"/>
            </w:tcBorders>
          </w:tcPr>
          <w:p>
            <w:pPr>
              <w:jc w:val="right"/>
              <w:ind w:right="26"/>
              <w:spacing w:after="0"/>
              <w:rPr>
                <w:sz w:val="20"/>
                <w:szCs w:val="20"/>
                <w:color w:val="auto"/>
              </w:rPr>
            </w:pPr>
            <w:r>
              <w:rPr>
                <w:rFonts w:ascii="Arial" w:cs="Arial" w:eastAsia="Arial" w:hAnsi="Arial"/>
                <w:sz w:val="15"/>
                <w:szCs w:val="15"/>
                <w:b w:val="1"/>
                <w:bCs w:val="1"/>
                <w:color w:val="auto"/>
                <w:w w:val="71"/>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100.7</w:t>
            </w:r>
          </w:p>
        </w:tc>
        <w:tc>
          <w:tcPr>
            <w:tcW w:w="20" w:type="dxa"/>
            <w:vAlign w:val="bottom"/>
          </w:tcPr>
          <w:p>
            <w:pPr>
              <w:spacing w:after="0"/>
              <w:rPr>
                <w:sz w:val="18"/>
                <w:szCs w:val="18"/>
                <w:color w:val="auto"/>
              </w:rPr>
            </w:pPr>
          </w:p>
        </w:tc>
        <w:tc>
          <w:tcPr>
            <w:tcW w:w="17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3020" w:type="dxa"/>
            <w:vAlign w:val="bottom"/>
            <w:vMerge w:val="restart"/>
          </w:tcPr>
          <w:p>
            <w:pPr>
              <w:jc w:val="center"/>
              <w:ind w:left="1070"/>
              <w:spacing w:after="0"/>
              <w:rPr>
                <w:sz w:val="20"/>
                <w:szCs w:val="20"/>
                <w:color w:val="auto"/>
              </w:rPr>
            </w:pPr>
            <w:r>
              <w:rPr>
                <w:rFonts w:ascii="Arial" w:cs="Arial" w:eastAsia="Arial" w:hAnsi="Arial"/>
                <w:sz w:val="18"/>
                <w:szCs w:val="18"/>
                <w:color w:val="auto"/>
                <w:w w:val="89"/>
              </w:rPr>
              <w:t>36</w:t>
            </w: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302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2340" w:type="dxa"/>
            <w:vAlign w:val="bottom"/>
            <w:tcBorders>
              <w:bottom w:val="single" w:sz="8" w:color="808080"/>
            </w:tcBorders>
          </w:tcPr>
          <w:p>
            <w:pPr>
              <w:spacing w:after="0"/>
              <w:rPr>
                <w:sz w:val="11"/>
                <w:szCs w:val="11"/>
                <w:color w:val="auto"/>
              </w:rPr>
            </w:pPr>
          </w:p>
        </w:tc>
        <w:tc>
          <w:tcPr>
            <w:tcW w:w="302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6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362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30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2340" w:type="dxa"/>
            <w:vAlign w:val="bottom"/>
          </w:tcPr>
          <w:p>
            <w:pPr>
              <w:spacing w:after="0"/>
              <w:rPr>
                <w:sz w:val="24"/>
                <w:szCs w:val="24"/>
                <w:color w:val="auto"/>
              </w:rPr>
            </w:pPr>
          </w:p>
        </w:tc>
        <w:tc>
          <w:tcPr>
            <w:tcW w:w="3340" w:type="dxa"/>
            <w:vAlign w:val="bottom"/>
            <w:gridSpan w:val="2"/>
          </w:tcPr>
          <w:p>
            <w:pPr>
              <w:jc w:val="center"/>
              <w:ind w:left="750"/>
              <w:spacing w:after="0"/>
              <w:rPr>
                <w:sz w:val="20"/>
                <w:szCs w:val="20"/>
                <w:color w:val="auto"/>
              </w:rPr>
            </w:pPr>
            <w:r>
              <w:rPr>
                <w:rFonts w:ascii="Arial" w:cs="Arial" w:eastAsia="Arial" w:hAnsi="Arial"/>
                <w:sz w:val="18"/>
                <w:szCs w:val="18"/>
                <w:b w:val="1"/>
                <w:bCs w:val="1"/>
                <w:color w:val="auto"/>
                <w:w w:val="93"/>
              </w:rPr>
              <w:t>Principal Financial Group, Inc.</w:t>
            </w: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4700" w:type="dxa"/>
            <w:vAlign w:val="bottom"/>
            <w:gridSpan w:val="4"/>
          </w:tcPr>
          <w:p>
            <w:pPr>
              <w:jc w:val="center"/>
              <w:ind w:right="52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3340" w:type="dxa"/>
            <w:vAlign w:val="bottom"/>
            <w:gridSpan w:val="2"/>
          </w:tcPr>
          <w:p>
            <w:pPr>
              <w:jc w:val="center"/>
              <w:ind w:left="750"/>
              <w:spacing w:after="0"/>
              <w:rPr>
                <w:sz w:val="20"/>
                <w:szCs w:val="20"/>
                <w:color w:val="auto"/>
              </w:rPr>
            </w:pPr>
            <w:r>
              <w:rPr>
                <w:rFonts w:ascii="Arial" w:cs="Arial" w:eastAsia="Arial" w:hAnsi="Arial"/>
                <w:sz w:val="18"/>
                <w:szCs w:val="18"/>
                <w:b w:val="1"/>
                <w:bCs w:val="1"/>
                <w:color w:val="auto"/>
                <w:w w:val="89"/>
              </w:rPr>
              <w:t>September 30, 2015</w:t>
            </w: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3340" w:type="dxa"/>
            <w:vAlign w:val="bottom"/>
            <w:gridSpan w:val="2"/>
          </w:tcPr>
          <w:p>
            <w:pPr>
              <w:jc w:val="center"/>
              <w:ind w:left="750"/>
              <w:spacing w:after="0"/>
              <w:rPr>
                <w:sz w:val="20"/>
                <w:szCs w:val="20"/>
                <w:color w:val="auto"/>
              </w:rPr>
            </w:pPr>
            <w:r>
              <w:rPr>
                <w:rFonts w:ascii="Arial" w:cs="Arial" w:eastAsia="Arial" w:hAnsi="Arial"/>
                <w:sz w:val="18"/>
                <w:szCs w:val="18"/>
                <w:b w:val="1"/>
                <w:bCs w:val="1"/>
                <w:color w:val="auto"/>
                <w:w w:val="93"/>
              </w:rPr>
              <w:t>(Unaudited)</w:t>
            </w:r>
          </w:p>
        </w:tc>
        <w:tc>
          <w:tcPr>
            <w:tcW w:w="10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3"/>
          </w:tcPr>
          <w:p>
            <w:pPr>
              <w:jc w:val="center"/>
              <w:ind w:right="40"/>
              <w:spacing w:after="0"/>
              <w:rPr>
                <w:sz w:val="20"/>
                <w:szCs w:val="20"/>
                <w:color w:val="auto"/>
              </w:rPr>
            </w:pPr>
            <w:r>
              <w:rPr>
                <w:rFonts w:ascii="Arial" w:cs="Arial" w:eastAsia="Arial" w:hAnsi="Arial"/>
                <w:sz w:val="14"/>
                <w:szCs w:val="14"/>
                <w:b w:val="1"/>
                <w:bCs w:val="1"/>
                <w:color w:val="auto"/>
                <w:w w:val="91"/>
              </w:rPr>
              <w:t>December 31, 2014</w:t>
            </w:r>
          </w:p>
        </w:tc>
        <w:tc>
          <w:tcPr>
            <w:tcW w:w="16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340" w:type="dxa"/>
            <w:vAlign w:val="bottom"/>
          </w:tcPr>
          <w:p>
            <w:pPr>
              <w:spacing w:after="0"/>
              <w:rPr>
                <w:sz w:val="10"/>
                <w:szCs w:val="10"/>
                <w:color w:val="auto"/>
              </w:rPr>
            </w:pPr>
          </w:p>
        </w:tc>
        <w:tc>
          <w:tcPr>
            <w:tcW w:w="30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40" w:type="dxa"/>
            <w:vAlign w:val="bottom"/>
          </w:tcPr>
          <w:p>
            <w:pPr>
              <w:jc w:val="center"/>
              <w:ind w:left="177"/>
              <w:spacing w:after="0" w:line="119" w:lineRule="exact"/>
              <w:rPr>
                <w:sz w:val="20"/>
                <w:szCs w:val="20"/>
                <w:color w:val="auto"/>
              </w:rPr>
            </w:pPr>
            <w:r>
              <w:rPr>
                <w:rFonts w:ascii="Arial" w:cs="Arial" w:eastAsia="Arial" w:hAnsi="Arial"/>
                <w:sz w:val="13"/>
                <w:szCs w:val="13"/>
                <w:b w:val="1"/>
                <w:bCs w:val="1"/>
                <w:color w:val="auto"/>
                <w:w w:val="99"/>
              </w:rPr>
              <w:t>Weighted</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360" w:type="dxa"/>
            <w:vAlign w:val="bottom"/>
            <w:gridSpan w:val="2"/>
            <w:vMerge w:val="restart"/>
          </w:tcPr>
          <w:p>
            <w:pPr>
              <w:jc w:val="center"/>
              <w:ind w:right="620"/>
              <w:spacing w:after="0"/>
              <w:rPr>
                <w:sz w:val="20"/>
                <w:szCs w:val="20"/>
                <w:color w:val="auto"/>
              </w:rPr>
            </w:pPr>
            <w:r>
              <w:rPr>
                <w:rFonts w:ascii="Arial" w:cs="Arial" w:eastAsia="Arial" w:hAnsi="Arial"/>
                <w:sz w:val="14"/>
                <w:szCs w:val="14"/>
                <w:b w:val="1"/>
                <w:bCs w:val="1"/>
                <w:color w:val="auto"/>
                <w:w w:val="96"/>
              </w:rPr>
              <w:t>Amortized</w:t>
            </w:r>
          </w:p>
        </w:tc>
        <w:tc>
          <w:tcPr>
            <w:tcW w:w="180" w:type="dxa"/>
            <w:vAlign w:val="bottom"/>
          </w:tcPr>
          <w:p>
            <w:pPr>
              <w:spacing w:after="0"/>
              <w:rPr>
                <w:sz w:val="12"/>
                <w:szCs w:val="12"/>
                <w:color w:val="auto"/>
              </w:rPr>
            </w:pPr>
          </w:p>
        </w:tc>
        <w:tc>
          <w:tcPr>
            <w:tcW w:w="118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rPr>
              <w:t>Carrying</w:t>
            </w:r>
          </w:p>
        </w:tc>
        <w:tc>
          <w:tcPr>
            <w:tcW w:w="1740" w:type="dxa"/>
            <w:vAlign w:val="bottom"/>
            <w:gridSpan w:val="2"/>
          </w:tcPr>
          <w:p>
            <w:pPr>
              <w:jc w:val="center"/>
              <w:ind w:left="77"/>
              <w:spacing w:after="0" w:line="149" w:lineRule="exact"/>
              <w:rPr>
                <w:sz w:val="20"/>
                <w:szCs w:val="20"/>
                <w:color w:val="auto"/>
              </w:rPr>
            </w:pPr>
            <w:r>
              <w:rPr>
                <w:rFonts w:ascii="Arial" w:cs="Arial" w:eastAsia="Arial" w:hAnsi="Arial"/>
                <w:sz w:val="14"/>
                <w:szCs w:val="14"/>
                <w:b w:val="1"/>
                <w:bCs w:val="1"/>
                <w:color w:val="auto"/>
                <w:w w:val="86"/>
              </w:rPr>
              <w:t>average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740" w:type="dxa"/>
            <w:vAlign w:val="bottom"/>
            <w:gridSpan w:val="2"/>
          </w:tcPr>
          <w:p>
            <w:pPr>
              <w:jc w:val="center"/>
              <w:ind w:left="77"/>
              <w:spacing w:after="0" w:line="149" w:lineRule="exact"/>
              <w:rPr>
                <w:sz w:val="20"/>
                <w:szCs w:val="20"/>
                <w:color w:val="auto"/>
              </w:rPr>
            </w:pPr>
            <w:r>
              <w:rPr>
                <w:rFonts w:ascii="Arial" w:cs="Arial" w:eastAsia="Arial" w:hAnsi="Arial"/>
                <w:sz w:val="14"/>
                <w:szCs w:val="14"/>
                <w:b w:val="1"/>
                <w:bCs w:val="1"/>
                <w:color w:val="auto"/>
                <w:w w:val="91"/>
              </w:rPr>
              <w:t>expected life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60" w:type="dxa"/>
            <w:vAlign w:val="bottom"/>
            <w:gridSpan w:val="2"/>
          </w:tcPr>
          <w:p>
            <w:pPr>
              <w:jc w:val="center"/>
              <w:ind w:right="640"/>
              <w:spacing w:after="0"/>
              <w:rPr>
                <w:sz w:val="20"/>
                <w:szCs w:val="20"/>
                <w:color w:val="auto"/>
              </w:rPr>
            </w:pPr>
            <w:r>
              <w:rPr>
                <w:rFonts w:ascii="Arial" w:cs="Arial" w:eastAsia="Arial" w:hAnsi="Arial"/>
                <w:sz w:val="14"/>
                <w:szCs w:val="14"/>
                <w:b w:val="1"/>
                <w:bCs w:val="1"/>
                <w:color w:val="auto"/>
                <w:w w:val="83"/>
              </w:rPr>
              <w:t>cost</w:t>
            </w:r>
          </w:p>
        </w:tc>
        <w:tc>
          <w:tcPr>
            <w:tcW w:w="180" w:type="dxa"/>
            <w:vAlign w:val="bottom"/>
          </w:tcPr>
          <w:p>
            <w:pPr>
              <w:spacing w:after="0"/>
              <w:rPr>
                <w:sz w:val="14"/>
                <w:szCs w:val="14"/>
                <w:color w:val="auto"/>
              </w:rPr>
            </w:pP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4"/>
              </w:rPr>
              <w:t>value</w:t>
            </w:r>
          </w:p>
        </w:tc>
        <w:tc>
          <w:tcPr>
            <w:tcW w:w="1740" w:type="dxa"/>
            <w:vAlign w:val="bottom"/>
            <w:gridSpan w:val="2"/>
          </w:tcPr>
          <w:p>
            <w:pPr>
              <w:jc w:val="center"/>
              <w:ind w:left="77"/>
              <w:spacing w:after="0"/>
              <w:rPr>
                <w:sz w:val="20"/>
                <w:szCs w:val="20"/>
                <w:color w:val="auto"/>
              </w:rPr>
            </w:pPr>
            <w:r>
              <w:rPr>
                <w:rFonts w:ascii="Arial" w:cs="Arial" w:eastAsia="Arial" w:hAnsi="Arial"/>
                <w:sz w:val="14"/>
                <w:szCs w:val="14"/>
                <w:b w:val="1"/>
                <w:bCs w:val="1"/>
                <w:color w:val="auto"/>
                <w:w w:val="93"/>
              </w:rPr>
              <w:t>(in years)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gridSpan w:val="2"/>
          </w:tcPr>
          <w:p>
            <w:pPr>
              <w:jc w:val="center"/>
              <w:ind w:right="24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6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Corporate debt</w:t>
            </w:r>
          </w:p>
        </w:tc>
        <w:tc>
          <w:tcPr>
            <w:tcW w:w="3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tcPr>
          <w:p>
            <w:pPr>
              <w:ind w:left="180"/>
              <w:spacing w:after="0"/>
              <w:rPr>
                <w:sz w:val="20"/>
                <w:szCs w:val="20"/>
                <w:color w:val="auto"/>
              </w:rPr>
            </w:pPr>
            <w:r>
              <w:rPr>
                <w:rFonts w:ascii="Arial" w:cs="Arial" w:eastAsia="Arial" w:hAnsi="Arial"/>
                <w:sz w:val="18"/>
                <w:szCs w:val="18"/>
                <w:color w:val="auto"/>
              </w:rPr>
              <w:t>A</w:t>
            </w:r>
          </w:p>
        </w:tc>
        <w:tc>
          <w:tcPr>
            <w:tcW w:w="3340" w:type="dxa"/>
            <w:vAlign w:val="bottom"/>
            <w:gridSpan w:val="2"/>
          </w:tcPr>
          <w:p>
            <w:pPr>
              <w:jc w:val="right"/>
              <w:ind w:right="165"/>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300"/>
              <w:spacing w:after="0"/>
              <w:rPr>
                <w:sz w:val="20"/>
                <w:szCs w:val="20"/>
                <w:color w:val="auto"/>
              </w:rPr>
            </w:pPr>
            <w:r>
              <w:rPr>
                <w:rFonts w:ascii="Arial" w:cs="Arial" w:eastAsia="Arial" w:hAnsi="Arial"/>
                <w:sz w:val="18"/>
                <w:szCs w:val="18"/>
                <w:color w:val="auto"/>
              </w:rPr>
              <w:t>24.1</w:t>
            </w:r>
          </w:p>
        </w:tc>
        <w:tc>
          <w:tcPr>
            <w:tcW w:w="180" w:type="dxa"/>
            <w:vAlign w:val="bottom"/>
          </w:tcPr>
          <w:p>
            <w:pPr>
              <w:jc w:val="right"/>
              <w:ind w:right="26"/>
              <w:spacing w:after="0"/>
              <w:rPr>
                <w:sz w:val="20"/>
                <w:szCs w:val="20"/>
                <w:color w:val="auto"/>
              </w:rPr>
            </w:pPr>
            <w:r>
              <w:rPr>
                <w:rFonts w:ascii="Arial" w:cs="Arial" w:eastAsia="Arial" w:hAnsi="Arial"/>
                <w:sz w:val="15"/>
                <w:szCs w:val="15"/>
                <w:color w:val="auto"/>
                <w:w w:val="71"/>
              </w:rPr>
              <w:t>$</w:t>
            </w: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24.1</w:t>
            </w: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0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corporate debt</w:t>
            </w:r>
          </w:p>
        </w:tc>
        <w:tc>
          <w:tcPr>
            <w:tcW w:w="30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24.1</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24.1</w:t>
            </w:r>
          </w:p>
        </w:tc>
        <w:tc>
          <w:tcPr>
            <w:tcW w:w="20" w:type="dxa"/>
            <w:vAlign w:val="bottom"/>
            <w:tcBorders>
              <w:top w:val="single" w:sz="8" w:color="CCEEFF"/>
            </w:tcBorders>
            <w:shd w:val="clear" w:color="auto" w:fill="CCEEFF"/>
          </w:tcPr>
          <w:p>
            <w:pPr>
              <w:spacing w:after="0"/>
              <w:rPr>
                <w:sz w:val="18"/>
                <w:szCs w:val="18"/>
                <w:color w:val="auto"/>
              </w:rPr>
            </w:pPr>
          </w:p>
        </w:tc>
        <w:tc>
          <w:tcPr>
            <w:tcW w:w="1740" w:type="dxa"/>
            <w:vAlign w:val="bottom"/>
            <w:tcBorders>
              <w:top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3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Structured finance</w:t>
            </w:r>
          </w:p>
        </w:tc>
        <w:tc>
          <w:tcPr>
            <w:tcW w:w="3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tcPr>
          <w:p>
            <w:pPr>
              <w:ind w:left="180"/>
              <w:spacing w:after="0"/>
              <w:rPr>
                <w:sz w:val="20"/>
                <w:szCs w:val="20"/>
                <w:color w:val="auto"/>
              </w:rPr>
            </w:pPr>
            <w:r>
              <w:rPr>
                <w:rFonts w:ascii="Arial" w:cs="Arial" w:eastAsia="Arial" w:hAnsi="Arial"/>
                <w:sz w:val="18"/>
                <w:szCs w:val="18"/>
                <w:color w:val="auto"/>
              </w:rPr>
              <w:t>A</w:t>
            </w:r>
          </w:p>
        </w:tc>
        <w:tc>
          <w:tcPr>
            <w:tcW w:w="3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color w:val="auto"/>
              </w:rPr>
              <w:t>56.1</w:t>
            </w:r>
          </w:p>
        </w:tc>
        <w:tc>
          <w:tcPr>
            <w:tcW w:w="18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56.1</w:t>
            </w: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BB</w:t>
            </w:r>
          </w:p>
        </w:tc>
        <w:tc>
          <w:tcPr>
            <w:tcW w:w="3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5.8</w:t>
            </w:r>
          </w:p>
        </w:tc>
        <w:tc>
          <w:tcPr>
            <w:tcW w:w="1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5.8</w:t>
            </w:r>
          </w:p>
        </w:tc>
        <w:tc>
          <w:tcPr>
            <w:tcW w:w="1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gridSpan w:val="2"/>
          </w:tcPr>
          <w:p>
            <w:pPr>
              <w:ind w:left="180"/>
              <w:spacing w:after="0"/>
              <w:rPr>
                <w:sz w:val="20"/>
                <w:szCs w:val="20"/>
                <w:color w:val="auto"/>
              </w:rPr>
            </w:pPr>
            <w:r>
              <w:rPr>
                <w:rFonts w:ascii="Arial" w:cs="Arial" w:eastAsia="Arial" w:hAnsi="Arial"/>
                <w:sz w:val="18"/>
                <w:szCs w:val="18"/>
                <w:color w:val="auto"/>
              </w:rPr>
              <w:t>CCC</w:t>
            </w:r>
          </w:p>
        </w:tc>
        <w:tc>
          <w:tcPr>
            <w:tcW w:w="3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60" w:type="dxa"/>
            <w:vAlign w:val="bottom"/>
            <w:gridSpan w:val="2"/>
          </w:tcPr>
          <w:p>
            <w:pPr>
              <w:jc w:val="right"/>
              <w:ind w:right="300"/>
              <w:spacing w:after="0"/>
              <w:rPr>
                <w:sz w:val="20"/>
                <w:szCs w:val="20"/>
                <w:color w:val="auto"/>
              </w:rPr>
            </w:pPr>
            <w:r>
              <w:rPr>
                <w:rFonts w:ascii="Arial" w:cs="Arial" w:eastAsia="Arial" w:hAnsi="Arial"/>
                <w:sz w:val="18"/>
                <w:szCs w:val="18"/>
                <w:color w:val="auto"/>
              </w:rPr>
              <w:t>9.5</w:t>
            </w:r>
          </w:p>
        </w:tc>
        <w:tc>
          <w:tcPr>
            <w:tcW w:w="18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9.5</w:t>
            </w: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0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structured finance</w:t>
            </w:r>
          </w:p>
        </w:tc>
        <w:tc>
          <w:tcPr>
            <w:tcW w:w="30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71.4</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71.4</w:t>
            </w:r>
          </w:p>
        </w:tc>
        <w:tc>
          <w:tcPr>
            <w:tcW w:w="20" w:type="dxa"/>
            <w:vAlign w:val="bottom"/>
            <w:tcBorders>
              <w:top w:val="single" w:sz="8" w:color="CCEEFF"/>
            </w:tcBorders>
            <w:shd w:val="clear" w:color="auto" w:fill="CCEEFF"/>
          </w:tcPr>
          <w:p>
            <w:pPr>
              <w:spacing w:after="0"/>
              <w:rPr>
                <w:sz w:val="18"/>
                <w:szCs w:val="18"/>
                <w:color w:val="auto"/>
              </w:rPr>
            </w:pPr>
          </w:p>
        </w:tc>
        <w:tc>
          <w:tcPr>
            <w:tcW w:w="1740" w:type="dxa"/>
            <w:vAlign w:val="bottom"/>
            <w:tcBorders>
              <w:top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00" w:type="dxa"/>
            <w:vAlign w:val="bottom"/>
            <w:gridSpan w:val="2"/>
          </w:tcPr>
          <w:p>
            <w:pPr>
              <w:spacing w:after="0"/>
              <w:rPr>
                <w:sz w:val="20"/>
                <w:szCs w:val="20"/>
                <w:color w:val="auto"/>
              </w:rPr>
            </w:pPr>
            <w:r>
              <w:rPr>
                <w:rFonts w:ascii="Arial" w:cs="Arial" w:eastAsia="Arial" w:hAnsi="Arial"/>
                <w:sz w:val="18"/>
                <w:szCs w:val="18"/>
                <w:color w:val="auto"/>
              </w:rPr>
              <w:t>Total fixed maturities with credit derivatives</w:t>
            </w:r>
          </w:p>
        </w:tc>
        <w:tc>
          <w:tcPr>
            <w:tcW w:w="3020" w:type="dxa"/>
            <w:vAlign w:val="bottom"/>
          </w:tcPr>
          <w:p>
            <w:pPr>
              <w:spacing w:after="0"/>
              <w:rPr>
                <w:sz w:val="18"/>
                <w:szCs w:val="18"/>
                <w:color w:val="auto"/>
              </w:rPr>
            </w:pPr>
          </w:p>
        </w:tc>
        <w:tc>
          <w:tcPr>
            <w:tcW w:w="320" w:type="dxa"/>
            <w:vAlign w:val="bottom"/>
            <w:tcBorders>
              <w:bottom w:val="single" w:sz="8" w:color="auto"/>
            </w:tcBorders>
          </w:tcPr>
          <w:p>
            <w:pPr>
              <w:jc w:val="right"/>
              <w:ind w:right="165"/>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95.5</w:t>
            </w:r>
          </w:p>
        </w:tc>
        <w:tc>
          <w:tcPr>
            <w:tcW w:w="300" w:type="dxa"/>
            <w:vAlign w:val="bottom"/>
          </w:tcPr>
          <w:p>
            <w:pPr>
              <w:spacing w:after="0"/>
              <w:rPr>
                <w:sz w:val="18"/>
                <w:szCs w:val="18"/>
                <w:color w:val="auto"/>
              </w:rPr>
            </w:pPr>
          </w:p>
        </w:tc>
        <w:tc>
          <w:tcPr>
            <w:tcW w:w="180" w:type="dxa"/>
            <w:vAlign w:val="bottom"/>
            <w:tcBorders>
              <w:bottom w:val="single" w:sz="8" w:color="auto"/>
            </w:tcBorders>
          </w:tcPr>
          <w:p>
            <w:pPr>
              <w:jc w:val="right"/>
              <w:ind w:right="26"/>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95.5</w:t>
            </w:r>
          </w:p>
        </w:tc>
        <w:tc>
          <w:tcPr>
            <w:tcW w:w="20" w:type="dxa"/>
            <w:vAlign w:val="bottom"/>
            <w:tcBorders>
              <w:bottom w:val="single" w:sz="8" w:color="auto"/>
            </w:tcBorders>
          </w:tcPr>
          <w:p>
            <w:pPr>
              <w:spacing w:after="0"/>
              <w:rPr>
                <w:sz w:val="18"/>
                <w:szCs w:val="18"/>
                <w:color w:val="auto"/>
              </w:rPr>
            </w:pP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-3217545</wp:posOffset>
            </wp:positionV>
            <wp:extent cx="12700" cy="298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-3217545</wp:posOffset>
            </wp:positionV>
            <wp:extent cx="12700" cy="298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Hedges</w:t>
      </w:r>
    </w:p>
    <w:p>
      <w:pPr>
        <w:spacing w:after="0" w:line="229"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We use fixed-to-floating rate interest rate swaps to more closely align the interest rate characteristics of certain assets and liabilities. In general, these swaps are used in asset and liability management to modify duration, which is a measure of sensitivity to interest rate changes.</w:t>
      </w:r>
    </w:p>
    <w:p>
      <w:pPr>
        <w:spacing w:after="0" w:line="170" w:lineRule="exact"/>
        <w:rPr>
          <w:sz w:val="20"/>
          <w:szCs w:val="20"/>
          <w:color w:val="auto"/>
        </w:rPr>
      </w:pPr>
    </w:p>
    <w:p>
      <w:pPr>
        <w:ind w:right="740" w:firstLine="648"/>
        <w:spacing w:after="0" w:line="277" w:lineRule="auto"/>
        <w:rPr>
          <w:sz w:val="20"/>
          <w:szCs w:val="20"/>
          <w:color w:val="auto"/>
        </w:rPr>
      </w:pPr>
      <w:r>
        <w:rPr>
          <w:rFonts w:ascii="Arial" w:cs="Arial" w:eastAsia="Arial" w:hAnsi="Arial"/>
          <w:sz w:val="18"/>
          <w:szCs w:val="18"/>
          <w:color w:val="auto"/>
        </w:rPr>
        <w:t>We enter into currency exchange swap agreements to convert certain foreign denominated assets and liabilities into U.S. dollar floating-rate denominated instruments to eliminate the exposure to future currency volatility on those items.</w:t>
      </w:r>
    </w:p>
    <w:p>
      <w:pPr>
        <w:spacing w:after="0" w:line="170"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The net interest effect of interest rate swap and currency swap transactions for derivatives in fair value hedges is recorded as an adjustment to income or expense of the underlying hedged item in our consolidated statements of operations.</w:t>
      </w:r>
    </w:p>
    <w:p>
      <w:pPr>
        <w:spacing w:after="0" w:line="170" w:lineRule="exact"/>
        <w:rPr>
          <w:sz w:val="20"/>
          <w:szCs w:val="20"/>
          <w:color w:val="auto"/>
        </w:rPr>
      </w:pPr>
    </w:p>
    <w:p>
      <w:pPr>
        <w:ind w:right="60" w:firstLine="648"/>
        <w:spacing w:after="0" w:line="276" w:lineRule="auto"/>
        <w:rPr>
          <w:sz w:val="20"/>
          <w:szCs w:val="20"/>
          <w:color w:val="auto"/>
        </w:rPr>
      </w:pPr>
      <w:r>
        <w:rPr>
          <w:rFonts w:ascii="Arial" w:cs="Arial" w:eastAsia="Arial" w:hAnsi="Arial"/>
          <w:sz w:val="17"/>
          <w:szCs w:val="17"/>
          <w:color w:val="auto"/>
        </w:rPr>
        <w:t>Hedge effectiveness testing for fair value relationships is performed utilizing a regression analysis approach for both prospective and retrospective evaluations. This regression analysis will consider multiple data points for the assessment that the hedge continues to be highly effective in achieving offsetting changes in fair value. In certain periods, the comparison of the change in value of the derivative and the change in the value of the hedged item may not be offsetting at a specific period in time due to small movements in value. However, any amounts recorded as fair value hedges have shown to be highly effective in achieving offsetting changes in fair value both for present and future periods.</w:t>
      </w:r>
    </w:p>
    <w:p>
      <w:pPr>
        <w:spacing w:after="0" w:line="173"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The following table shows the effect of derivatives in fair value hedging relationships and the related hedged items on the consolidated statements of operations. All gains or losses on derivatives were included in the assessment of hedge effectiveness.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00" w:type="dxa"/>
            <w:vAlign w:val="bottom"/>
          </w:tcPr>
          <w:p>
            <w:pPr>
              <w:spacing w:after="0"/>
              <w:rPr>
                <w:sz w:val="13"/>
                <w:szCs w:val="13"/>
                <w:color w:val="auto"/>
              </w:rPr>
            </w:pPr>
          </w:p>
        </w:tc>
        <w:tc>
          <w:tcPr>
            <w:tcW w:w="26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Amount of gain (loss)</w:t>
            </w:r>
          </w:p>
        </w:tc>
        <w:tc>
          <w:tcPr>
            <w:tcW w:w="3040" w:type="dxa"/>
            <w:vAlign w:val="bottom"/>
          </w:tcPr>
          <w:p>
            <w:pPr>
              <w:spacing w:after="0"/>
              <w:rPr>
                <w:sz w:val="13"/>
                <w:szCs w:val="13"/>
                <w:color w:val="auto"/>
              </w:rPr>
            </w:pPr>
          </w:p>
        </w:tc>
        <w:tc>
          <w:tcPr>
            <w:tcW w:w="2660" w:type="dxa"/>
            <w:vAlign w:val="bottom"/>
          </w:tcPr>
          <w:p>
            <w:pPr>
              <w:jc w:val="center"/>
              <w:spacing w:after="0"/>
              <w:rPr>
                <w:sz w:val="20"/>
                <w:szCs w:val="20"/>
                <w:color w:val="auto"/>
              </w:rPr>
            </w:pPr>
            <w:r>
              <w:rPr>
                <w:rFonts w:ascii="Arial" w:cs="Arial" w:eastAsia="Arial" w:hAnsi="Arial"/>
                <w:sz w:val="14"/>
                <w:szCs w:val="14"/>
                <w:b w:val="1"/>
                <w:bCs w:val="1"/>
                <w:color w:val="auto"/>
                <w:w w:val="91"/>
              </w:rPr>
              <w:t>Amount of gain (loss)</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2620" w:type="dxa"/>
            <w:vAlign w:val="bottom"/>
            <w:vMerge w:val="continue"/>
          </w:tcPr>
          <w:p>
            <w:pPr>
              <w:spacing w:after="0"/>
              <w:rPr>
                <w:sz w:val="12"/>
                <w:szCs w:val="12"/>
                <w:color w:val="auto"/>
              </w:rPr>
            </w:pPr>
          </w:p>
        </w:tc>
        <w:tc>
          <w:tcPr>
            <w:tcW w:w="3040" w:type="dxa"/>
            <w:vAlign w:val="bottom"/>
          </w:tcPr>
          <w:p>
            <w:pPr>
              <w:spacing w:after="0"/>
              <w:rPr>
                <w:sz w:val="12"/>
                <w:szCs w:val="12"/>
                <w:color w:val="auto"/>
              </w:rPr>
            </w:pPr>
          </w:p>
        </w:tc>
        <w:tc>
          <w:tcPr>
            <w:tcW w:w="2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recognized in net income on</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2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recognized in net income on</w:t>
            </w:r>
          </w:p>
        </w:tc>
        <w:tc>
          <w:tcPr>
            <w:tcW w:w="3040" w:type="dxa"/>
            <w:vAlign w:val="bottom"/>
          </w:tcPr>
          <w:p>
            <w:pPr>
              <w:spacing w:after="0"/>
              <w:rPr>
                <w:sz w:val="12"/>
                <w:szCs w:val="12"/>
                <w:color w:val="auto"/>
              </w:rPr>
            </w:pPr>
          </w:p>
        </w:tc>
        <w:tc>
          <w:tcPr>
            <w:tcW w:w="2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related hedged item for the</w:t>
            </w:r>
          </w:p>
        </w:tc>
        <w:tc>
          <w:tcPr>
            <w:tcW w:w="0" w:type="dxa"/>
            <w:vAlign w:val="bottom"/>
          </w:tcPr>
          <w:p>
            <w:pPr>
              <w:spacing w:after="0"/>
              <w:rPr>
                <w:sz w:val="1"/>
                <w:szCs w:val="1"/>
                <w:color w:val="auto"/>
              </w:rPr>
            </w:pPr>
          </w:p>
        </w:tc>
      </w:tr>
      <w:tr>
        <w:trPr>
          <w:trHeight w:val="149"/>
        </w:trPr>
        <w:tc>
          <w:tcPr>
            <w:tcW w:w="3000" w:type="dxa"/>
            <w:vAlign w:val="bottom"/>
            <w:vMerge w:val="restart"/>
          </w:tcPr>
          <w:p>
            <w:pPr>
              <w:spacing w:after="0"/>
              <w:rPr>
                <w:sz w:val="20"/>
                <w:szCs w:val="20"/>
                <w:color w:val="auto"/>
              </w:rPr>
            </w:pPr>
            <w:r>
              <w:rPr>
                <w:rFonts w:ascii="Arial" w:cs="Arial" w:eastAsia="Arial" w:hAnsi="Arial"/>
                <w:sz w:val="14"/>
                <w:szCs w:val="14"/>
                <w:b w:val="1"/>
                <w:bCs w:val="1"/>
                <w:color w:val="auto"/>
              </w:rPr>
              <w:t>Derivatives in fair value hedging</w:t>
            </w:r>
          </w:p>
        </w:tc>
        <w:tc>
          <w:tcPr>
            <w:tcW w:w="2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derivatives for the three months</w:t>
            </w:r>
          </w:p>
        </w:tc>
        <w:tc>
          <w:tcPr>
            <w:tcW w:w="3040" w:type="dxa"/>
            <w:vAlign w:val="bottom"/>
            <w:vMerge w:val="restart"/>
          </w:tcPr>
          <w:p>
            <w:pPr>
              <w:ind w:left="700"/>
              <w:spacing w:after="0"/>
              <w:rPr>
                <w:sz w:val="20"/>
                <w:szCs w:val="20"/>
                <w:color w:val="auto"/>
              </w:rPr>
            </w:pPr>
            <w:r>
              <w:rPr>
                <w:rFonts w:ascii="Arial" w:cs="Arial" w:eastAsia="Arial" w:hAnsi="Arial"/>
                <w:sz w:val="14"/>
                <w:szCs w:val="14"/>
                <w:b w:val="1"/>
                <w:bCs w:val="1"/>
                <w:color w:val="auto"/>
              </w:rPr>
              <w:t>Hedged items in fair value</w:t>
            </w:r>
          </w:p>
        </w:tc>
        <w:tc>
          <w:tcPr>
            <w:tcW w:w="2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three months ended</w:t>
            </w:r>
          </w:p>
        </w:tc>
        <w:tc>
          <w:tcPr>
            <w:tcW w:w="0" w:type="dxa"/>
            <w:vAlign w:val="bottom"/>
          </w:tcPr>
          <w:p>
            <w:pPr>
              <w:spacing w:after="0"/>
              <w:rPr>
                <w:sz w:val="1"/>
                <w:szCs w:val="1"/>
                <w:color w:val="auto"/>
              </w:rPr>
            </w:pPr>
          </w:p>
        </w:tc>
      </w:tr>
      <w:tr>
        <w:trPr>
          <w:trHeight w:val="171"/>
        </w:trPr>
        <w:tc>
          <w:tcPr>
            <w:tcW w:w="3000" w:type="dxa"/>
            <w:vAlign w:val="bottom"/>
            <w:vMerge w:val="continue"/>
          </w:tcPr>
          <w:p>
            <w:pPr>
              <w:spacing w:after="0"/>
              <w:rPr>
                <w:sz w:val="14"/>
                <w:szCs w:val="14"/>
                <w:color w:val="auto"/>
              </w:rPr>
            </w:pPr>
          </w:p>
        </w:tc>
        <w:tc>
          <w:tcPr>
            <w:tcW w:w="2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ended September 30, (1)</w:t>
            </w:r>
          </w:p>
        </w:tc>
        <w:tc>
          <w:tcPr>
            <w:tcW w:w="3040" w:type="dxa"/>
            <w:vAlign w:val="bottom"/>
            <w:vMerge w:val="continue"/>
          </w:tcPr>
          <w:p>
            <w:pPr>
              <w:spacing w:after="0"/>
              <w:rPr>
                <w:sz w:val="14"/>
                <w:szCs w:val="14"/>
                <w:color w:val="auto"/>
              </w:rPr>
            </w:pPr>
          </w:p>
        </w:tc>
        <w:tc>
          <w:tcPr>
            <w:tcW w:w="2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September 30, (1)</w:t>
            </w:r>
          </w:p>
        </w:tc>
        <w:tc>
          <w:tcPr>
            <w:tcW w:w="0" w:type="dxa"/>
            <w:vAlign w:val="bottom"/>
          </w:tcPr>
          <w:p>
            <w:pPr>
              <w:spacing w:after="0"/>
              <w:rPr>
                <w:sz w:val="1"/>
                <w:szCs w:val="1"/>
                <w:color w:val="auto"/>
              </w:rPr>
            </w:pPr>
          </w:p>
        </w:tc>
      </w:tr>
    </w:tbl>
    <w:p>
      <w:pPr>
        <w:sectPr>
          <w:pgSz w:w="11900" w:h="16838" w:orient="portrait"/>
          <w:cols w:equalWidth="0" w:num="1">
            <w:col w:w="11460"/>
          </w:cols>
          <w:pgMar w:left="240" w:top="571" w:right="199" w:bottom="0" w:gutter="0" w:footer="0" w:header="0"/>
        </w:sectPr>
      </w:pPr>
    </w:p>
    <w:bookmarkStart w:id="27" w:name="page28"/>
    <w:bookmarkEnd w:id="27"/>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700" w:type="dxa"/>
            <w:vAlign w:val="bottom"/>
          </w:tcPr>
          <w:p>
            <w:pPr>
              <w:spacing w:after="0"/>
              <w:rPr>
                <w:sz w:val="20"/>
                <w:szCs w:val="20"/>
                <w:color w:val="auto"/>
              </w:rPr>
            </w:pPr>
            <w:r>
              <w:rPr>
                <w:rFonts w:ascii="Arial" w:cs="Arial" w:eastAsia="Arial" w:hAnsi="Arial"/>
                <w:sz w:val="14"/>
                <w:szCs w:val="14"/>
                <w:b w:val="1"/>
                <w:bCs w:val="1"/>
                <w:color w:val="auto"/>
              </w:rPr>
              <w:t>relationships</w:t>
            </w: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00" w:type="dxa"/>
            <w:vAlign w:val="bottom"/>
          </w:tcPr>
          <w:p>
            <w:pPr>
              <w:jc w:val="right"/>
              <w:ind w:right="356"/>
              <w:spacing w:after="0"/>
              <w:rPr>
                <w:sz w:val="20"/>
                <w:szCs w:val="20"/>
                <w:color w:val="auto"/>
              </w:rPr>
            </w:pPr>
            <w:r>
              <w:rPr>
                <w:rFonts w:ascii="Arial" w:cs="Arial" w:eastAsia="Arial" w:hAnsi="Arial"/>
                <w:sz w:val="14"/>
                <w:szCs w:val="14"/>
                <w:b w:val="1"/>
                <w:bCs w:val="1"/>
                <w:color w:val="auto"/>
              </w:rPr>
              <w:t>2015</w:t>
            </w:r>
          </w:p>
        </w:tc>
        <w:tc>
          <w:tcPr>
            <w:tcW w:w="180" w:type="dxa"/>
            <w:vAlign w:val="bottom"/>
          </w:tcPr>
          <w:p>
            <w:pPr>
              <w:spacing w:after="0"/>
              <w:rPr>
                <w:sz w:val="14"/>
                <w:szCs w:val="14"/>
                <w:color w:val="auto"/>
              </w:rPr>
            </w:pPr>
          </w:p>
        </w:tc>
        <w:tc>
          <w:tcPr>
            <w:tcW w:w="900" w:type="dxa"/>
            <w:vAlign w:val="bottom"/>
            <w:gridSpan w:val="2"/>
          </w:tcPr>
          <w:p>
            <w:pPr>
              <w:jc w:val="right"/>
              <w:spacing w:after="0"/>
              <w:rPr>
                <w:sz w:val="20"/>
                <w:szCs w:val="20"/>
                <w:color w:val="auto"/>
              </w:rPr>
            </w:pPr>
            <w:r>
              <w:rPr>
                <w:rFonts w:ascii="Arial" w:cs="Arial" w:eastAsia="Arial" w:hAnsi="Arial"/>
                <w:sz w:val="14"/>
                <w:szCs w:val="14"/>
                <w:b w:val="1"/>
                <w:bCs w:val="1"/>
                <w:color w:val="auto"/>
              </w:rPr>
              <w:t>2014</w:t>
            </w:r>
          </w:p>
        </w:tc>
        <w:tc>
          <w:tcPr>
            <w:tcW w:w="3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760" w:type="dxa"/>
            <w:vAlign w:val="bottom"/>
            <w:gridSpan w:val="2"/>
          </w:tcPr>
          <w:p>
            <w:pPr>
              <w:ind w:left="560"/>
              <w:spacing w:after="0"/>
              <w:rPr>
                <w:sz w:val="20"/>
                <w:szCs w:val="20"/>
                <w:color w:val="auto"/>
              </w:rPr>
            </w:pPr>
            <w:r>
              <w:rPr>
                <w:rFonts w:ascii="Arial" w:cs="Arial" w:eastAsia="Arial" w:hAnsi="Arial"/>
                <w:sz w:val="14"/>
                <w:szCs w:val="14"/>
                <w:b w:val="1"/>
                <w:bCs w:val="1"/>
                <w:color w:val="auto"/>
              </w:rPr>
              <w:t>hedging relationships</w:t>
            </w:r>
          </w:p>
        </w:tc>
        <w:tc>
          <w:tcPr>
            <w:tcW w:w="260" w:type="dxa"/>
            <w:vAlign w:val="bottom"/>
          </w:tcPr>
          <w:p>
            <w:pPr>
              <w:spacing w:after="0"/>
              <w:rPr>
                <w:sz w:val="14"/>
                <w:szCs w:val="14"/>
                <w:color w:val="auto"/>
              </w:rPr>
            </w:pPr>
          </w:p>
        </w:tc>
        <w:tc>
          <w:tcPr>
            <w:tcW w:w="920" w:type="dxa"/>
            <w:vAlign w:val="bottom"/>
          </w:tcPr>
          <w:p>
            <w:pPr>
              <w:jc w:val="right"/>
              <w:ind w:right="376"/>
              <w:spacing w:after="0"/>
              <w:rPr>
                <w:sz w:val="20"/>
                <w:szCs w:val="20"/>
                <w:color w:val="auto"/>
              </w:rPr>
            </w:pPr>
            <w:r>
              <w:rPr>
                <w:rFonts w:ascii="Arial" w:cs="Arial" w:eastAsia="Arial" w:hAnsi="Arial"/>
                <w:sz w:val="14"/>
                <w:szCs w:val="14"/>
                <w:b w:val="1"/>
                <w:bCs w:val="1"/>
                <w:color w:val="auto"/>
              </w:rPr>
              <w:t>2015</w:t>
            </w: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60" w:type="dxa"/>
            <w:vAlign w:val="bottom"/>
          </w:tcPr>
          <w:p>
            <w:pPr>
              <w:jc w:val="right"/>
              <w:ind w:right="354"/>
              <w:spacing w:after="0"/>
              <w:rPr>
                <w:sz w:val="20"/>
                <w:szCs w:val="20"/>
                <w:color w:val="auto"/>
              </w:rPr>
            </w:pPr>
            <w:r>
              <w:rPr>
                <w:rFonts w:ascii="Arial" w:cs="Arial" w:eastAsia="Arial" w:hAnsi="Arial"/>
                <w:sz w:val="14"/>
                <w:szCs w:val="14"/>
                <w:b w:val="1"/>
                <w:bCs w:val="1"/>
                <w:color w:val="auto"/>
              </w:rPr>
              <w:t>2014</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7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980" w:type="dxa"/>
            <w:vAlign w:val="bottom"/>
            <w:tcBorders>
              <w:top w:val="single" w:sz="8" w:color="auto"/>
            </w:tcBorders>
            <w:gridSpan w:val="4"/>
          </w:tcPr>
          <w:p>
            <w:pPr>
              <w:jc w:val="right"/>
              <w:ind w:right="485"/>
              <w:spacing w:after="0" w:line="142" w:lineRule="exact"/>
              <w:rPr>
                <w:sz w:val="20"/>
                <w:szCs w:val="20"/>
                <w:color w:val="auto"/>
              </w:rPr>
            </w:pPr>
            <w:r>
              <w:rPr>
                <w:rFonts w:ascii="Arial" w:cs="Arial" w:eastAsia="Arial" w:hAnsi="Arial"/>
                <w:sz w:val="14"/>
                <w:szCs w:val="14"/>
                <w:b w:val="1"/>
                <w:bCs w:val="1"/>
                <w:color w:val="auto"/>
              </w:rPr>
              <w:t>(in millions)</w:t>
            </w:r>
          </w:p>
        </w:tc>
        <w:tc>
          <w:tcPr>
            <w:tcW w:w="38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46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540" w:type="dxa"/>
            <w:vAlign w:val="bottom"/>
            <w:tcBorders>
              <w:top w:val="single" w:sz="8" w:color="auto"/>
            </w:tcBorders>
            <w:gridSpan w:val="4"/>
          </w:tcPr>
          <w:p>
            <w:pPr>
              <w:jc w:val="right"/>
              <w:ind w:right="50"/>
              <w:spacing w:after="0" w:line="142" w:lineRule="exact"/>
              <w:rPr>
                <w:sz w:val="20"/>
                <w:szCs w:val="20"/>
                <w:color w:val="auto"/>
              </w:rPr>
            </w:pPr>
            <w:r>
              <w:rPr>
                <w:rFonts w:ascii="Arial" w:cs="Arial" w:eastAsia="Arial" w:hAnsi="Arial"/>
                <w:sz w:val="14"/>
                <w:szCs w:val="14"/>
                <w:b w:val="1"/>
                <w:bCs w:val="1"/>
                <w:color w:val="auto"/>
              </w:rPr>
              <w:t>(in millions)</w:t>
            </w:r>
          </w:p>
        </w:tc>
        <w:tc>
          <w:tcPr>
            <w:tcW w:w="86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2"/>
        </w:trPr>
        <w:tc>
          <w:tcPr>
            <w:tcW w:w="27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Interest rate contracts</w:t>
            </w:r>
          </w:p>
        </w:tc>
        <w:tc>
          <w:tcPr>
            <w:tcW w:w="560" w:type="dxa"/>
            <w:vAlign w:val="bottom"/>
            <w:gridSpan w:val="2"/>
            <w:vMerge w:val="restart"/>
            <w:shd w:val="clear" w:color="auto" w:fill="CCEEFF"/>
          </w:tcPr>
          <w:p>
            <w:pPr>
              <w:jc w:val="right"/>
              <w:ind w:right="105"/>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(7.0)</w:t>
            </w: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7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Fixed maturities, available-for-</w:t>
            </w:r>
          </w:p>
        </w:tc>
        <w:tc>
          <w:tcPr>
            <w:tcW w:w="260" w:type="dxa"/>
            <w:vAlign w:val="bottom"/>
            <w:vMerge w:val="restart"/>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240" w:type="dxa"/>
            <w:vAlign w:val="bottom"/>
            <w:gridSpan w:val="2"/>
            <w:vMerge w:val="restart"/>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6.7</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700" w:type="dxa"/>
            <w:vAlign w:val="bottom"/>
            <w:shd w:val="clear" w:color="auto" w:fill="CCEEFF"/>
          </w:tcPr>
          <w:p>
            <w:pPr>
              <w:spacing w:after="0"/>
              <w:rPr>
                <w:sz w:val="20"/>
                <w:szCs w:val="20"/>
                <w:color w:val="auto"/>
              </w:rPr>
            </w:pPr>
          </w:p>
        </w:tc>
        <w:tc>
          <w:tcPr>
            <w:tcW w:w="560" w:type="dxa"/>
            <w:vAlign w:val="bottom"/>
            <w:gridSpan w:val="2"/>
            <w:vMerge w:val="continue"/>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900" w:type="dxa"/>
            <w:vAlign w:val="bottom"/>
            <w:gridSpan w:val="2"/>
            <w:shd w:val="clear" w:color="auto" w:fill="CCEEFF"/>
          </w:tcPr>
          <w:p>
            <w:pPr>
              <w:jc w:val="right"/>
              <w:ind w:right="625"/>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18.5</w:t>
            </w:r>
          </w:p>
        </w:tc>
        <w:tc>
          <w:tcPr>
            <w:tcW w:w="27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sale</w:t>
            </w:r>
          </w:p>
        </w:tc>
        <w:tc>
          <w:tcPr>
            <w:tcW w:w="260" w:type="dxa"/>
            <w:vAlign w:val="bottom"/>
            <w:vMerge w:val="continue"/>
            <w:shd w:val="clear" w:color="auto" w:fill="CCEEFF"/>
          </w:tcPr>
          <w:p>
            <w:pPr>
              <w:spacing w:after="0"/>
              <w:rPr>
                <w:sz w:val="20"/>
                <w:szCs w:val="20"/>
                <w:color w:val="auto"/>
              </w:rPr>
            </w:pPr>
          </w:p>
        </w:tc>
        <w:tc>
          <w:tcPr>
            <w:tcW w:w="1240" w:type="dxa"/>
            <w:vAlign w:val="bottom"/>
            <w:gridSpan w:val="2"/>
            <w:vMerge w:val="continue"/>
            <w:shd w:val="clear" w:color="auto" w:fill="CCEEFF"/>
          </w:tcPr>
          <w:p>
            <w:pPr>
              <w:spacing w:after="0"/>
              <w:rPr>
                <w:sz w:val="20"/>
                <w:szCs w:val="20"/>
                <w:color w:val="auto"/>
              </w:rPr>
            </w:pPr>
          </w:p>
        </w:tc>
        <w:tc>
          <w:tcPr>
            <w:tcW w:w="300" w:type="dxa"/>
            <w:vAlign w:val="bottom"/>
            <w:gridSpan w:val="2"/>
            <w:shd w:val="clear" w:color="auto" w:fill="CCEEFF"/>
          </w:tcPr>
          <w:p>
            <w:pPr>
              <w:jc w:val="right"/>
              <w:ind w:right="170"/>
              <w:spacing w:after="0"/>
              <w:rPr>
                <w:sz w:val="20"/>
                <w:szCs w:val="20"/>
                <w:color w:val="auto"/>
              </w:rPr>
            </w:pPr>
            <w:r>
              <w:rPr>
                <w:rFonts w:ascii="Arial" w:cs="Arial" w:eastAsia="Arial" w:hAnsi="Arial"/>
                <w:sz w:val="15"/>
                <w:szCs w:val="15"/>
                <w:color w:val="auto"/>
                <w:w w:val="71"/>
              </w:rPr>
              <w:t>$</w:t>
            </w:r>
          </w:p>
        </w:tc>
        <w:tc>
          <w:tcPr>
            <w:tcW w:w="9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02"/>
        </w:trPr>
        <w:tc>
          <w:tcPr>
            <w:tcW w:w="2700" w:type="dxa"/>
            <w:vAlign w:val="bottom"/>
          </w:tcPr>
          <w:p>
            <w:pPr>
              <w:spacing w:after="0" w:line="201" w:lineRule="exact"/>
              <w:rPr>
                <w:sz w:val="20"/>
                <w:szCs w:val="20"/>
                <w:color w:val="auto"/>
              </w:rPr>
            </w:pPr>
            <w:r>
              <w:rPr>
                <w:rFonts w:ascii="Arial" w:cs="Arial" w:eastAsia="Arial" w:hAnsi="Arial"/>
                <w:sz w:val="18"/>
                <w:szCs w:val="18"/>
                <w:color w:val="auto"/>
              </w:rPr>
              <w:t>Interest rate contracts</w:t>
            </w: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8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2.4</w:t>
            </w: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760" w:type="dxa"/>
            <w:vAlign w:val="bottom"/>
            <w:gridSpan w:val="2"/>
          </w:tcPr>
          <w:p>
            <w:pPr>
              <w:spacing w:after="0" w:line="201" w:lineRule="exact"/>
              <w:rPr>
                <w:sz w:val="20"/>
                <w:szCs w:val="20"/>
                <w:color w:val="auto"/>
              </w:rPr>
            </w:pPr>
            <w:r>
              <w:rPr>
                <w:rFonts w:ascii="Arial" w:cs="Arial" w:eastAsia="Arial" w:hAnsi="Arial"/>
                <w:sz w:val="18"/>
                <w:szCs w:val="18"/>
                <w:color w:val="auto"/>
              </w:rPr>
              <w:t>Investment-type insurance</w:t>
            </w:r>
          </w:p>
        </w:tc>
        <w:tc>
          <w:tcPr>
            <w:tcW w:w="260" w:type="dxa"/>
            <w:vAlign w:val="bottom"/>
          </w:tcPr>
          <w:p>
            <w:pPr>
              <w:spacing w:after="0"/>
              <w:rPr>
                <w:sz w:val="17"/>
                <w:szCs w:val="17"/>
                <w:color w:val="auto"/>
              </w:rPr>
            </w:pPr>
          </w:p>
        </w:tc>
        <w:tc>
          <w:tcPr>
            <w:tcW w:w="1240" w:type="dxa"/>
            <w:vAlign w:val="bottom"/>
            <w:gridSpan w:val="2"/>
            <w:vMerge w:val="restart"/>
          </w:tcPr>
          <w:p>
            <w:pPr>
              <w:jc w:val="right"/>
              <w:ind w:right="260"/>
              <w:spacing w:after="0"/>
              <w:rPr>
                <w:sz w:val="20"/>
                <w:szCs w:val="20"/>
                <w:color w:val="auto"/>
              </w:rPr>
            </w:pPr>
            <w:r>
              <w:rPr>
                <w:rFonts w:ascii="Arial" w:cs="Arial" w:eastAsia="Arial" w:hAnsi="Arial"/>
                <w:sz w:val="18"/>
                <w:szCs w:val="18"/>
                <w:b w:val="1"/>
                <w:bCs w:val="1"/>
                <w:color w:val="auto"/>
              </w:rPr>
              <w:t>(2.4)</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7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(2.4)</w:t>
            </w:r>
          </w:p>
        </w:tc>
        <w:tc>
          <w:tcPr>
            <w:tcW w:w="2760" w:type="dxa"/>
            <w:vAlign w:val="bottom"/>
            <w:gridSpan w:val="2"/>
          </w:tcPr>
          <w:p>
            <w:pPr>
              <w:ind w:left="180"/>
              <w:spacing w:after="0"/>
              <w:rPr>
                <w:sz w:val="20"/>
                <w:szCs w:val="20"/>
                <w:color w:val="auto"/>
              </w:rPr>
            </w:pPr>
            <w:r>
              <w:rPr>
                <w:rFonts w:ascii="Arial" w:cs="Arial" w:eastAsia="Arial" w:hAnsi="Arial"/>
                <w:sz w:val="18"/>
                <w:szCs w:val="18"/>
                <w:color w:val="auto"/>
              </w:rPr>
              <w:t>contracts</w:t>
            </w:r>
          </w:p>
        </w:tc>
        <w:tc>
          <w:tcPr>
            <w:tcW w:w="260" w:type="dxa"/>
            <w:vAlign w:val="bottom"/>
          </w:tcPr>
          <w:p>
            <w:pPr>
              <w:spacing w:after="0"/>
              <w:rPr>
                <w:sz w:val="20"/>
                <w:szCs w:val="20"/>
                <w:color w:val="auto"/>
              </w:rPr>
            </w:pPr>
          </w:p>
        </w:tc>
        <w:tc>
          <w:tcPr>
            <w:tcW w:w="124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2.4</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7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Foreign exchange contracts</w:t>
            </w:r>
          </w:p>
        </w:tc>
        <w:tc>
          <w:tcPr>
            <w:tcW w:w="3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7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Fixed maturities, available-for-</w:t>
            </w:r>
          </w:p>
        </w:tc>
        <w:tc>
          <w:tcPr>
            <w:tcW w:w="260" w:type="dxa"/>
            <w:vAlign w:val="bottom"/>
            <w:shd w:val="clear" w:color="auto" w:fill="CCEEFF"/>
          </w:tcPr>
          <w:p>
            <w:pPr>
              <w:spacing w:after="0"/>
              <w:rPr>
                <w:sz w:val="17"/>
                <w:szCs w:val="17"/>
                <w:color w:val="auto"/>
              </w:rPr>
            </w:pPr>
          </w:p>
        </w:tc>
        <w:tc>
          <w:tcPr>
            <w:tcW w:w="1240" w:type="dxa"/>
            <w:vAlign w:val="bottom"/>
            <w:gridSpan w:val="2"/>
            <w:vMerge w:val="restart"/>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7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80" w:type="dxa"/>
            <w:vAlign w:val="bottom"/>
            <w:shd w:val="clear" w:color="auto" w:fill="CCEEFF"/>
          </w:tcPr>
          <w:p>
            <w:pPr>
              <w:spacing w:after="0"/>
              <w:rPr>
                <w:sz w:val="20"/>
                <w:szCs w:val="20"/>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3.0</w:t>
            </w:r>
          </w:p>
        </w:tc>
        <w:tc>
          <w:tcPr>
            <w:tcW w:w="27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sale</w:t>
            </w:r>
          </w:p>
        </w:tc>
        <w:tc>
          <w:tcPr>
            <w:tcW w:w="260" w:type="dxa"/>
            <w:vAlign w:val="bottom"/>
            <w:shd w:val="clear" w:color="auto" w:fill="CCEEFF"/>
          </w:tcPr>
          <w:p>
            <w:pPr>
              <w:spacing w:after="0"/>
              <w:rPr>
                <w:sz w:val="20"/>
                <w:szCs w:val="20"/>
                <w:color w:val="auto"/>
              </w:rPr>
            </w:pPr>
          </w:p>
        </w:tc>
        <w:tc>
          <w:tcPr>
            <w:tcW w:w="1240" w:type="dxa"/>
            <w:vAlign w:val="bottom"/>
            <w:gridSpan w:val="2"/>
            <w:vMerge w:val="continue"/>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9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23"/>
        </w:trPr>
        <w:tc>
          <w:tcPr>
            <w:tcW w:w="2700" w:type="dxa"/>
            <w:vAlign w:val="bottom"/>
          </w:tcPr>
          <w:p>
            <w:pPr>
              <w:spacing w:after="0"/>
              <w:rPr>
                <w:sz w:val="20"/>
                <w:szCs w:val="20"/>
                <w:color w:val="auto"/>
              </w:rPr>
            </w:pPr>
            <w:r>
              <w:rPr>
                <w:rFonts w:ascii="Arial" w:cs="Arial" w:eastAsia="Arial" w:hAnsi="Arial"/>
                <w:sz w:val="18"/>
                <w:szCs w:val="18"/>
                <w:color w:val="auto"/>
              </w:rPr>
              <w:t>Total</w:t>
            </w:r>
          </w:p>
        </w:tc>
        <w:tc>
          <w:tcPr>
            <w:tcW w:w="300" w:type="dxa"/>
            <w:vAlign w:val="bottom"/>
          </w:tcPr>
          <w:p>
            <w:pPr>
              <w:spacing w:after="0"/>
              <w:rPr>
                <w:sz w:val="19"/>
                <w:szCs w:val="19"/>
                <w:color w:val="auto"/>
              </w:rPr>
            </w:pP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(4.6</w:t>
            </w:r>
          </w:p>
        </w:tc>
        <w:tc>
          <w:tcPr>
            <w:tcW w:w="180" w:type="dxa"/>
            <w:vAlign w:val="bottom"/>
          </w:tcPr>
          <w:p>
            <w:pPr>
              <w:jc w:val="right"/>
              <w:ind w:right="40"/>
              <w:spacing w:after="0"/>
              <w:rPr>
                <w:sz w:val="20"/>
                <w:szCs w:val="20"/>
                <w:color w:val="auto"/>
              </w:rPr>
            </w:pPr>
            <w:r>
              <w:rPr>
                <w:rFonts w:ascii="Arial" w:cs="Arial" w:eastAsia="Arial" w:hAnsi="Arial"/>
                <w:sz w:val="16"/>
                <w:szCs w:val="16"/>
                <w:b w:val="1"/>
                <w:bCs w:val="1"/>
                <w:color w:val="auto"/>
                <w:w w:val="74"/>
              </w:rPr>
              <w:t>)</w:t>
            </w:r>
          </w:p>
        </w:tc>
        <w:tc>
          <w:tcPr>
            <w:tcW w:w="120" w:type="dxa"/>
            <w:vAlign w:val="bottom"/>
          </w:tcPr>
          <w:p>
            <w:pPr>
              <w:spacing w:after="0"/>
              <w:rPr>
                <w:sz w:val="19"/>
                <w:szCs w:val="19"/>
                <w:color w:val="auto"/>
              </w:rPr>
            </w:pPr>
          </w:p>
        </w:tc>
        <w:tc>
          <w:tcPr>
            <w:tcW w:w="780" w:type="dxa"/>
            <w:vAlign w:val="bottom"/>
            <w:tcBorders>
              <w:top w:val="single" w:sz="8" w:color="auto"/>
            </w:tcBorders>
          </w:tcPr>
          <w:p>
            <w:pPr>
              <w:jc w:val="right"/>
              <w:ind w:right="625"/>
              <w:spacing w:after="0"/>
              <w:rPr>
                <w:sz w:val="20"/>
                <w:szCs w:val="20"/>
                <w:color w:val="auto"/>
              </w:rPr>
            </w:pPr>
            <w:r>
              <w:rPr>
                <w:rFonts w:ascii="Arial" w:cs="Arial" w:eastAsia="Arial" w:hAnsi="Arial"/>
                <w:sz w:val="15"/>
                <w:szCs w:val="15"/>
                <w:color w:val="auto"/>
                <w:w w:val="71"/>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19.1</w:t>
            </w:r>
          </w:p>
        </w:tc>
        <w:tc>
          <w:tcPr>
            <w:tcW w:w="280" w:type="dxa"/>
            <w:vAlign w:val="bottom"/>
          </w:tcPr>
          <w:p>
            <w:pPr>
              <w:spacing w:after="0"/>
              <w:rPr>
                <w:sz w:val="19"/>
                <w:szCs w:val="19"/>
                <w:color w:val="auto"/>
              </w:rPr>
            </w:pPr>
          </w:p>
        </w:tc>
        <w:tc>
          <w:tcPr>
            <w:tcW w:w="2760" w:type="dxa"/>
            <w:vAlign w:val="bottom"/>
            <w:gridSpan w:val="2"/>
          </w:tcPr>
          <w:p>
            <w:pPr>
              <w:spacing w:after="0"/>
              <w:rPr>
                <w:sz w:val="20"/>
                <w:szCs w:val="20"/>
                <w:color w:val="auto"/>
              </w:rPr>
            </w:pPr>
            <w:r>
              <w:rPr>
                <w:rFonts w:ascii="Arial" w:cs="Arial" w:eastAsia="Arial" w:hAnsi="Arial"/>
                <w:sz w:val="18"/>
                <w:szCs w:val="18"/>
                <w:color w:val="auto"/>
              </w:rPr>
              <w:t>Total</w:t>
            </w: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4.3</w:t>
            </w:r>
          </w:p>
        </w:tc>
        <w:tc>
          <w:tcPr>
            <w:tcW w:w="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Borders>
              <w:top w:val="single" w:sz="8" w:color="auto"/>
            </w:tcBorders>
          </w:tcPr>
          <w:p>
            <w:pPr>
              <w:jc w:val="right"/>
              <w:ind w:right="170"/>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(19.0</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7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60" w:type="dxa"/>
            <w:vAlign w:val="bottom"/>
            <w:gridSpan w:val="4"/>
            <w:vMerge w:val="restart"/>
          </w:tcPr>
          <w:p>
            <w:pPr>
              <w:jc w:val="center"/>
              <w:ind w:left="20"/>
              <w:spacing w:after="0"/>
              <w:rPr>
                <w:sz w:val="20"/>
                <w:szCs w:val="20"/>
                <w:color w:val="auto"/>
              </w:rPr>
            </w:pPr>
            <w:r>
              <w:rPr>
                <w:rFonts w:ascii="Arial" w:cs="Arial" w:eastAsia="Arial" w:hAnsi="Arial"/>
                <w:sz w:val="14"/>
                <w:szCs w:val="14"/>
                <w:b w:val="1"/>
                <w:bCs w:val="1"/>
                <w:color w:val="auto"/>
                <w:w w:val="93"/>
              </w:rPr>
              <w:t>Amount of gain</w:t>
            </w: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60" w:type="dxa"/>
            <w:vAlign w:val="bottom"/>
            <w:gridSpan w:val="4"/>
          </w:tcPr>
          <w:p>
            <w:pPr>
              <w:jc w:val="center"/>
              <w:ind w:left="381"/>
              <w:spacing w:after="0"/>
              <w:rPr>
                <w:sz w:val="20"/>
                <w:szCs w:val="20"/>
                <w:color w:val="auto"/>
              </w:rPr>
            </w:pPr>
            <w:r>
              <w:rPr>
                <w:rFonts w:ascii="Arial" w:cs="Arial" w:eastAsia="Arial" w:hAnsi="Arial"/>
                <w:sz w:val="14"/>
                <w:szCs w:val="14"/>
                <w:b w:val="1"/>
                <w:bCs w:val="1"/>
                <w:color w:val="auto"/>
                <w:w w:val="90"/>
              </w:rPr>
              <w:t>Amount of loss</w:t>
            </w: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60" w:type="dxa"/>
            <w:vAlign w:val="bottom"/>
            <w:gridSpan w:val="4"/>
            <w:vMerge w:val="continue"/>
          </w:tcPr>
          <w:p>
            <w:pPr>
              <w:spacing w:after="0"/>
              <w:rPr>
                <w:sz w:val="12"/>
                <w:szCs w:val="12"/>
                <w:color w:val="auto"/>
              </w:rPr>
            </w:pP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500" w:type="dxa"/>
            <w:vAlign w:val="bottom"/>
            <w:gridSpan w:val="6"/>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recognized in net income on</w:t>
            </w:r>
          </w:p>
        </w:tc>
        <w:tc>
          <w:tcPr>
            <w:tcW w:w="0" w:type="dxa"/>
            <w:vAlign w:val="bottom"/>
          </w:tcPr>
          <w:p>
            <w:pPr>
              <w:spacing w:after="0"/>
              <w:rPr>
                <w:sz w:val="1"/>
                <w:szCs w:val="1"/>
                <w:color w:val="auto"/>
              </w:rPr>
            </w:pPr>
          </w:p>
        </w:tc>
      </w:tr>
      <w:tr>
        <w:trPr>
          <w:trHeight w:val="149"/>
        </w:trPr>
        <w:tc>
          <w:tcPr>
            <w:tcW w:w="2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60" w:type="dxa"/>
            <w:vAlign w:val="bottom"/>
            <w:gridSpan w:val="4"/>
          </w:tcPr>
          <w:p>
            <w:pPr>
              <w:jc w:val="center"/>
              <w:ind w:left="20"/>
              <w:spacing w:after="0" w:line="149" w:lineRule="exact"/>
              <w:rPr>
                <w:sz w:val="20"/>
                <w:szCs w:val="20"/>
                <w:color w:val="auto"/>
              </w:rPr>
            </w:pPr>
            <w:r>
              <w:rPr>
                <w:rFonts w:ascii="Arial" w:cs="Arial" w:eastAsia="Arial" w:hAnsi="Arial"/>
                <w:sz w:val="14"/>
                <w:szCs w:val="14"/>
                <w:b w:val="1"/>
                <w:bCs w:val="1"/>
                <w:color w:val="auto"/>
                <w:w w:val="90"/>
              </w:rPr>
              <w:t>recognized in net income on</w:t>
            </w: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500" w:type="dxa"/>
            <w:vAlign w:val="bottom"/>
            <w:gridSpan w:val="6"/>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related hedged item for the</w:t>
            </w:r>
          </w:p>
        </w:tc>
        <w:tc>
          <w:tcPr>
            <w:tcW w:w="0" w:type="dxa"/>
            <w:vAlign w:val="bottom"/>
          </w:tcPr>
          <w:p>
            <w:pPr>
              <w:spacing w:after="0"/>
              <w:rPr>
                <w:sz w:val="1"/>
                <w:szCs w:val="1"/>
                <w:color w:val="auto"/>
              </w:rPr>
            </w:pPr>
          </w:p>
        </w:tc>
      </w:tr>
      <w:tr>
        <w:trPr>
          <w:trHeight w:val="149"/>
        </w:trPr>
        <w:tc>
          <w:tcPr>
            <w:tcW w:w="2700" w:type="dxa"/>
            <w:vAlign w:val="bottom"/>
            <w:vMerge w:val="restart"/>
          </w:tcPr>
          <w:p>
            <w:pPr>
              <w:spacing w:after="0"/>
              <w:rPr>
                <w:sz w:val="20"/>
                <w:szCs w:val="20"/>
                <w:color w:val="auto"/>
              </w:rPr>
            </w:pPr>
            <w:r>
              <w:rPr>
                <w:rFonts w:ascii="Arial" w:cs="Arial" w:eastAsia="Arial" w:hAnsi="Arial"/>
                <w:sz w:val="14"/>
                <w:szCs w:val="14"/>
                <w:b w:val="1"/>
                <w:bCs w:val="1"/>
                <w:color w:val="auto"/>
              </w:rPr>
              <w:t>Derivatives in fair value hedging</w:t>
            </w: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60" w:type="dxa"/>
            <w:vAlign w:val="bottom"/>
            <w:gridSpan w:val="4"/>
          </w:tcPr>
          <w:p>
            <w:pPr>
              <w:jc w:val="center"/>
              <w:ind w:left="20"/>
              <w:spacing w:after="0" w:line="149" w:lineRule="exact"/>
              <w:rPr>
                <w:sz w:val="20"/>
                <w:szCs w:val="20"/>
                <w:color w:val="auto"/>
              </w:rPr>
            </w:pPr>
            <w:r>
              <w:rPr>
                <w:rFonts w:ascii="Arial" w:cs="Arial" w:eastAsia="Arial" w:hAnsi="Arial"/>
                <w:sz w:val="14"/>
                <w:szCs w:val="14"/>
                <w:b w:val="1"/>
                <w:bCs w:val="1"/>
                <w:color w:val="auto"/>
                <w:w w:val="92"/>
              </w:rPr>
              <w:t>derivatives for the nine months</w:t>
            </w: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760" w:type="dxa"/>
            <w:vAlign w:val="bottom"/>
            <w:gridSpan w:val="2"/>
            <w:vMerge w:val="restart"/>
          </w:tcPr>
          <w:p>
            <w:pPr>
              <w:ind w:left="420"/>
              <w:spacing w:after="0"/>
              <w:rPr>
                <w:sz w:val="20"/>
                <w:szCs w:val="20"/>
                <w:color w:val="auto"/>
              </w:rPr>
            </w:pPr>
            <w:r>
              <w:rPr>
                <w:rFonts w:ascii="Arial" w:cs="Arial" w:eastAsia="Arial" w:hAnsi="Arial"/>
                <w:sz w:val="14"/>
                <w:szCs w:val="14"/>
                <w:b w:val="1"/>
                <w:bCs w:val="1"/>
                <w:color w:val="auto"/>
              </w:rPr>
              <w:t>Hedged items in fair value</w:t>
            </w:r>
          </w:p>
        </w:tc>
        <w:tc>
          <w:tcPr>
            <w:tcW w:w="260" w:type="dxa"/>
            <w:vAlign w:val="bottom"/>
          </w:tcPr>
          <w:p>
            <w:pPr>
              <w:spacing w:after="0"/>
              <w:rPr>
                <w:sz w:val="12"/>
                <w:szCs w:val="12"/>
                <w:color w:val="auto"/>
              </w:rPr>
            </w:pPr>
          </w:p>
        </w:tc>
        <w:tc>
          <w:tcPr>
            <w:tcW w:w="1660" w:type="dxa"/>
            <w:vAlign w:val="bottom"/>
            <w:gridSpan w:val="4"/>
          </w:tcPr>
          <w:p>
            <w:pPr>
              <w:jc w:val="center"/>
              <w:ind w:left="381"/>
              <w:spacing w:after="0" w:line="149" w:lineRule="exact"/>
              <w:rPr>
                <w:sz w:val="20"/>
                <w:szCs w:val="20"/>
                <w:color w:val="auto"/>
              </w:rPr>
            </w:pPr>
            <w:r>
              <w:rPr>
                <w:rFonts w:ascii="Arial" w:cs="Arial" w:eastAsia="Arial" w:hAnsi="Arial"/>
                <w:sz w:val="14"/>
                <w:szCs w:val="14"/>
                <w:b w:val="1"/>
                <w:bCs w:val="1"/>
                <w:color w:val="auto"/>
                <w:w w:val="91"/>
              </w:rPr>
              <w:t>for the nine months</w:t>
            </w: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70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60" w:type="dxa"/>
            <w:vAlign w:val="bottom"/>
            <w:gridSpan w:val="4"/>
          </w:tcPr>
          <w:p>
            <w:pPr>
              <w:jc w:val="center"/>
              <w:ind w:left="20"/>
              <w:spacing w:after="0"/>
              <w:rPr>
                <w:sz w:val="20"/>
                <w:szCs w:val="20"/>
                <w:color w:val="auto"/>
              </w:rPr>
            </w:pPr>
            <w:r>
              <w:rPr>
                <w:rFonts w:ascii="Arial" w:cs="Arial" w:eastAsia="Arial" w:hAnsi="Arial"/>
                <w:sz w:val="14"/>
                <w:szCs w:val="14"/>
                <w:b w:val="1"/>
                <w:bCs w:val="1"/>
                <w:color w:val="auto"/>
                <w:w w:val="91"/>
              </w:rPr>
              <w:t>ended September 30, (1)</w:t>
            </w: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76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2500" w:type="dxa"/>
            <w:vAlign w:val="bottom"/>
            <w:gridSpan w:val="6"/>
          </w:tcPr>
          <w:p>
            <w:pPr>
              <w:jc w:val="center"/>
              <w:ind w:right="300"/>
              <w:spacing w:after="0"/>
              <w:rPr>
                <w:sz w:val="20"/>
                <w:szCs w:val="20"/>
                <w:color w:val="auto"/>
              </w:rPr>
            </w:pPr>
            <w:r>
              <w:rPr>
                <w:rFonts w:ascii="Arial" w:cs="Arial" w:eastAsia="Arial" w:hAnsi="Arial"/>
                <w:sz w:val="14"/>
                <w:szCs w:val="14"/>
                <w:b w:val="1"/>
                <w:bCs w:val="1"/>
                <w:color w:val="auto"/>
                <w:w w:val="91"/>
              </w:rPr>
              <w:t>ended September 30, (1)</w:t>
            </w:r>
          </w:p>
        </w:tc>
        <w:tc>
          <w:tcPr>
            <w:tcW w:w="0" w:type="dxa"/>
            <w:vAlign w:val="bottom"/>
          </w:tcPr>
          <w:p>
            <w:pPr>
              <w:spacing w:after="0"/>
              <w:rPr>
                <w:sz w:val="1"/>
                <w:szCs w:val="1"/>
                <w:color w:val="auto"/>
              </w:rPr>
            </w:pPr>
          </w:p>
        </w:tc>
      </w:tr>
      <w:tr>
        <w:trPr>
          <w:trHeight w:val="142"/>
        </w:trPr>
        <w:tc>
          <w:tcPr>
            <w:tcW w:w="2700" w:type="dxa"/>
            <w:vAlign w:val="bottom"/>
          </w:tcPr>
          <w:p>
            <w:pPr>
              <w:spacing w:after="0" w:line="142" w:lineRule="exact"/>
              <w:rPr>
                <w:sz w:val="20"/>
                <w:szCs w:val="20"/>
                <w:color w:val="auto"/>
              </w:rPr>
            </w:pPr>
            <w:r>
              <w:rPr>
                <w:rFonts w:ascii="Arial" w:cs="Arial" w:eastAsia="Arial" w:hAnsi="Arial"/>
                <w:sz w:val="14"/>
                <w:szCs w:val="14"/>
                <w:b w:val="1"/>
                <w:bCs w:val="1"/>
                <w:color w:val="auto"/>
              </w:rPr>
              <w:t>relationships</w:t>
            </w:r>
          </w:p>
        </w:tc>
        <w:tc>
          <w:tcPr>
            <w:tcW w:w="30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jc w:val="right"/>
              <w:ind w:right="360"/>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gridSpan w:val="2"/>
          </w:tcPr>
          <w:p>
            <w:pPr>
              <w:jc w:val="right"/>
              <w:ind w:right="25"/>
              <w:spacing w:after="0" w:line="142" w:lineRule="exact"/>
              <w:rPr>
                <w:sz w:val="20"/>
                <w:szCs w:val="20"/>
                <w:color w:val="auto"/>
              </w:rPr>
            </w:pPr>
            <w:r>
              <w:rPr>
                <w:rFonts w:ascii="Arial" w:cs="Arial" w:eastAsia="Arial" w:hAnsi="Arial"/>
                <w:sz w:val="14"/>
                <w:szCs w:val="14"/>
                <w:b w:val="1"/>
                <w:bCs w:val="1"/>
                <w:color w:val="auto"/>
              </w:rPr>
              <w:t>2014</w:t>
            </w:r>
          </w:p>
        </w:tc>
        <w:tc>
          <w:tcPr>
            <w:tcW w:w="34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760" w:type="dxa"/>
            <w:vAlign w:val="bottom"/>
            <w:gridSpan w:val="2"/>
          </w:tcPr>
          <w:p>
            <w:pPr>
              <w:ind w:left="560"/>
              <w:spacing w:after="0" w:line="142" w:lineRule="exact"/>
              <w:rPr>
                <w:sz w:val="20"/>
                <w:szCs w:val="20"/>
                <w:color w:val="auto"/>
              </w:rPr>
            </w:pPr>
            <w:r>
              <w:rPr>
                <w:rFonts w:ascii="Arial" w:cs="Arial" w:eastAsia="Arial" w:hAnsi="Arial"/>
                <w:sz w:val="14"/>
                <w:szCs w:val="14"/>
                <w:b w:val="1"/>
                <w:bCs w:val="1"/>
                <w:color w:val="auto"/>
              </w:rPr>
              <w:t>hedging relationships</w:t>
            </w:r>
          </w:p>
        </w:tc>
        <w:tc>
          <w:tcPr>
            <w:tcW w:w="26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jc w:val="right"/>
              <w:ind w:right="381"/>
              <w:spacing w:after="0" w:line="142" w:lineRule="exact"/>
              <w:rPr>
                <w:sz w:val="20"/>
                <w:szCs w:val="20"/>
                <w:color w:val="auto"/>
              </w:rPr>
            </w:pPr>
            <w:r>
              <w:rPr>
                <w:rFonts w:ascii="Arial" w:cs="Arial" w:eastAsia="Arial" w:hAnsi="Arial"/>
                <w:sz w:val="14"/>
                <w:szCs w:val="14"/>
                <w:b w:val="1"/>
                <w:bCs w:val="1"/>
                <w:color w:val="auto"/>
              </w:rPr>
              <w:t>2015</w:t>
            </w:r>
          </w:p>
        </w:tc>
        <w:tc>
          <w:tcPr>
            <w:tcW w:w="18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353"/>
              <w:spacing w:after="0" w:line="142" w:lineRule="exact"/>
              <w:rPr>
                <w:sz w:val="20"/>
                <w:szCs w:val="20"/>
                <w:color w:val="auto"/>
              </w:rPr>
            </w:pPr>
            <w:r>
              <w:rPr>
                <w:rFonts w:ascii="Arial" w:cs="Arial" w:eastAsia="Arial" w:hAnsi="Arial"/>
                <w:sz w:val="14"/>
                <w:szCs w:val="14"/>
                <w:b w:val="1"/>
                <w:bCs w:val="1"/>
                <w:color w:val="auto"/>
                <w:w w:val="89"/>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7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060" w:type="dxa"/>
            <w:vAlign w:val="bottom"/>
            <w:tcBorders>
              <w:top w:val="single" w:sz="8" w:color="auto"/>
            </w:tcBorders>
            <w:gridSpan w:val="4"/>
          </w:tcPr>
          <w:p>
            <w:pPr>
              <w:jc w:val="center"/>
              <w:ind w:left="4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34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46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660" w:type="dxa"/>
            <w:vAlign w:val="bottom"/>
            <w:tcBorders>
              <w:top w:val="single" w:sz="8" w:color="auto"/>
            </w:tcBorders>
            <w:gridSpan w:val="4"/>
          </w:tcPr>
          <w:p>
            <w:pPr>
              <w:jc w:val="center"/>
              <w:ind w:left="401"/>
              <w:spacing w:after="0" w:line="142" w:lineRule="exact"/>
              <w:rPr>
                <w:sz w:val="20"/>
                <w:szCs w:val="20"/>
                <w:color w:val="auto"/>
              </w:rPr>
            </w:pPr>
            <w:r>
              <w:rPr>
                <w:rFonts w:ascii="Arial" w:cs="Arial" w:eastAsia="Arial" w:hAnsi="Arial"/>
                <w:sz w:val="14"/>
                <w:szCs w:val="14"/>
                <w:b w:val="1"/>
                <w:bCs w:val="1"/>
                <w:color w:val="auto"/>
                <w:w w:val="94"/>
              </w:rPr>
              <w:t>(in millions)</w:t>
            </w:r>
          </w:p>
        </w:tc>
        <w:tc>
          <w:tcPr>
            <w:tcW w:w="7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2"/>
        </w:trPr>
        <w:tc>
          <w:tcPr>
            <w:tcW w:w="27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Interest rate contracts</w:t>
            </w:r>
          </w:p>
        </w:tc>
        <w:tc>
          <w:tcPr>
            <w:tcW w:w="520" w:type="dxa"/>
            <w:vAlign w:val="bottom"/>
            <w:gridSpan w:val="2"/>
            <w:vMerge w:val="restart"/>
            <w:shd w:val="clear" w:color="auto" w:fill="CCEEFF"/>
          </w:tcPr>
          <w:p>
            <w:pPr>
              <w:jc w:val="right"/>
              <w:ind w:right="65"/>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11.1</w:t>
            </w:r>
          </w:p>
        </w:tc>
        <w:tc>
          <w:tcPr>
            <w:tcW w:w="1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7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Fixed maturities, available-for-</w:t>
            </w:r>
          </w:p>
        </w:tc>
        <w:tc>
          <w:tcPr>
            <w:tcW w:w="260" w:type="dxa"/>
            <w:vAlign w:val="bottom"/>
            <w:vMerge w:val="restart"/>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1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(11.0)</w:t>
            </w:r>
          </w:p>
        </w:tc>
        <w:tc>
          <w:tcPr>
            <w:tcW w:w="1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700" w:type="dxa"/>
            <w:vAlign w:val="bottom"/>
            <w:shd w:val="clear" w:color="auto" w:fill="CCEEFF"/>
          </w:tcPr>
          <w:p>
            <w:pPr>
              <w:spacing w:after="0"/>
              <w:rPr>
                <w:sz w:val="20"/>
                <w:szCs w:val="20"/>
                <w:color w:val="auto"/>
              </w:rPr>
            </w:pPr>
          </w:p>
        </w:tc>
        <w:tc>
          <w:tcPr>
            <w:tcW w:w="520" w:type="dxa"/>
            <w:vAlign w:val="bottom"/>
            <w:gridSpan w:val="2"/>
            <w:vMerge w:val="continue"/>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980" w:type="dxa"/>
            <w:vAlign w:val="bottom"/>
            <w:gridSpan w:val="2"/>
            <w:shd w:val="clear" w:color="auto" w:fill="CCEEFF"/>
          </w:tcPr>
          <w:p>
            <w:pPr>
              <w:jc w:val="right"/>
              <w:ind w:right="665"/>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1"/>
              </w:rPr>
              <w:t>27.2</w:t>
            </w:r>
          </w:p>
        </w:tc>
        <w:tc>
          <w:tcPr>
            <w:tcW w:w="27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sale</w:t>
            </w:r>
          </w:p>
        </w:tc>
        <w:tc>
          <w:tcPr>
            <w:tcW w:w="260" w:type="dxa"/>
            <w:vAlign w:val="bottom"/>
            <w:vMerge w:val="continue"/>
            <w:shd w:val="clear" w:color="auto" w:fill="CCEEFF"/>
          </w:tcPr>
          <w:p>
            <w:pPr>
              <w:spacing w:after="0"/>
              <w:rPr>
                <w:sz w:val="20"/>
                <w:szCs w:val="20"/>
                <w:color w:val="auto"/>
              </w:rPr>
            </w:pPr>
          </w:p>
        </w:tc>
        <w:tc>
          <w:tcPr>
            <w:tcW w:w="1100" w:type="dxa"/>
            <w:vAlign w:val="bottom"/>
            <w:gridSpan w:val="2"/>
            <w:vMerge w:val="continue"/>
            <w:shd w:val="clear" w:color="auto" w:fill="CCEEFF"/>
          </w:tcPr>
          <w:p>
            <w:pPr>
              <w:spacing w:after="0"/>
              <w:rPr>
                <w:sz w:val="20"/>
                <w:szCs w:val="20"/>
                <w:color w:val="auto"/>
              </w:rPr>
            </w:pPr>
          </w:p>
        </w:tc>
        <w:tc>
          <w:tcPr>
            <w:tcW w:w="560" w:type="dxa"/>
            <w:vAlign w:val="bottom"/>
            <w:gridSpan w:val="2"/>
            <w:shd w:val="clear" w:color="auto" w:fill="CCEEFF"/>
          </w:tcPr>
          <w:p>
            <w:pPr>
              <w:jc w:val="right"/>
              <w:ind w:right="265"/>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0" w:type="dxa"/>
            <w:vAlign w:val="bottom"/>
          </w:tcPr>
          <w:p>
            <w:pPr>
              <w:spacing w:after="0"/>
              <w:rPr>
                <w:sz w:val="1"/>
                <w:szCs w:val="1"/>
                <w:color w:val="auto"/>
              </w:rPr>
            </w:pPr>
          </w:p>
        </w:tc>
      </w:tr>
      <w:tr>
        <w:trPr>
          <w:trHeight w:val="202"/>
        </w:trPr>
        <w:tc>
          <w:tcPr>
            <w:tcW w:w="2700" w:type="dxa"/>
            <w:vAlign w:val="bottom"/>
          </w:tcPr>
          <w:p>
            <w:pPr>
              <w:spacing w:after="0" w:line="201" w:lineRule="exact"/>
              <w:rPr>
                <w:sz w:val="20"/>
                <w:szCs w:val="20"/>
                <w:color w:val="auto"/>
              </w:rPr>
            </w:pPr>
            <w:r>
              <w:rPr>
                <w:rFonts w:ascii="Arial" w:cs="Arial" w:eastAsia="Arial" w:hAnsi="Arial"/>
                <w:sz w:val="18"/>
                <w:szCs w:val="18"/>
                <w:color w:val="auto"/>
              </w:rPr>
              <w:t>Interest rate contracts</w:t>
            </w:r>
          </w:p>
        </w:tc>
        <w:tc>
          <w:tcPr>
            <w:tcW w:w="3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3.9</w:t>
            </w: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760" w:type="dxa"/>
            <w:vAlign w:val="bottom"/>
            <w:gridSpan w:val="2"/>
          </w:tcPr>
          <w:p>
            <w:pPr>
              <w:spacing w:after="0" w:line="201" w:lineRule="exact"/>
              <w:rPr>
                <w:sz w:val="20"/>
                <w:szCs w:val="20"/>
                <w:color w:val="auto"/>
              </w:rPr>
            </w:pPr>
            <w:r>
              <w:rPr>
                <w:rFonts w:ascii="Arial" w:cs="Arial" w:eastAsia="Arial" w:hAnsi="Arial"/>
                <w:sz w:val="18"/>
                <w:szCs w:val="18"/>
                <w:color w:val="auto"/>
              </w:rPr>
              <w:t>Investment-type insurance</w:t>
            </w:r>
          </w:p>
        </w:tc>
        <w:tc>
          <w:tcPr>
            <w:tcW w:w="260" w:type="dxa"/>
            <w:vAlign w:val="bottom"/>
          </w:tcPr>
          <w:p>
            <w:pPr>
              <w:spacing w:after="0"/>
              <w:rPr>
                <w:sz w:val="17"/>
                <w:szCs w:val="17"/>
                <w:color w:val="auto"/>
              </w:rPr>
            </w:pPr>
          </w:p>
        </w:tc>
        <w:tc>
          <w:tcPr>
            <w:tcW w:w="110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(3.8)</w:t>
            </w:r>
          </w:p>
        </w:tc>
        <w:tc>
          <w:tcPr>
            <w:tcW w:w="1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7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color w:val="auto"/>
              </w:rPr>
              <w:t>0.2</w:t>
            </w:r>
          </w:p>
        </w:tc>
        <w:tc>
          <w:tcPr>
            <w:tcW w:w="2760" w:type="dxa"/>
            <w:vAlign w:val="bottom"/>
            <w:gridSpan w:val="2"/>
          </w:tcPr>
          <w:p>
            <w:pPr>
              <w:ind w:left="180"/>
              <w:spacing w:after="0"/>
              <w:rPr>
                <w:sz w:val="20"/>
                <w:szCs w:val="20"/>
                <w:color w:val="auto"/>
              </w:rPr>
            </w:pPr>
            <w:r>
              <w:rPr>
                <w:rFonts w:ascii="Arial" w:cs="Arial" w:eastAsia="Arial" w:hAnsi="Arial"/>
                <w:sz w:val="18"/>
                <w:szCs w:val="18"/>
                <w:color w:val="auto"/>
              </w:rPr>
              <w:t>contracts</w:t>
            </w:r>
          </w:p>
        </w:tc>
        <w:tc>
          <w:tcPr>
            <w:tcW w:w="260" w:type="dxa"/>
            <w:vAlign w:val="bottom"/>
          </w:tcPr>
          <w:p>
            <w:pPr>
              <w:spacing w:after="0"/>
              <w:rPr>
                <w:sz w:val="20"/>
                <w:szCs w:val="20"/>
                <w:color w:val="auto"/>
              </w:rPr>
            </w:pPr>
          </w:p>
        </w:tc>
        <w:tc>
          <w:tcPr>
            <w:tcW w:w="110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2"/>
        </w:trPr>
        <w:tc>
          <w:tcPr>
            <w:tcW w:w="27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Foreign exchange contracts</w:t>
            </w:r>
          </w:p>
        </w:tc>
        <w:tc>
          <w:tcPr>
            <w:tcW w:w="3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3.8</w:t>
            </w:r>
          </w:p>
        </w:tc>
        <w:tc>
          <w:tcPr>
            <w:tcW w:w="1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7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Fixed maturities, available-for-</w:t>
            </w:r>
          </w:p>
        </w:tc>
        <w:tc>
          <w:tcPr>
            <w:tcW w:w="260" w:type="dxa"/>
            <w:vAlign w:val="bottom"/>
            <w:shd w:val="clear" w:color="auto" w:fill="CCEEFF"/>
          </w:tcPr>
          <w:p>
            <w:pPr>
              <w:spacing w:after="0"/>
              <w:rPr>
                <w:sz w:val="17"/>
                <w:szCs w:val="17"/>
                <w:color w:val="auto"/>
              </w:rPr>
            </w:pPr>
          </w:p>
        </w:tc>
        <w:tc>
          <w:tcPr>
            <w:tcW w:w="11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(3.8)</w:t>
            </w:r>
          </w:p>
        </w:tc>
        <w:tc>
          <w:tcPr>
            <w:tcW w:w="1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7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2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w:t>
            </w:r>
          </w:p>
        </w:tc>
        <w:tc>
          <w:tcPr>
            <w:tcW w:w="27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sale</w:t>
            </w:r>
          </w:p>
        </w:tc>
        <w:tc>
          <w:tcPr>
            <w:tcW w:w="260" w:type="dxa"/>
            <w:vAlign w:val="bottom"/>
            <w:shd w:val="clear" w:color="auto" w:fill="CCEEFF"/>
          </w:tcPr>
          <w:p>
            <w:pPr>
              <w:spacing w:after="0"/>
              <w:rPr>
                <w:sz w:val="20"/>
                <w:szCs w:val="20"/>
                <w:color w:val="auto"/>
              </w:rPr>
            </w:pPr>
          </w:p>
        </w:tc>
        <w:tc>
          <w:tcPr>
            <w:tcW w:w="110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202"/>
        </w:trPr>
        <w:tc>
          <w:tcPr>
            <w:tcW w:w="2700" w:type="dxa"/>
            <w:vAlign w:val="bottom"/>
          </w:tcPr>
          <w:p>
            <w:pPr>
              <w:spacing w:after="0" w:line="201" w:lineRule="exact"/>
              <w:rPr>
                <w:sz w:val="20"/>
                <w:szCs w:val="20"/>
                <w:color w:val="auto"/>
              </w:rPr>
            </w:pPr>
            <w:r>
              <w:rPr>
                <w:rFonts w:ascii="Arial" w:cs="Arial" w:eastAsia="Arial" w:hAnsi="Arial"/>
                <w:sz w:val="18"/>
                <w:szCs w:val="18"/>
                <w:color w:val="auto"/>
              </w:rPr>
              <w:t>Foreign exchange contracts</w:t>
            </w:r>
          </w:p>
        </w:tc>
        <w:tc>
          <w:tcPr>
            <w:tcW w:w="3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760" w:type="dxa"/>
            <w:vAlign w:val="bottom"/>
            <w:gridSpan w:val="2"/>
          </w:tcPr>
          <w:p>
            <w:pPr>
              <w:spacing w:after="0" w:line="201" w:lineRule="exact"/>
              <w:rPr>
                <w:sz w:val="20"/>
                <w:szCs w:val="20"/>
                <w:color w:val="auto"/>
              </w:rPr>
            </w:pPr>
            <w:r>
              <w:rPr>
                <w:rFonts w:ascii="Arial" w:cs="Arial" w:eastAsia="Arial" w:hAnsi="Arial"/>
                <w:sz w:val="18"/>
                <w:szCs w:val="18"/>
                <w:color w:val="auto"/>
              </w:rPr>
              <w:t>Investment-type insurance</w:t>
            </w:r>
          </w:p>
        </w:tc>
        <w:tc>
          <w:tcPr>
            <w:tcW w:w="260" w:type="dxa"/>
            <w:vAlign w:val="bottom"/>
          </w:tcPr>
          <w:p>
            <w:pPr>
              <w:spacing w:after="0"/>
              <w:rPr>
                <w:sz w:val="17"/>
                <w:szCs w:val="17"/>
                <w:color w:val="auto"/>
              </w:rPr>
            </w:pPr>
          </w:p>
        </w:tc>
        <w:tc>
          <w:tcPr>
            <w:tcW w:w="11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7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color w:val="auto"/>
              </w:rPr>
              <w:t>0.2</w:t>
            </w:r>
          </w:p>
        </w:tc>
        <w:tc>
          <w:tcPr>
            <w:tcW w:w="2760" w:type="dxa"/>
            <w:vAlign w:val="bottom"/>
            <w:gridSpan w:val="2"/>
          </w:tcPr>
          <w:p>
            <w:pPr>
              <w:ind w:left="180"/>
              <w:spacing w:after="0"/>
              <w:rPr>
                <w:sz w:val="20"/>
                <w:szCs w:val="20"/>
                <w:color w:val="auto"/>
              </w:rPr>
            </w:pPr>
            <w:r>
              <w:rPr>
                <w:rFonts w:ascii="Arial" w:cs="Arial" w:eastAsia="Arial" w:hAnsi="Arial"/>
                <w:sz w:val="18"/>
                <w:szCs w:val="18"/>
                <w:color w:val="auto"/>
              </w:rPr>
              <w:t>contracts</w:t>
            </w:r>
          </w:p>
        </w:tc>
        <w:tc>
          <w:tcPr>
            <w:tcW w:w="260" w:type="dxa"/>
            <w:vAlign w:val="bottom"/>
          </w:tcPr>
          <w:p>
            <w:pPr>
              <w:spacing w:after="0"/>
              <w:rPr>
                <w:sz w:val="20"/>
                <w:szCs w:val="20"/>
                <w:color w:val="auto"/>
              </w:rPr>
            </w:pPr>
          </w:p>
        </w:tc>
        <w:tc>
          <w:tcPr>
            <w:tcW w:w="110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23"/>
        </w:trPr>
        <w:tc>
          <w:tcPr>
            <w:tcW w:w="27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30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18.8</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820" w:type="dxa"/>
            <w:vAlign w:val="bottom"/>
            <w:tcBorders>
              <w:top w:val="single" w:sz="8" w:color="auto"/>
              <w:bottom w:val="single" w:sz="8" w:color="auto"/>
            </w:tcBorders>
            <w:shd w:val="clear" w:color="auto" w:fill="CCEEFF"/>
          </w:tcPr>
          <w:p>
            <w:pPr>
              <w:jc w:val="right"/>
              <w:ind w:right="665"/>
              <w:spacing w:after="0"/>
              <w:rPr>
                <w:sz w:val="20"/>
                <w:szCs w:val="20"/>
                <w:color w:val="auto"/>
              </w:rPr>
            </w:pPr>
            <w:r>
              <w:rPr>
                <w:rFonts w:ascii="Arial" w:cs="Arial" w:eastAsia="Arial" w:hAnsi="Arial"/>
                <w:sz w:val="15"/>
                <w:szCs w:val="15"/>
                <w:color w:val="auto"/>
                <w:w w:val="71"/>
              </w:rPr>
              <w:t>$</w:t>
            </w:r>
          </w:p>
        </w:tc>
        <w:tc>
          <w:tcPr>
            <w:tcW w:w="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31.4</w:t>
            </w: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276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(18.6</w:t>
            </w:r>
          </w:p>
        </w:tc>
        <w:tc>
          <w:tcPr>
            <w:tcW w:w="180" w:type="dxa"/>
            <w:vAlign w:val="bottom"/>
            <w:tcBorders>
              <w:top w:val="single" w:sz="8" w:color="CCEEFF"/>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b w:val="1"/>
                <w:bCs w:val="1"/>
                <w:color w:val="auto"/>
                <w:w w:val="74"/>
              </w:rPr>
              <w:t>)</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420" w:type="dxa"/>
            <w:vAlign w:val="bottom"/>
            <w:tcBorders>
              <w:top w:val="single" w:sz="8" w:color="auto"/>
              <w:bottom w:val="single" w:sz="8" w:color="auto"/>
            </w:tcBorders>
            <w:shd w:val="clear" w:color="auto" w:fill="CCEEFF"/>
          </w:tcPr>
          <w:p>
            <w:pPr>
              <w:jc w:val="right"/>
              <w:ind w:right="26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(32.5</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40" w:right="520" w:hanging="332"/>
        <w:spacing w:after="0" w:line="277" w:lineRule="auto"/>
        <w:tabs>
          <w:tab w:leader="none" w:pos="347"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gain (loss) on both derivatives and hedged items in fair value relationships is reported in net realized capital gains (losses) on the consolidated statements of operations. The net amount represents the ineffective portion of our fair value hedges.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shows the periodic settlements on interest rate contracts and foreign exchange contracts in fair value hedging relationships.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0" w:type="dxa"/>
            <w:vAlign w:val="bottom"/>
            <w:gridSpan w:val="4"/>
          </w:tcPr>
          <w:p>
            <w:pPr>
              <w:jc w:val="right"/>
              <w:ind w:right="720"/>
              <w:spacing w:after="0"/>
              <w:rPr>
                <w:sz w:val="20"/>
                <w:szCs w:val="20"/>
                <w:color w:val="auto"/>
              </w:rPr>
            </w:pPr>
            <w:r>
              <w:rPr>
                <w:rFonts w:ascii="Arial" w:cs="Arial" w:eastAsia="Arial" w:hAnsi="Arial"/>
                <w:sz w:val="14"/>
                <w:szCs w:val="14"/>
                <w:b w:val="1"/>
                <w:bCs w:val="1"/>
                <w:color w:val="auto"/>
                <w:w w:val="98"/>
              </w:rPr>
              <w:t>Amount of gain (loss) for the three</w:t>
            </w:r>
          </w:p>
        </w:tc>
        <w:tc>
          <w:tcPr>
            <w:tcW w:w="360" w:type="dxa"/>
            <w:vAlign w:val="bottom"/>
          </w:tcPr>
          <w:p>
            <w:pPr>
              <w:spacing w:after="0"/>
              <w:rPr>
                <w:sz w:val="14"/>
                <w:szCs w:val="14"/>
                <w:color w:val="auto"/>
              </w:rPr>
            </w:pPr>
          </w:p>
        </w:tc>
        <w:tc>
          <w:tcPr>
            <w:tcW w:w="2780" w:type="dxa"/>
            <w:vAlign w:val="bottom"/>
            <w:gridSpan w:val="4"/>
          </w:tcPr>
          <w:p>
            <w:pPr>
              <w:jc w:val="right"/>
              <w:ind w:right="740"/>
              <w:spacing w:after="0"/>
              <w:rPr>
                <w:sz w:val="20"/>
                <w:szCs w:val="20"/>
                <w:color w:val="auto"/>
              </w:rPr>
            </w:pPr>
            <w:r>
              <w:rPr>
                <w:rFonts w:ascii="Arial" w:cs="Arial" w:eastAsia="Arial" w:hAnsi="Arial"/>
                <w:sz w:val="14"/>
                <w:szCs w:val="14"/>
                <w:b w:val="1"/>
                <w:bCs w:val="1"/>
                <w:color w:val="auto"/>
              </w:rPr>
              <w:t>Amount of gain (loss) for the</w:t>
            </w:r>
          </w:p>
        </w:tc>
        <w:tc>
          <w:tcPr>
            <w:tcW w:w="0" w:type="dxa"/>
            <w:vAlign w:val="bottom"/>
          </w:tcPr>
          <w:p>
            <w:pPr>
              <w:spacing w:after="0"/>
              <w:rPr>
                <w:sz w:val="1"/>
                <w:szCs w:val="1"/>
                <w:color w:val="auto"/>
              </w:rPr>
            </w:pPr>
          </w:p>
        </w:tc>
      </w:tr>
      <w:tr>
        <w:trPr>
          <w:trHeight w:val="171"/>
        </w:trPr>
        <w:tc>
          <w:tcPr>
            <w:tcW w:w="50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Hedged item</w:t>
            </w:r>
          </w:p>
        </w:tc>
        <w:tc>
          <w:tcPr>
            <w:tcW w:w="280" w:type="dxa"/>
            <w:vAlign w:val="bottom"/>
          </w:tcPr>
          <w:p>
            <w:pPr>
              <w:spacing w:after="0"/>
              <w:rPr>
                <w:sz w:val="14"/>
                <w:szCs w:val="14"/>
                <w:color w:val="auto"/>
              </w:rPr>
            </w:pPr>
          </w:p>
        </w:tc>
        <w:tc>
          <w:tcPr>
            <w:tcW w:w="3000" w:type="dxa"/>
            <w:vAlign w:val="bottom"/>
            <w:gridSpan w:val="4"/>
          </w:tcPr>
          <w:p>
            <w:pPr>
              <w:jc w:val="right"/>
              <w:ind w:right="880"/>
              <w:spacing w:after="0"/>
              <w:rPr>
                <w:sz w:val="20"/>
                <w:szCs w:val="20"/>
                <w:color w:val="auto"/>
              </w:rPr>
            </w:pPr>
            <w:r>
              <w:rPr>
                <w:rFonts w:ascii="Arial" w:cs="Arial" w:eastAsia="Arial" w:hAnsi="Arial"/>
                <w:sz w:val="14"/>
                <w:szCs w:val="14"/>
                <w:b w:val="1"/>
                <w:bCs w:val="1"/>
                <w:color w:val="auto"/>
              </w:rPr>
              <w:t>months ended September 30,</w:t>
            </w:r>
          </w:p>
        </w:tc>
        <w:tc>
          <w:tcPr>
            <w:tcW w:w="360" w:type="dxa"/>
            <w:vAlign w:val="bottom"/>
          </w:tcPr>
          <w:p>
            <w:pPr>
              <w:spacing w:after="0"/>
              <w:rPr>
                <w:sz w:val="14"/>
                <w:szCs w:val="14"/>
                <w:color w:val="auto"/>
              </w:rPr>
            </w:pPr>
          </w:p>
        </w:tc>
        <w:tc>
          <w:tcPr>
            <w:tcW w:w="2780" w:type="dxa"/>
            <w:vAlign w:val="bottom"/>
            <w:gridSpan w:val="4"/>
          </w:tcPr>
          <w:p>
            <w:pPr>
              <w:jc w:val="right"/>
              <w:ind w:right="580"/>
              <w:spacing w:after="0"/>
              <w:rPr>
                <w:sz w:val="20"/>
                <w:szCs w:val="20"/>
                <w:color w:val="auto"/>
              </w:rPr>
            </w:pPr>
            <w:r>
              <w:rPr>
                <w:rFonts w:ascii="Arial" w:cs="Arial" w:eastAsia="Arial" w:hAnsi="Arial"/>
                <w:sz w:val="14"/>
                <w:szCs w:val="14"/>
                <w:b w:val="1"/>
                <w:bCs w:val="1"/>
                <w:color w:val="auto"/>
                <w:w w:val="95"/>
              </w:rPr>
              <w:t>nine months ended September 30,</w:t>
            </w:r>
          </w:p>
        </w:tc>
        <w:tc>
          <w:tcPr>
            <w:tcW w:w="0" w:type="dxa"/>
            <w:vAlign w:val="bottom"/>
          </w:tcPr>
          <w:p>
            <w:pPr>
              <w:spacing w:after="0"/>
              <w:rPr>
                <w:sz w:val="1"/>
                <w:szCs w:val="1"/>
                <w:color w:val="auto"/>
              </w:rPr>
            </w:pPr>
          </w:p>
        </w:tc>
      </w:tr>
      <w:tr>
        <w:trPr>
          <w:trHeight w:val="142"/>
        </w:trPr>
        <w:tc>
          <w:tcPr>
            <w:tcW w:w="5000" w:type="dxa"/>
            <w:vAlign w:val="bottom"/>
            <w:gridSpan w:val="2"/>
            <w:vMerge w:val="continue"/>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tcPr>
          <w:p>
            <w:pPr>
              <w:jc w:val="right"/>
              <w:ind w:right="621"/>
              <w:spacing w:after="0" w:line="142" w:lineRule="exact"/>
              <w:rPr>
                <w:sz w:val="20"/>
                <w:szCs w:val="20"/>
                <w:color w:val="auto"/>
              </w:rPr>
            </w:pPr>
            <w:r>
              <w:rPr>
                <w:rFonts w:ascii="Arial" w:cs="Arial" w:eastAsia="Arial" w:hAnsi="Arial"/>
                <w:sz w:val="14"/>
                <w:szCs w:val="14"/>
                <w:b w:val="1"/>
                <w:bCs w:val="1"/>
                <w:color w:val="auto"/>
              </w:rPr>
              <w:t>2015</w:t>
            </w:r>
          </w:p>
        </w:tc>
        <w:tc>
          <w:tcPr>
            <w:tcW w:w="44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jc w:val="right"/>
              <w:ind w:right="459"/>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jc w:val="right"/>
              <w:ind w:right="621"/>
              <w:spacing w:after="0" w:line="142" w:lineRule="exact"/>
              <w:rPr>
                <w:sz w:val="20"/>
                <w:szCs w:val="20"/>
                <w:color w:val="auto"/>
              </w:rPr>
            </w:pPr>
            <w:r>
              <w:rPr>
                <w:rFonts w:ascii="Arial" w:cs="Arial" w:eastAsia="Arial" w:hAnsi="Arial"/>
                <w:sz w:val="14"/>
                <w:szCs w:val="14"/>
                <w:b w:val="1"/>
                <w:bCs w:val="1"/>
                <w:color w:val="auto"/>
              </w:rPr>
              <w:t>2015</w:t>
            </w:r>
          </w:p>
        </w:tc>
        <w:tc>
          <w:tcPr>
            <w:tcW w:w="44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jc w:val="right"/>
              <w:ind w:right="476"/>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72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1680" w:type="dxa"/>
            <w:vAlign w:val="bottom"/>
            <w:tcBorders>
              <w:top w:val="single" w:sz="8" w:color="auto"/>
            </w:tcBorders>
            <w:gridSpan w:val="3"/>
          </w:tcPr>
          <w:p>
            <w:pPr>
              <w:jc w:val="right"/>
              <w:ind w:right="30"/>
              <w:spacing w:after="0" w:line="142" w:lineRule="exact"/>
              <w:rPr>
                <w:sz w:val="20"/>
                <w:szCs w:val="20"/>
                <w:color w:val="auto"/>
              </w:rPr>
            </w:pPr>
            <w:r>
              <w:rPr>
                <w:rFonts w:ascii="Arial" w:cs="Arial" w:eastAsia="Arial" w:hAnsi="Arial"/>
                <w:sz w:val="14"/>
                <w:szCs w:val="14"/>
                <w:b w:val="1"/>
                <w:bCs w:val="1"/>
                <w:color w:val="auto"/>
              </w:rPr>
              <w:t>(in millions)</w:t>
            </w:r>
          </w:p>
        </w:tc>
        <w:tc>
          <w:tcPr>
            <w:tcW w:w="118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maturities, available-for-sale (1)</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shd w:val="clear" w:color="auto" w:fill="CCEEFF"/>
          </w:tcPr>
          <w:p>
            <w:pPr>
              <w:jc w:val="right"/>
              <w:ind w:right="21"/>
              <w:spacing w:after="0"/>
              <w:rPr>
                <w:sz w:val="20"/>
                <w:szCs w:val="20"/>
                <w:color w:val="auto"/>
              </w:rPr>
            </w:pPr>
            <w:r>
              <w:rPr>
                <w:rFonts w:ascii="Arial" w:cs="Arial" w:eastAsia="Arial" w:hAnsi="Arial"/>
                <w:sz w:val="18"/>
                <w:szCs w:val="18"/>
                <w:b w:val="1"/>
                <w:bCs w:val="1"/>
                <w:color w:val="auto"/>
              </w:rPr>
              <w:t>(17.6)</w:t>
            </w:r>
          </w:p>
        </w:tc>
        <w:tc>
          <w:tcPr>
            <w:tcW w:w="4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(22.2)</w:t>
            </w: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1180" w:type="dxa"/>
            <w:vAlign w:val="bottom"/>
            <w:shd w:val="clear" w:color="auto" w:fill="CCEEFF"/>
          </w:tcPr>
          <w:p>
            <w:pPr>
              <w:jc w:val="right"/>
              <w:ind w:right="21"/>
              <w:spacing w:after="0"/>
              <w:rPr>
                <w:sz w:val="20"/>
                <w:szCs w:val="20"/>
                <w:color w:val="auto"/>
              </w:rPr>
            </w:pPr>
            <w:r>
              <w:rPr>
                <w:rFonts w:ascii="Arial" w:cs="Arial" w:eastAsia="Arial" w:hAnsi="Arial"/>
                <w:sz w:val="18"/>
                <w:szCs w:val="18"/>
                <w:b w:val="1"/>
                <w:bCs w:val="1"/>
                <w:color w:val="auto"/>
              </w:rPr>
              <w:t>(56.9)</w:t>
            </w:r>
          </w:p>
        </w:tc>
        <w:tc>
          <w:tcPr>
            <w:tcW w:w="4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(71.5)</w:t>
            </w:r>
          </w:p>
        </w:tc>
        <w:tc>
          <w:tcPr>
            <w:tcW w:w="0" w:type="dxa"/>
            <w:vAlign w:val="bottom"/>
          </w:tcPr>
          <w:p>
            <w:pPr>
              <w:spacing w:after="0"/>
              <w:rPr>
                <w:sz w:val="1"/>
                <w:szCs w:val="1"/>
                <w:color w:val="auto"/>
              </w:rPr>
            </w:pPr>
          </w:p>
        </w:tc>
      </w:tr>
      <w:tr>
        <w:trPr>
          <w:trHeight w:val="234"/>
        </w:trPr>
        <w:tc>
          <w:tcPr>
            <w:tcW w:w="5000" w:type="dxa"/>
            <w:vAlign w:val="bottom"/>
            <w:gridSpan w:val="2"/>
          </w:tcPr>
          <w:p>
            <w:pPr>
              <w:spacing w:after="0"/>
              <w:rPr>
                <w:sz w:val="20"/>
                <w:szCs w:val="20"/>
                <w:color w:val="auto"/>
              </w:rPr>
            </w:pPr>
            <w:r>
              <w:rPr>
                <w:rFonts w:ascii="Arial" w:cs="Arial" w:eastAsia="Arial" w:hAnsi="Arial"/>
                <w:sz w:val="18"/>
                <w:szCs w:val="18"/>
                <w:color w:val="auto"/>
              </w:rPr>
              <w:t>Investment-type insurance contracts (2)</w:t>
            </w:r>
          </w:p>
        </w:tc>
        <w:tc>
          <w:tcPr>
            <w:tcW w:w="280" w:type="dxa"/>
            <w:vAlign w:val="bottom"/>
          </w:tcPr>
          <w:p>
            <w:pPr>
              <w:spacing w:after="0"/>
              <w:rPr>
                <w:sz w:val="20"/>
                <w:szCs w:val="20"/>
                <w:color w:val="auto"/>
              </w:rPr>
            </w:pPr>
          </w:p>
        </w:tc>
        <w:tc>
          <w:tcPr>
            <w:tcW w:w="1240" w:type="dxa"/>
            <w:vAlign w:val="bottom"/>
          </w:tcPr>
          <w:p>
            <w:pPr>
              <w:jc w:val="right"/>
              <w:ind w:right="81"/>
              <w:spacing w:after="0"/>
              <w:rPr>
                <w:sz w:val="20"/>
                <w:szCs w:val="20"/>
                <w:color w:val="auto"/>
              </w:rPr>
            </w:pPr>
            <w:r>
              <w:rPr>
                <w:rFonts w:ascii="Arial" w:cs="Arial" w:eastAsia="Arial" w:hAnsi="Arial"/>
                <w:sz w:val="18"/>
                <w:szCs w:val="18"/>
                <w:b w:val="1"/>
                <w:bCs w:val="1"/>
                <w:color w:val="auto"/>
              </w:rPr>
              <w:t>0.9</w:t>
            </w:r>
          </w:p>
        </w:tc>
        <w:tc>
          <w:tcPr>
            <w:tcW w:w="440" w:type="dxa"/>
            <w:vAlign w:val="bottom"/>
          </w:tcPr>
          <w:p>
            <w:pPr>
              <w:spacing w:after="0"/>
              <w:rPr>
                <w:sz w:val="20"/>
                <w:szCs w:val="20"/>
                <w:color w:val="auto"/>
              </w:rPr>
            </w:pP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1.0</w:t>
            </w:r>
          </w:p>
        </w:tc>
        <w:tc>
          <w:tcPr>
            <w:tcW w:w="360" w:type="dxa"/>
            <w:vAlign w:val="bottom"/>
          </w:tcPr>
          <w:p>
            <w:pPr>
              <w:spacing w:after="0"/>
              <w:rPr>
                <w:sz w:val="20"/>
                <w:szCs w:val="20"/>
                <w:color w:val="auto"/>
              </w:rPr>
            </w:pPr>
          </w:p>
        </w:tc>
        <w:tc>
          <w:tcPr>
            <w:tcW w:w="1180" w:type="dxa"/>
            <w:vAlign w:val="bottom"/>
          </w:tcPr>
          <w:p>
            <w:pPr>
              <w:jc w:val="right"/>
              <w:ind w:right="81"/>
              <w:spacing w:after="0"/>
              <w:rPr>
                <w:sz w:val="20"/>
                <w:szCs w:val="20"/>
                <w:color w:val="auto"/>
              </w:rPr>
            </w:pPr>
            <w:r>
              <w:rPr>
                <w:rFonts w:ascii="Arial" w:cs="Arial" w:eastAsia="Arial" w:hAnsi="Arial"/>
                <w:sz w:val="18"/>
                <w:szCs w:val="18"/>
                <w:b w:val="1"/>
                <w:bCs w:val="1"/>
                <w:color w:val="auto"/>
              </w:rPr>
              <w:t>2.8</w:t>
            </w:r>
          </w:p>
        </w:tc>
        <w:tc>
          <w:tcPr>
            <w:tcW w:w="440" w:type="dxa"/>
            <w:vAlign w:val="bottom"/>
          </w:tcPr>
          <w:p>
            <w:pPr>
              <w:spacing w:after="0"/>
              <w:rPr>
                <w:sz w:val="20"/>
                <w:szCs w:val="20"/>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194310</wp:posOffset>
            </wp:positionV>
            <wp:extent cx="1826895"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3" w:lineRule="exact"/>
        <w:rPr>
          <w:sz w:val="20"/>
          <w:szCs w:val="20"/>
          <w:color w:val="auto"/>
        </w:rPr>
      </w:pPr>
    </w:p>
    <w:p>
      <w:pPr>
        <w:ind w:left="440" w:hanging="432"/>
        <w:spacing w:after="0"/>
        <w:tabs>
          <w:tab w:leader="none" w:pos="4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Reported in net investment income on the consolidated statements of operations.</w:t>
      </w:r>
    </w:p>
    <w:p>
      <w:pPr>
        <w:spacing w:after="0" w:line="23" w:lineRule="exact"/>
        <w:rPr>
          <w:rFonts w:ascii="Arial" w:cs="Arial" w:eastAsia="Arial" w:hAnsi="Arial"/>
          <w:sz w:val="18"/>
          <w:szCs w:val="18"/>
          <w:color w:val="auto"/>
        </w:rPr>
      </w:pPr>
    </w:p>
    <w:p>
      <w:pPr>
        <w:ind w:left="440" w:hanging="432"/>
        <w:spacing w:after="0"/>
        <w:tabs>
          <w:tab w:leader="none" w:pos="4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Reported in benefits, claims and settlement expenses on the consolidated statements of operations.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 Hedges</w:t>
      </w:r>
    </w:p>
    <w:p>
      <w:pPr>
        <w:spacing w:after="0" w:line="229"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We utilize floating-to-fixed rate interest rate swaps to eliminate the variability in cash flows of recognized financial assets and liabilities and forecasted transactions.</w:t>
      </w:r>
    </w:p>
    <w:p>
      <w:pPr>
        <w:spacing w:after="0" w:line="170" w:lineRule="exact"/>
        <w:rPr>
          <w:sz w:val="20"/>
          <w:szCs w:val="20"/>
          <w:color w:val="auto"/>
        </w:rPr>
      </w:pPr>
    </w:p>
    <w:p>
      <w:pPr>
        <w:ind w:right="640" w:firstLine="648"/>
        <w:spacing w:after="0" w:line="308" w:lineRule="auto"/>
        <w:rPr>
          <w:sz w:val="20"/>
          <w:szCs w:val="20"/>
          <w:color w:val="auto"/>
        </w:rPr>
      </w:pPr>
      <w:r>
        <w:rPr>
          <w:rFonts w:ascii="Arial" w:cs="Arial" w:eastAsia="Arial" w:hAnsi="Arial"/>
          <w:sz w:val="17"/>
          <w:szCs w:val="17"/>
          <w:color w:val="auto"/>
        </w:rPr>
        <w:t>We enter into currency exchange swap agreements to convert both principal and interest payments of certain foreign denominated assets and liabilities into U.S. dollar denominated fixed-rate instruments to eliminate the exposure to future currency volatility on those items.</w:t>
      </w:r>
    </w:p>
    <w:p>
      <w:pPr>
        <w:spacing w:after="0" w:line="147" w:lineRule="exact"/>
        <w:rPr>
          <w:sz w:val="20"/>
          <w:szCs w:val="20"/>
          <w:color w:val="auto"/>
        </w:rPr>
      </w:pPr>
    </w:p>
    <w:p>
      <w:pPr>
        <w:ind w:right="560" w:firstLine="648"/>
        <w:spacing w:after="0" w:line="277" w:lineRule="auto"/>
        <w:rPr>
          <w:sz w:val="20"/>
          <w:szCs w:val="20"/>
          <w:color w:val="auto"/>
        </w:rPr>
      </w:pPr>
      <w:r>
        <w:rPr>
          <w:rFonts w:ascii="Arial" w:cs="Arial" w:eastAsia="Arial" w:hAnsi="Arial"/>
          <w:sz w:val="18"/>
          <w:szCs w:val="18"/>
          <w:color w:val="auto"/>
        </w:rPr>
        <w:t>The net interest effect of interest rate swap and currency swap transactions for derivatives in cash flow hedges is recorded as an adjustment to income or expense of the underlying hedged item in our consolidated statements of operations.</w:t>
      </w:r>
    </w:p>
    <w:p>
      <w:pPr>
        <w:spacing w:after="0" w:line="170"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The maximum length of time we are hedging our exposure to the variability in future cash flows for forecasted transactions, excluding those related to the payments of variable interest on existing financial assets and liabilities, is 4.7 years. At September 30, 2015, we had $53.1 million of net gains reported in AOCI on the consolidated statements of financial position related to active hedges of forecasted transactions. If a hedged forecasted transaction is no longer probable of occurring, cash flow hedge accounting is discontinued. If it is probable that the hedged forecasted transaction will not occur, the deferred gain or loss is immediately reclassified from AOCI into net income. We reclassified $0.0 million and $0.0 million from AOCI into net realized capital gains (losses) as a result of the determination that hedged cash flows were probable of not occurring during the nine months ended September 30, 2015 and 2014, respectively.</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ectPr>
          <w:pgSz w:w="11900" w:h="16870" w:orient="portrait"/>
          <w:cols w:equalWidth="0" w:num="1">
            <w:col w:w="11420"/>
          </w:cols>
          <w:pgMar w:left="240" w:top="118" w:right="239" w:bottom="0" w:gutter="0" w:footer="0" w:header="0"/>
        </w:sectPr>
      </w:pPr>
    </w:p>
    <w:bookmarkStart w:id="28" w:name="page29"/>
    <w:bookmarkEnd w:id="28"/>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The following table shows the effect of derivatives in cash flow hedging relationships on the consolidated statements of operations and consolidated statements of financial position. All gains or losses on derivatives were included in the assessment of hedge effectiveness.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8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1"/>
              </w:rPr>
              <w:t>Amount of gain (loss)</w:t>
            </w:r>
          </w:p>
        </w:tc>
        <w:tc>
          <w:tcPr>
            <w:tcW w:w="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20" w:type="dxa"/>
            <w:vAlign w:val="bottom"/>
            <w:gridSpan w:val="7"/>
          </w:tcPr>
          <w:p>
            <w:pPr>
              <w:jc w:val="center"/>
              <w:ind w:right="260"/>
              <w:spacing w:after="0"/>
              <w:rPr>
                <w:sz w:val="20"/>
                <w:szCs w:val="20"/>
                <w:color w:val="auto"/>
              </w:rPr>
            </w:pPr>
            <w:r>
              <w:rPr>
                <w:rFonts w:ascii="Arial" w:cs="Arial" w:eastAsia="Arial" w:hAnsi="Arial"/>
                <w:sz w:val="14"/>
                <w:szCs w:val="14"/>
                <w:b w:val="1"/>
                <w:bCs w:val="1"/>
                <w:color w:val="auto"/>
                <w:w w:val="91"/>
              </w:rPr>
              <w:t>Amount of gain (loss)</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280" w:type="dxa"/>
            <w:vAlign w:val="bottom"/>
            <w:gridSpan w:val="6"/>
          </w:tcPr>
          <w:p>
            <w:pPr>
              <w:jc w:val="center"/>
              <w:ind w:right="340"/>
              <w:spacing w:after="0" w:line="149" w:lineRule="exact"/>
              <w:rPr>
                <w:sz w:val="20"/>
                <w:szCs w:val="20"/>
                <w:color w:val="auto"/>
              </w:rPr>
            </w:pPr>
            <w:r>
              <w:rPr>
                <w:rFonts w:ascii="Arial" w:cs="Arial" w:eastAsia="Arial" w:hAnsi="Arial"/>
                <w:sz w:val="14"/>
                <w:szCs w:val="14"/>
                <w:b w:val="1"/>
                <w:bCs w:val="1"/>
                <w:color w:val="auto"/>
                <w:w w:val="94"/>
              </w:rPr>
              <w:t>recognized in AOCI on</w:t>
            </w:r>
          </w:p>
        </w:tc>
        <w:tc>
          <w:tcPr>
            <w:tcW w:w="20" w:type="dxa"/>
            <w:vAlign w:val="bottom"/>
          </w:tcPr>
          <w:p>
            <w:pPr>
              <w:spacing w:after="0"/>
              <w:rPr>
                <w:sz w:val="12"/>
                <w:szCs w:val="12"/>
                <w:color w:val="auto"/>
              </w:rPr>
            </w:pPr>
          </w:p>
        </w:tc>
        <w:tc>
          <w:tcPr>
            <w:tcW w:w="18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Location of gain (loss)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20" w:type="dxa"/>
            <w:vAlign w:val="bottom"/>
            <w:gridSpan w:val="7"/>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reclassified from AOCI on</w:t>
            </w:r>
          </w:p>
        </w:tc>
        <w:tc>
          <w:tcPr>
            <w:tcW w:w="0" w:type="dxa"/>
            <w:vAlign w:val="bottom"/>
          </w:tcPr>
          <w:p>
            <w:pPr>
              <w:spacing w:after="0"/>
              <w:rPr>
                <w:sz w:val="1"/>
                <w:szCs w:val="1"/>
                <w:color w:val="auto"/>
              </w:rPr>
            </w:pPr>
          </w:p>
        </w:tc>
      </w:tr>
      <w:tr>
        <w:trPr>
          <w:trHeight w:val="149"/>
        </w:trPr>
        <w:tc>
          <w:tcPr>
            <w:tcW w:w="18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Derivatives in cash</w:t>
            </w:r>
          </w:p>
        </w:tc>
        <w:tc>
          <w:tcPr>
            <w:tcW w:w="1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280" w:type="dxa"/>
            <w:vAlign w:val="bottom"/>
            <w:gridSpan w:val="6"/>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derivatives (effective portion)</w:t>
            </w:r>
          </w:p>
        </w:tc>
        <w:tc>
          <w:tcPr>
            <w:tcW w:w="2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20" w:type="dxa"/>
            <w:vAlign w:val="bottom"/>
            <w:gridSpan w:val="7"/>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derivatives (effective portion)</w:t>
            </w:r>
          </w:p>
        </w:tc>
        <w:tc>
          <w:tcPr>
            <w:tcW w:w="0" w:type="dxa"/>
            <w:vAlign w:val="bottom"/>
          </w:tcPr>
          <w:p>
            <w:pPr>
              <w:spacing w:after="0"/>
              <w:rPr>
                <w:sz w:val="1"/>
                <w:szCs w:val="1"/>
                <w:color w:val="auto"/>
              </w:rPr>
            </w:pPr>
          </w:p>
        </w:tc>
      </w:tr>
      <w:tr>
        <w:trPr>
          <w:trHeight w:val="149"/>
        </w:trPr>
        <w:tc>
          <w:tcPr>
            <w:tcW w:w="1840" w:type="dxa"/>
            <w:vAlign w:val="bottom"/>
            <w:gridSpan w:val="2"/>
            <w:vMerge w:val="continue"/>
          </w:tcPr>
          <w:p>
            <w:pPr>
              <w:spacing w:after="0"/>
              <w:rPr>
                <w:sz w:val="12"/>
                <w:szCs w:val="12"/>
                <w:color w:val="auto"/>
              </w:rPr>
            </w:pPr>
          </w:p>
        </w:tc>
        <w:tc>
          <w:tcPr>
            <w:tcW w:w="1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280" w:type="dxa"/>
            <w:vAlign w:val="bottom"/>
            <w:gridSpan w:val="6"/>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for the three months ended</w:t>
            </w:r>
          </w:p>
        </w:tc>
        <w:tc>
          <w:tcPr>
            <w:tcW w:w="20" w:type="dxa"/>
            <w:vAlign w:val="bottom"/>
          </w:tcPr>
          <w:p>
            <w:pPr>
              <w:spacing w:after="0"/>
              <w:rPr>
                <w:sz w:val="12"/>
                <w:szCs w:val="12"/>
                <w:color w:val="auto"/>
              </w:rPr>
            </w:pPr>
          </w:p>
        </w:tc>
        <w:tc>
          <w:tcPr>
            <w:tcW w:w="1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reclassified from AOCI</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20" w:type="dxa"/>
            <w:vAlign w:val="bottom"/>
            <w:gridSpan w:val="7"/>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for the three months ended</w:t>
            </w:r>
          </w:p>
        </w:tc>
        <w:tc>
          <w:tcPr>
            <w:tcW w:w="0" w:type="dxa"/>
            <w:vAlign w:val="bottom"/>
          </w:tcPr>
          <w:p>
            <w:pPr>
              <w:spacing w:after="0"/>
              <w:rPr>
                <w:sz w:val="1"/>
                <w:szCs w:val="1"/>
                <w:color w:val="auto"/>
              </w:rPr>
            </w:pPr>
          </w:p>
        </w:tc>
      </w:tr>
      <w:tr>
        <w:trPr>
          <w:trHeight w:val="171"/>
        </w:trPr>
        <w:tc>
          <w:tcPr>
            <w:tcW w:w="1840" w:type="dxa"/>
            <w:vAlign w:val="bottom"/>
            <w:gridSpan w:val="2"/>
          </w:tcPr>
          <w:p>
            <w:pPr>
              <w:spacing w:after="0"/>
              <w:rPr>
                <w:sz w:val="20"/>
                <w:szCs w:val="20"/>
                <w:color w:val="auto"/>
              </w:rPr>
            </w:pPr>
            <w:r>
              <w:rPr>
                <w:rFonts w:ascii="Arial" w:cs="Arial" w:eastAsia="Arial" w:hAnsi="Arial"/>
                <w:sz w:val="14"/>
                <w:szCs w:val="14"/>
                <w:b w:val="1"/>
                <w:bCs w:val="1"/>
                <w:color w:val="auto"/>
              </w:rPr>
              <w:t>flow hedging</w:t>
            </w:r>
          </w:p>
        </w:tc>
        <w:tc>
          <w:tcPr>
            <w:tcW w:w="1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center"/>
              <w:ind w:left="440"/>
              <w:spacing w:after="0"/>
              <w:rPr>
                <w:sz w:val="20"/>
                <w:szCs w:val="20"/>
                <w:color w:val="auto"/>
              </w:rPr>
            </w:pPr>
            <w:r>
              <w:rPr>
                <w:rFonts w:ascii="Arial" w:cs="Arial" w:eastAsia="Arial" w:hAnsi="Arial"/>
                <w:sz w:val="14"/>
                <w:szCs w:val="14"/>
                <w:b w:val="1"/>
                <w:bCs w:val="1"/>
                <w:color w:val="auto"/>
                <w:w w:val="91"/>
              </w:rPr>
              <w:t>September 30,</w:t>
            </w:r>
          </w:p>
        </w:tc>
        <w:tc>
          <w:tcPr>
            <w:tcW w:w="6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40" w:type="dxa"/>
            <w:vAlign w:val="bottom"/>
          </w:tcPr>
          <w:p>
            <w:pPr>
              <w:jc w:val="center"/>
              <w:spacing w:after="0"/>
              <w:rPr>
                <w:sz w:val="20"/>
                <w:szCs w:val="20"/>
                <w:color w:val="auto"/>
              </w:rPr>
            </w:pPr>
            <w:r>
              <w:rPr>
                <w:rFonts w:ascii="Arial" w:cs="Arial" w:eastAsia="Arial" w:hAnsi="Arial"/>
                <w:sz w:val="14"/>
                <w:szCs w:val="14"/>
                <w:b w:val="1"/>
                <w:bCs w:val="1"/>
                <w:color w:val="auto"/>
                <w:w w:val="90"/>
              </w:rPr>
              <w:t>into net income</w:t>
            </w:r>
          </w:p>
        </w:tc>
        <w:tc>
          <w:tcPr>
            <w:tcW w:w="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4"/>
          </w:tcPr>
          <w:p>
            <w:pPr>
              <w:jc w:val="center"/>
              <w:ind w:left="420"/>
              <w:spacing w:after="0"/>
              <w:rPr>
                <w:sz w:val="20"/>
                <w:szCs w:val="20"/>
                <w:color w:val="auto"/>
              </w:rPr>
            </w:pPr>
            <w:r>
              <w:rPr>
                <w:rFonts w:ascii="Arial" w:cs="Arial" w:eastAsia="Arial" w:hAnsi="Arial"/>
                <w:sz w:val="14"/>
                <w:szCs w:val="14"/>
                <w:b w:val="1"/>
                <w:bCs w:val="1"/>
                <w:color w:val="auto"/>
                <w:w w:val="91"/>
              </w:rPr>
              <w:t>September 30,</w:t>
            </w:r>
          </w:p>
        </w:tc>
        <w:tc>
          <w:tcPr>
            <w:tcW w:w="6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84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relationships</w:t>
            </w:r>
          </w:p>
        </w:tc>
        <w:tc>
          <w:tcPr>
            <w:tcW w:w="2200" w:type="dxa"/>
            <w:vAlign w:val="bottom"/>
            <w:gridSpan w:val="2"/>
          </w:tcPr>
          <w:p>
            <w:pPr>
              <w:ind w:left="360"/>
              <w:spacing w:after="0" w:line="142" w:lineRule="exact"/>
              <w:rPr>
                <w:sz w:val="20"/>
                <w:szCs w:val="20"/>
                <w:color w:val="auto"/>
              </w:rPr>
            </w:pPr>
            <w:r>
              <w:rPr>
                <w:rFonts w:ascii="Arial" w:cs="Arial" w:eastAsia="Arial" w:hAnsi="Arial"/>
                <w:sz w:val="14"/>
                <w:szCs w:val="14"/>
                <w:b w:val="1"/>
                <w:bCs w:val="1"/>
                <w:color w:val="auto"/>
              </w:rPr>
              <w:t>Related hedged item</w:t>
            </w:r>
          </w:p>
        </w:tc>
        <w:tc>
          <w:tcPr>
            <w:tcW w:w="140" w:type="dxa"/>
            <w:vAlign w:val="bottom"/>
          </w:tcPr>
          <w:p>
            <w:pPr>
              <w:spacing w:after="0"/>
              <w:rPr>
                <w:sz w:val="12"/>
                <w:szCs w:val="12"/>
                <w:color w:val="auto"/>
              </w:rPr>
            </w:pPr>
          </w:p>
        </w:tc>
        <w:tc>
          <w:tcPr>
            <w:tcW w:w="920" w:type="dxa"/>
            <w:vAlign w:val="bottom"/>
          </w:tcPr>
          <w:p>
            <w:pPr>
              <w:jc w:val="right"/>
              <w:ind w:right="300"/>
              <w:spacing w:after="0" w:line="142" w:lineRule="exact"/>
              <w:rPr>
                <w:sz w:val="20"/>
                <w:szCs w:val="20"/>
                <w:color w:val="auto"/>
              </w:rPr>
            </w:pPr>
            <w:r>
              <w:rPr>
                <w:rFonts w:ascii="Arial" w:cs="Arial" w:eastAsia="Arial" w:hAnsi="Arial"/>
                <w:sz w:val="14"/>
                <w:szCs w:val="14"/>
                <w:b w:val="1"/>
                <w:bCs w:val="1"/>
                <w:color w:val="auto"/>
              </w:rPr>
              <w:t>2015</w:t>
            </w:r>
          </w:p>
        </w:tc>
        <w:tc>
          <w:tcPr>
            <w:tcW w:w="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20" w:type="dxa"/>
            <w:vAlign w:val="bottom"/>
          </w:tcPr>
          <w:p>
            <w:pPr>
              <w:jc w:val="right"/>
              <w:ind w:right="213"/>
              <w:spacing w:after="0" w:line="142" w:lineRule="exact"/>
              <w:rPr>
                <w:sz w:val="20"/>
                <w:szCs w:val="20"/>
                <w:color w:val="auto"/>
              </w:rPr>
            </w:pPr>
            <w:r>
              <w:rPr>
                <w:rFonts w:ascii="Arial" w:cs="Arial" w:eastAsia="Arial" w:hAnsi="Arial"/>
                <w:sz w:val="14"/>
                <w:szCs w:val="14"/>
                <w:b w:val="1"/>
                <w:bCs w:val="1"/>
                <w:color w:val="auto"/>
                <w:w w:val="96"/>
              </w:rPr>
              <w:t>2014</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4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92"/>
              </w:rPr>
              <w:t>(effective portion)</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right"/>
              <w:ind w:right="320"/>
              <w:spacing w:after="0" w:line="142" w:lineRule="exact"/>
              <w:rPr>
                <w:sz w:val="20"/>
                <w:szCs w:val="20"/>
                <w:color w:val="auto"/>
              </w:rPr>
            </w:pPr>
            <w:r>
              <w:rPr>
                <w:rFonts w:ascii="Arial" w:cs="Arial" w:eastAsia="Arial" w:hAnsi="Arial"/>
                <w:sz w:val="14"/>
                <w:szCs w:val="14"/>
                <w:b w:val="1"/>
                <w:bCs w:val="1"/>
                <w:color w:val="auto"/>
              </w:rPr>
              <w:t>2015</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jc w:val="right"/>
              <w:ind w:right="253"/>
              <w:spacing w:after="0" w:line="142" w:lineRule="exact"/>
              <w:rPr>
                <w:sz w:val="20"/>
                <w:szCs w:val="20"/>
                <w:color w:val="auto"/>
              </w:rPr>
            </w:pPr>
            <w:r>
              <w:rPr>
                <w:rFonts w:ascii="Arial" w:cs="Arial" w:eastAsia="Arial" w:hAnsi="Arial"/>
                <w:sz w:val="14"/>
                <w:szCs w:val="14"/>
                <w:b w:val="1"/>
                <w:bCs w:val="1"/>
                <w:color w:val="auto"/>
                <w:w w:val="96"/>
              </w:rPr>
              <w:t>2014</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2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98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40" w:type="dxa"/>
            <w:vAlign w:val="bottom"/>
            <w:tcBorders>
              <w:top w:val="single" w:sz="8" w:color="auto"/>
            </w:tcBorders>
            <w:gridSpan w:val="3"/>
          </w:tcPr>
          <w:p>
            <w:pPr>
              <w:jc w:val="center"/>
              <w:ind w:left="42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6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4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460" w:type="dxa"/>
            <w:vAlign w:val="bottom"/>
            <w:tcBorders>
              <w:top w:val="single" w:sz="8" w:color="auto"/>
            </w:tcBorders>
            <w:gridSpan w:val="4"/>
          </w:tcPr>
          <w:p>
            <w:pPr>
              <w:jc w:val="center"/>
              <w:ind w:left="44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66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2"/>
        </w:trPr>
        <w:tc>
          <w:tcPr>
            <w:tcW w:w="16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Fixed maturities,</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12.6</w:t>
            </w:r>
          </w:p>
        </w:tc>
        <w:tc>
          <w:tcPr>
            <w:tcW w:w="3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40" w:type="dxa"/>
            <w:vAlign w:val="bottom"/>
            <w:shd w:val="clear" w:color="auto" w:fill="CCEEFF"/>
          </w:tcPr>
          <w:p>
            <w:pPr>
              <w:spacing w:after="0"/>
              <w:rPr>
                <w:sz w:val="17"/>
                <w:szCs w:val="17"/>
                <w:color w:val="auto"/>
              </w:rPr>
            </w:pPr>
          </w:p>
        </w:tc>
        <w:tc>
          <w:tcPr>
            <w:tcW w:w="42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4.4</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contracts</w:t>
            </w:r>
          </w:p>
        </w:tc>
        <w:tc>
          <w:tcPr>
            <w:tcW w:w="2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available-for-sale</w:t>
            </w:r>
          </w:p>
        </w:tc>
        <w:tc>
          <w:tcPr>
            <w:tcW w:w="140" w:type="dxa"/>
            <w:vAlign w:val="bottom"/>
            <w:vMerge w:val="continue"/>
            <w:shd w:val="clear" w:color="auto" w:fill="CCEEFF"/>
          </w:tcPr>
          <w:p>
            <w:pPr>
              <w:spacing w:after="0"/>
              <w:rPr>
                <w:sz w:val="20"/>
                <w:szCs w:val="20"/>
                <w:color w:val="auto"/>
              </w:rPr>
            </w:pPr>
          </w:p>
        </w:tc>
        <w:tc>
          <w:tcPr>
            <w:tcW w:w="1140" w:type="dxa"/>
            <w:vAlign w:val="bottom"/>
            <w:gridSpan w:val="2"/>
            <w:vMerge w:val="continue"/>
            <w:shd w:val="clear" w:color="auto" w:fill="CCEEFF"/>
          </w:tcPr>
          <w:p>
            <w:pPr>
              <w:spacing w:after="0"/>
              <w:rPr>
                <w:sz w:val="20"/>
                <w:szCs w:val="20"/>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8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8.8</w:t>
            </w:r>
          </w:p>
        </w:tc>
        <w:tc>
          <w:tcPr>
            <w:tcW w:w="18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9"/>
              </w:rPr>
              <w:t>Net investment income</w:t>
            </w:r>
          </w:p>
        </w:tc>
        <w:tc>
          <w:tcPr>
            <w:tcW w:w="420" w:type="dxa"/>
            <w:vAlign w:val="bottom"/>
            <w:gridSpan w:val="2"/>
            <w:vMerge w:val="continue"/>
            <w:shd w:val="clear" w:color="auto" w:fill="CCEEFF"/>
          </w:tcPr>
          <w:p>
            <w:pPr>
              <w:spacing w:after="0"/>
              <w:rPr>
                <w:sz w:val="20"/>
                <w:szCs w:val="20"/>
                <w:color w:val="auto"/>
              </w:rPr>
            </w:pPr>
          </w:p>
        </w:tc>
        <w:tc>
          <w:tcPr>
            <w:tcW w:w="1160" w:type="dxa"/>
            <w:vAlign w:val="bottom"/>
            <w:gridSpan w:val="2"/>
            <w:vMerge w:val="continue"/>
            <w:shd w:val="clear" w:color="auto" w:fill="CCEEFF"/>
          </w:tcPr>
          <w:p>
            <w:pPr>
              <w:spacing w:after="0"/>
              <w:rPr>
                <w:sz w:val="20"/>
                <w:szCs w:val="20"/>
                <w:color w:val="auto"/>
              </w:rPr>
            </w:pPr>
          </w:p>
        </w:tc>
        <w:tc>
          <w:tcPr>
            <w:tcW w:w="300" w:type="dxa"/>
            <w:vAlign w:val="bottom"/>
            <w:gridSpan w:val="2"/>
            <w:shd w:val="clear" w:color="auto" w:fill="CCEEFF"/>
          </w:tcPr>
          <w:p>
            <w:pPr>
              <w:jc w:val="right"/>
              <w:ind w:right="170"/>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16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0" w:type="dxa"/>
            <w:vAlign w:val="bottom"/>
            <w:gridSpan w:val="2"/>
          </w:tcPr>
          <w:p>
            <w:pPr>
              <w:spacing w:after="0" w:line="201" w:lineRule="exact"/>
              <w:rPr>
                <w:sz w:val="20"/>
                <w:szCs w:val="20"/>
                <w:color w:val="auto"/>
              </w:rPr>
            </w:pPr>
            <w:r>
              <w:rPr>
                <w:rFonts w:ascii="Arial" w:cs="Arial" w:eastAsia="Arial" w:hAnsi="Arial"/>
                <w:sz w:val="18"/>
                <w:szCs w:val="18"/>
                <w:color w:val="auto"/>
              </w:rPr>
              <w:t>Investment-type insurance</w:t>
            </w:r>
          </w:p>
        </w:tc>
        <w:tc>
          <w:tcPr>
            <w:tcW w:w="140" w:type="dxa"/>
            <w:vAlign w:val="bottom"/>
          </w:tcPr>
          <w:p>
            <w:pPr>
              <w:spacing w:after="0"/>
              <w:rPr>
                <w:sz w:val="17"/>
                <w:szCs w:val="17"/>
                <w:color w:val="auto"/>
              </w:rPr>
            </w:pPr>
          </w:p>
        </w:tc>
        <w:tc>
          <w:tcPr>
            <w:tcW w:w="114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1.1</w:t>
            </w:r>
          </w:p>
        </w:tc>
        <w:tc>
          <w:tcPr>
            <w:tcW w:w="3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60" w:type="dxa"/>
            <w:vAlign w:val="bottom"/>
            <w:gridSpan w:val="2"/>
          </w:tcPr>
          <w:p>
            <w:pPr>
              <w:ind w:left="20"/>
              <w:spacing w:after="0" w:line="201" w:lineRule="exact"/>
              <w:rPr>
                <w:sz w:val="20"/>
                <w:szCs w:val="20"/>
                <w:color w:val="auto"/>
              </w:rPr>
            </w:pPr>
            <w:r>
              <w:rPr>
                <w:rFonts w:ascii="Arial" w:cs="Arial" w:eastAsia="Arial" w:hAnsi="Arial"/>
                <w:sz w:val="18"/>
                <w:szCs w:val="18"/>
                <w:color w:val="auto"/>
              </w:rPr>
              <w:t>Benefits, claims and</w:t>
            </w: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40" w:type="dxa"/>
            <w:vAlign w:val="bottom"/>
            <w:gridSpan w:val="2"/>
          </w:tcPr>
          <w:p>
            <w:pPr>
              <w:spacing w:after="0"/>
              <w:rPr>
                <w:sz w:val="20"/>
                <w:szCs w:val="20"/>
                <w:color w:val="auto"/>
              </w:rPr>
            </w:pPr>
            <w:r>
              <w:rPr>
                <w:rFonts w:ascii="Arial" w:cs="Arial" w:eastAsia="Arial" w:hAnsi="Arial"/>
                <w:sz w:val="18"/>
                <w:szCs w:val="18"/>
                <w:color w:val="auto"/>
              </w:rPr>
              <w:t>Interest rate contracts</w:t>
            </w:r>
          </w:p>
        </w:tc>
        <w:tc>
          <w:tcPr>
            <w:tcW w:w="2200" w:type="dxa"/>
            <w:vAlign w:val="bottom"/>
            <w:gridSpan w:val="2"/>
          </w:tcPr>
          <w:p>
            <w:pPr>
              <w:ind w:left="180"/>
              <w:spacing w:after="0"/>
              <w:rPr>
                <w:sz w:val="20"/>
                <w:szCs w:val="20"/>
                <w:color w:val="auto"/>
              </w:rPr>
            </w:pPr>
            <w:r>
              <w:rPr>
                <w:rFonts w:ascii="Arial" w:cs="Arial" w:eastAsia="Arial" w:hAnsi="Arial"/>
                <w:sz w:val="18"/>
                <w:szCs w:val="18"/>
                <w:color w:val="auto"/>
              </w:rPr>
              <w:t>contracts</w:t>
            </w:r>
          </w:p>
        </w:tc>
        <w:tc>
          <w:tcPr>
            <w:tcW w:w="140" w:type="dxa"/>
            <w:vAlign w:val="bottom"/>
          </w:tcPr>
          <w:p>
            <w:pPr>
              <w:spacing w:after="0"/>
              <w:rPr>
                <w:sz w:val="20"/>
                <w:szCs w:val="20"/>
                <w:color w:val="auto"/>
              </w:rPr>
            </w:pPr>
          </w:p>
        </w:tc>
        <w:tc>
          <w:tcPr>
            <w:tcW w:w="1140" w:type="dxa"/>
            <w:vAlign w:val="bottom"/>
            <w:gridSpan w:val="2"/>
            <w:vMerge w:val="continue"/>
          </w:tcPr>
          <w:p>
            <w:pPr>
              <w:spacing w:after="0"/>
              <w:rPr>
                <w:sz w:val="20"/>
                <w:szCs w:val="20"/>
                <w:color w:val="auto"/>
              </w:rPr>
            </w:pPr>
          </w:p>
        </w:tc>
        <w:tc>
          <w:tcPr>
            <w:tcW w:w="300" w:type="dxa"/>
            <w:vAlign w:val="bottom"/>
          </w:tcPr>
          <w:p>
            <w:pPr>
              <w:spacing w:after="0"/>
              <w:rPr>
                <w:sz w:val="20"/>
                <w:szCs w:val="20"/>
                <w:color w:val="auto"/>
              </w:rPr>
            </w:pPr>
          </w:p>
        </w:tc>
        <w:tc>
          <w:tcPr>
            <w:tcW w:w="840" w:type="dxa"/>
            <w:vAlign w:val="bottom"/>
            <w:gridSpan w:val="3"/>
          </w:tcPr>
          <w:p>
            <w:pPr>
              <w:jc w:val="right"/>
              <w:ind w:right="200"/>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20"/>
                <w:szCs w:val="20"/>
                <w:color w:val="auto"/>
              </w:rPr>
            </w:pPr>
          </w:p>
        </w:tc>
        <w:tc>
          <w:tcPr>
            <w:tcW w:w="1840" w:type="dxa"/>
            <w:vAlign w:val="bottom"/>
          </w:tcPr>
          <w:p>
            <w:pPr>
              <w:jc w:val="center"/>
              <w:spacing w:after="0"/>
              <w:rPr>
                <w:sz w:val="20"/>
                <w:szCs w:val="20"/>
                <w:color w:val="auto"/>
              </w:rPr>
            </w:pPr>
            <w:r>
              <w:rPr>
                <w:rFonts w:ascii="Arial" w:cs="Arial" w:eastAsia="Arial" w:hAnsi="Arial"/>
                <w:sz w:val="18"/>
                <w:szCs w:val="18"/>
                <w:color w:val="auto"/>
                <w:w w:val="87"/>
              </w:rPr>
              <w:t>settlement expenses</w:t>
            </w: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contracts</w:t>
            </w:r>
          </w:p>
        </w:tc>
        <w:tc>
          <w:tcPr>
            <w:tcW w:w="2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Debt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30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Operating expense</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(2.1)</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02"/>
        </w:trPr>
        <w:tc>
          <w:tcPr>
            <w:tcW w:w="1840" w:type="dxa"/>
            <w:vAlign w:val="bottom"/>
            <w:gridSpan w:val="2"/>
          </w:tcPr>
          <w:p>
            <w:pPr>
              <w:spacing w:after="0" w:line="201" w:lineRule="exact"/>
              <w:rPr>
                <w:sz w:val="20"/>
                <w:szCs w:val="20"/>
                <w:color w:val="auto"/>
              </w:rPr>
            </w:pPr>
            <w:r>
              <w:rPr>
                <w:rFonts w:ascii="Arial" w:cs="Arial" w:eastAsia="Arial" w:hAnsi="Arial"/>
                <w:sz w:val="18"/>
                <w:szCs w:val="18"/>
                <w:color w:val="auto"/>
              </w:rPr>
              <w:t>Foreign exchange</w:t>
            </w:r>
          </w:p>
        </w:tc>
        <w:tc>
          <w:tcPr>
            <w:tcW w:w="2200" w:type="dxa"/>
            <w:vAlign w:val="bottom"/>
            <w:gridSpan w:val="2"/>
          </w:tcPr>
          <w:p>
            <w:pPr>
              <w:spacing w:after="0" w:line="201" w:lineRule="exact"/>
              <w:rPr>
                <w:sz w:val="20"/>
                <w:szCs w:val="20"/>
                <w:color w:val="auto"/>
              </w:rPr>
            </w:pPr>
            <w:r>
              <w:rPr>
                <w:rFonts w:ascii="Arial" w:cs="Arial" w:eastAsia="Arial" w:hAnsi="Arial"/>
                <w:sz w:val="18"/>
                <w:szCs w:val="18"/>
                <w:color w:val="auto"/>
              </w:rPr>
              <w:t>Fixed maturities,</w:t>
            </w:r>
          </w:p>
        </w:tc>
        <w:tc>
          <w:tcPr>
            <w:tcW w:w="140" w:type="dxa"/>
            <w:vAlign w:val="bottom"/>
          </w:tcPr>
          <w:p>
            <w:pPr>
              <w:spacing w:after="0"/>
              <w:rPr>
                <w:sz w:val="17"/>
                <w:szCs w:val="17"/>
                <w:color w:val="auto"/>
              </w:rPr>
            </w:pPr>
          </w:p>
        </w:tc>
        <w:tc>
          <w:tcPr>
            <w:tcW w:w="114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11.4</w:t>
            </w:r>
          </w:p>
        </w:tc>
        <w:tc>
          <w:tcPr>
            <w:tcW w:w="3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2.0</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40" w:type="dxa"/>
            <w:vAlign w:val="bottom"/>
            <w:gridSpan w:val="2"/>
          </w:tcPr>
          <w:p>
            <w:pPr>
              <w:ind w:left="180"/>
              <w:spacing w:after="0"/>
              <w:rPr>
                <w:sz w:val="20"/>
                <w:szCs w:val="20"/>
                <w:color w:val="auto"/>
              </w:rPr>
            </w:pPr>
            <w:r>
              <w:rPr>
                <w:rFonts w:ascii="Arial" w:cs="Arial" w:eastAsia="Arial" w:hAnsi="Arial"/>
                <w:sz w:val="18"/>
                <w:szCs w:val="18"/>
                <w:color w:val="auto"/>
              </w:rPr>
              <w:t>contracts</w:t>
            </w:r>
          </w:p>
        </w:tc>
        <w:tc>
          <w:tcPr>
            <w:tcW w:w="2200" w:type="dxa"/>
            <w:vAlign w:val="bottom"/>
            <w:gridSpan w:val="2"/>
          </w:tcPr>
          <w:p>
            <w:pPr>
              <w:ind w:left="180"/>
              <w:spacing w:after="0"/>
              <w:rPr>
                <w:sz w:val="20"/>
                <w:szCs w:val="20"/>
                <w:color w:val="auto"/>
              </w:rPr>
            </w:pPr>
            <w:r>
              <w:rPr>
                <w:rFonts w:ascii="Arial" w:cs="Arial" w:eastAsia="Arial" w:hAnsi="Arial"/>
                <w:sz w:val="18"/>
                <w:szCs w:val="18"/>
                <w:color w:val="auto"/>
              </w:rPr>
              <w:t>available-for-sale</w:t>
            </w:r>
          </w:p>
        </w:tc>
        <w:tc>
          <w:tcPr>
            <w:tcW w:w="140" w:type="dxa"/>
            <w:vAlign w:val="bottom"/>
          </w:tcPr>
          <w:p>
            <w:pPr>
              <w:spacing w:after="0"/>
              <w:rPr>
                <w:sz w:val="20"/>
                <w:szCs w:val="20"/>
                <w:color w:val="auto"/>
              </w:rPr>
            </w:pPr>
          </w:p>
        </w:tc>
        <w:tc>
          <w:tcPr>
            <w:tcW w:w="1140" w:type="dxa"/>
            <w:vAlign w:val="bottom"/>
            <w:gridSpan w:val="2"/>
            <w:vMerge w:val="continue"/>
          </w:tcPr>
          <w:p>
            <w:pPr>
              <w:spacing w:after="0"/>
              <w:rPr>
                <w:sz w:val="20"/>
                <w:szCs w:val="20"/>
                <w:color w:val="auto"/>
              </w:rPr>
            </w:pPr>
          </w:p>
        </w:tc>
        <w:tc>
          <w:tcPr>
            <w:tcW w:w="300" w:type="dxa"/>
            <w:vAlign w:val="bottom"/>
          </w:tcPr>
          <w:p>
            <w:pPr>
              <w:spacing w:after="0"/>
              <w:rPr>
                <w:sz w:val="20"/>
                <w:szCs w:val="20"/>
                <w:color w:val="auto"/>
              </w:rPr>
            </w:pPr>
          </w:p>
        </w:tc>
        <w:tc>
          <w:tcPr>
            <w:tcW w:w="840" w:type="dxa"/>
            <w:vAlign w:val="bottom"/>
            <w:gridSpan w:val="3"/>
          </w:tcPr>
          <w:p>
            <w:pPr>
              <w:jc w:val="right"/>
              <w:ind w:right="200"/>
              <w:spacing w:after="0"/>
              <w:rPr>
                <w:sz w:val="20"/>
                <w:szCs w:val="20"/>
                <w:color w:val="auto"/>
              </w:rPr>
            </w:pPr>
            <w:r>
              <w:rPr>
                <w:rFonts w:ascii="Arial" w:cs="Arial" w:eastAsia="Arial" w:hAnsi="Arial"/>
                <w:sz w:val="18"/>
                <w:szCs w:val="18"/>
                <w:color w:val="auto"/>
              </w:rPr>
              <w:t>44.6</w:t>
            </w:r>
          </w:p>
        </w:tc>
        <w:tc>
          <w:tcPr>
            <w:tcW w:w="1860" w:type="dxa"/>
            <w:vAlign w:val="bottom"/>
            <w:gridSpan w:val="2"/>
          </w:tcPr>
          <w:p>
            <w:pPr>
              <w:ind w:left="20"/>
              <w:spacing w:after="0"/>
              <w:rPr>
                <w:sz w:val="20"/>
                <w:szCs w:val="20"/>
                <w:color w:val="auto"/>
              </w:rPr>
            </w:pPr>
            <w:r>
              <w:rPr>
                <w:rFonts w:ascii="Arial" w:cs="Arial" w:eastAsia="Arial" w:hAnsi="Arial"/>
                <w:sz w:val="18"/>
                <w:szCs w:val="18"/>
                <w:color w:val="auto"/>
                <w:w w:val="90"/>
              </w:rPr>
              <w:t>Net realized capital gains</w:t>
            </w: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0.2</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18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Foreign exchange</w:t>
            </w:r>
          </w:p>
        </w:tc>
        <w:tc>
          <w:tcPr>
            <w:tcW w:w="22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Investment-type insurance</w:t>
            </w:r>
          </w:p>
        </w:tc>
        <w:tc>
          <w:tcPr>
            <w:tcW w:w="140" w:type="dxa"/>
            <w:vAlign w:val="bottom"/>
            <w:shd w:val="clear" w:color="auto" w:fill="CCEEFF"/>
          </w:tcPr>
          <w:p>
            <w:pPr>
              <w:spacing w:after="0"/>
              <w:rPr>
                <w:sz w:val="17"/>
                <w:szCs w:val="17"/>
                <w:color w:val="auto"/>
              </w:rPr>
            </w:pPr>
          </w:p>
        </w:tc>
        <w:tc>
          <w:tcPr>
            <w:tcW w:w="114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(0.5)</w:t>
            </w:r>
          </w:p>
        </w:tc>
        <w:tc>
          <w:tcPr>
            <w:tcW w:w="3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60" w:type="dxa"/>
            <w:vAlign w:val="bottom"/>
            <w:gridSpan w:val="2"/>
            <w:shd w:val="clear" w:color="auto" w:fill="CCEEFF"/>
          </w:tcPr>
          <w:p>
            <w:pPr>
              <w:ind w:left="20"/>
              <w:spacing w:after="0" w:line="201" w:lineRule="exact"/>
              <w:rPr>
                <w:sz w:val="20"/>
                <w:szCs w:val="20"/>
                <w:color w:val="auto"/>
              </w:rPr>
            </w:pPr>
            <w:r>
              <w:rPr>
                <w:rFonts w:ascii="Arial" w:cs="Arial" w:eastAsia="Arial" w:hAnsi="Arial"/>
                <w:sz w:val="18"/>
                <w:szCs w:val="18"/>
                <w:color w:val="auto"/>
              </w:rPr>
              <w:t>Benefits, claims and</w:t>
            </w:r>
          </w:p>
        </w:tc>
        <w:tc>
          <w:tcPr>
            <w:tcW w:w="2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contracts</w:t>
            </w:r>
          </w:p>
        </w:tc>
        <w:tc>
          <w:tcPr>
            <w:tcW w:w="2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contracts</w:t>
            </w:r>
          </w:p>
        </w:tc>
        <w:tc>
          <w:tcPr>
            <w:tcW w:w="140" w:type="dxa"/>
            <w:vAlign w:val="bottom"/>
            <w:shd w:val="clear" w:color="auto" w:fill="CCEEFF"/>
          </w:tcPr>
          <w:p>
            <w:pPr>
              <w:spacing w:after="0"/>
              <w:rPr>
                <w:sz w:val="20"/>
                <w:szCs w:val="20"/>
                <w:color w:val="auto"/>
              </w:rPr>
            </w:pPr>
          </w:p>
        </w:tc>
        <w:tc>
          <w:tcPr>
            <w:tcW w:w="1140" w:type="dxa"/>
            <w:vAlign w:val="bottom"/>
            <w:gridSpan w:val="2"/>
            <w:vMerge w:val="continue"/>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8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1.3</w:t>
            </w:r>
          </w:p>
        </w:tc>
        <w:tc>
          <w:tcPr>
            <w:tcW w:w="20" w:type="dxa"/>
            <w:vAlign w:val="bottom"/>
            <w:shd w:val="clear" w:color="auto" w:fill="CCEEFF"/>
          </w:tcPr>
          <w:p>
            <w:pPr>
              <w:spacing w:after="0"/>
              <w:rPr>
                <w:sz w:val="20"/>
                <w:szCs w:val="20"/>
                <w:color w:val="auto"/>
              </w:rPr>
            </w:pPr>
          </w:p>
        </w:tc>
        <w:tc>
          <w:tcPr>
            <w:tcW w:w="18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settlement expenses</w:t>
            </w:r>
          </w:p>
        </w:tc>
        <w:tc>
          <w:tcPr>
            <w:tcW w:w="2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160" w:type="dxa"/>
            <w:vAlign w:val="bottom"/>
            <w:gridSpan w:val="2"/>
            <w:vMerge w:val="continue"/>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1840" w:type="dxa"/>
            <w:vAlign w:val="bottom"/>
            <w:gridSpan w:val="2"/>
          </w:tcPr>
          <w:p>
            <w:pPr>
              <w:spacing w:after="0"/>
              <w:rPr>
                <w:sz w:val="20"/>
                <w:szCs w:val="20"/>
                <w:color w:val="auto"/>
              </w:rPr>
            </w:pPr>
            <w:r>
              <w:rPr>
                <w:rFonts w:ascii="Arial" w:cs="Arial" w:eastAsia="Arial" w:hAnsi="Arial"/>
                <w:sz w:val="18"/>
                <w:szCs w:val="18"/>
                <w:color w:val="auto"/>
              </w:rPr>
              <w:t>Total</w:t>
            </w:r>
          </w:p>
        </w:tc>
        <w:tc>
          <w:tcPr>
            <w:tcW w:w="1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24.6</w:t>
            </w:r>
          </w:p>
        </w:tc>
        <w:tc>
          <w:tcPr>
            <w:tcW w:w="22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54.9</w:t>
            </w:r>
          </w:p>
        </w:tc>
        <w:tc>
          <w:tcPr>
            <w:tcW w:w="200" w:type="dxa"/>
            <w:vAlign w:val="bottom"/>
          </w:tcPr>
          <w:p>
            <w:pPr>
              <w:spacing w:after="0"/>
              <w:rPr>
                <w:sz w:val="18"/>
                <w:szCs w:val="18"/>
                <w:color w:val="auto"/>
              </w:rPr>
            </w:pPr>
          </w:p>
        </w:tc>
        <w:tc>
          <w:tcPr>
            <w:tcW w:w="1860" w:type="dxa"/>
            <w:vAlign w:val="bottom"/>
            <w:gridSpan w:val="2"/>
          </w:tcPr>
          <w:p>
            <w:pPr>
              <w:ind w:left="20"/>
              <w:spacing w:after="0"/>
              <w:rPr>
                <w:sz w:val="20"/>
                <w:szCs w:val="20"/>
                <w:color w:val="auto"/>
              </w:rPr>
            </w:pPr>
            <w:r>
              <w:rPr>
                <w:rFonts w:ascii="Arial" w:cs="Arial" w:eastAsia="Arial" w:hAnsi="Arial"/>
                <w:sz w:val="18"/>
                <w:szCs w:val="18"/>
                <w:color w:val="auto"/>
              </w:rPr>
              <w:t>Total</w:t>
            </w:r>
          </w:p>
        </w:tc>
        <w:tc>
          <w:tcPr>
            <w:tcW w:w="2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4.3</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6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94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2"/>
        </w:trPr>
        <w:tc>
          <w:tcPr>
            <w:tcW w:w="1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80" w:type="dxa"/>
            <w:vAlign w:val="bottom"/>
            <w:gridSpan w:val="6"/>
          </w:tcPr>
          <w:p>
            <w:pPr>
              <w:jc w:val="center"/>
              <w:ind w:right="360"/>
              <w:spacing w:after="0"/>
              <w:rPr>
                <w:sz w:val="20"/>
                <w:szCs w:val="20"/>
                <w:color w:val="auto"/>
              </w:rPr>
            </w:pPr>
            <w:r>
              <w:rPr>
                <w:rFonts w:ascii="Arial" w:cs="Arial" w:eastAsia="Arial" w:hAnsi="Arial"/>
                <w:sz w:val="14"/>
                <w:szCs w:val="14"/>
                <w:b w:val="1"/>
                <w:bCs w:val="1"/>
                <w:color w:val="auto"/>
                <w:w w:val="91"/>
              </w:rPr>
              <w:t>Amount of gain (loss)</w:t>
            </w:r>
          </w:p>
        </w:tc>
        <w:tc>
          <w:tcPr>
            <w:tcW w:w="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20" w:type="dxa"/>
            <w:vAlign w:val="bottom"/>
            <w:gridSpan w:val="7"/>
          </w:tcPr>
          <w:p>
            <w:pPr>
              <w:jc w:val="center"/>
              <w:ind w:right="260"/>
              <w:spacing w:after="0"/>
              <w:rPr>
                <w:sz w:val="20"/>
                <w:szCs w:val="20"/>
                <w:color w:val="auto"/>
              </w:rPr>
            </w:pPr>
            <w:r>
              <w:rPr>
                <w:rFonts w:ascii="Arial" w:cs="Arial" w:eastAsia="Arial" w:hAnsi="Arial"/>
                <w:sz w:val="14"/>
                <w:szCs w:val="14"/>
                <w:b w:val="1"/>
                <w:bCs w:val="1"/>
                <w:color w:val="auto"/>
                <w:w w:val="91"/>
              </w:rPr>
              <w:t>Amount of gain (loss)</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280" w:type="dxa"/>
            <w:vAlign w:val="bottom"/>
            <w:gridSpan w:val="6"/>
          </w:tcPr>
          <w:p>
            <w:pPr>
              <w:jc w:val="center"/>
              <w:ind w:right="340"/>
              <w:spacing w:after="0" w:line="149" w:lineRule="exact"/>
              <w:rPr>
                <w:sz w:val="20"/>
                <w:szCs w:val="20"/>
                <w:color w:val="auto"/>
              </w:rPr>
            </w:pPr>
            <w:r>
              <w:rPr>
                <w:rFonts w:ascii="Arial" w:cs="Arial" w:eastAsia="Arial" w:hAnsi="Arial"/>
                <w:sz w:val="14"/>
                <w:szCs w:val="14"/>
                <w:b w:val="1"/>
                <w:bCs w:val="1"/>
                <w:color w:val="auto"/>
                <w:w w:val="94"/>
              </w:rPr>
              <w:t>recognized in AOCI on</w:t>
            </w:r>
          </w:p>
        </w:tc>
        <w:tc>
          <w:tcPr>
            <w:tcW w:w="20" w:type="dxa"/>
            <w:vAlign w:val="bottom"/>
          </w:tcPr>
          <w:p>
            <w:pPr>
              <w:spacing w:after="0"/>
              <w:rPr>
                <w:sz w:val="12"/>
                <w:szCs w:val="12"/>
                <w:color w:val="auto"/>
              </w:rPr>
            </w:pPr>
          </w:p>
        </w:tc>
        <w:tc>
          <w:tcPr>
            <w:tcW w:w="18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Location of gain (loss)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20" w:type="dxa"/>
            <w:vAlign w:val="bottom"/>
            <w:gridSpan w:val="7"/>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reclassified from AOCI on</w:t>
            </w:r>
          </w:p>
        </w:tc>
        <w:tc>
          <w:tcPr>
            <w:tcW w:w="0" w:type="dxa"/>
            <w:vAlign w:val="bottom"/>
          </w:tcPr>
          <w:p>
            <w:pPr>
              <w:spacing w:after="0"/>
              <w:rPr>
                <w:sz w:val="1"/>
                <w:szCs w:val="1"/>
                <w:color w:val="auto"/>
              </w:rPr>
            </w:pPr>
          </w:p>
        </w:tc>
      </w:tr>
      <w:tr>
        <w:trPr>
          <w:trHeight w:val="149"/>
        </w:trPr>
        <w:tc>
          <w:tcPr>
            <w:tcW w:w="18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Derivatives in cash</w:t>
            </w:r>
          </w:p>
        </w:tc>
        <w:tc>
          <w:tcPr>
            <w:tcW w:w="1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280" w:type="dxa"/>
            <w:vAlign w:val="bottom"/>
            <w:gridSpan w:val="6"/>
          </w:tcPr>
          <w:p>
            <w:pPr>
              <w:jc w:val="center"/>
              <w:ind w:right="360"/>
              <w:spacing w:after="0" w:line="149" w:lineRule="exact"/>
              <w:rPr>
                <w:sz w:val="20"/>
                <w:szCs w:val="20"/>
                <w:color w:val="auto"/>
              </w:rPr>
            </w:pPr>
            <w:r>
              <w:rPr>
                <w:rFonts w:ascii="Arial" w:cs="Arial" w:eastAsia="Arial" w:hAnsi="Arial"/>
                <w:sz w:val="14"/>
                <w:szCs w:val="14"/>
                <w:b w:val="1"/>
                <w:bCs w:val="1"/>
                <w:color w:val="auto"/>
                <w:w w:val="92"/>
              </w:rPr>
              <w:t>derivatives (effective portion)</w:t>
            </w:r>
          </w:p>
        </w:tc>
        <w:tc>
          <w:tcPr>
            <w:tcW w:w="2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20" w:type="dxa"/>
            <w:vAlign w:val="bottom"/>
            <w:gridSpan w:val="7"/>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derivatives (effective portion)</w:t>
            </w:r>
          </w:p>
        </w:tc>
        <w:tc>
          <w:tcPr>
            <w:tcW w:w="0" w:type="dxa"/>
            <w:vAlign w:val="bottom"/>
          </w:tcPr>
          <w:p>
            <w:pPr>
              <w:spacing w:after="0"/>
              <w:rPr>
                <w:sz w:val="1"/>
                <w:szCs w:val="1"/>
                <w:color w:val="auto"/>
              </w:rPr>
            </w:pPr>
          </w:p>
        </w:tc>
      </w:tr>
      <w:tr>
        <w:trPr>
          <w:trHeight w:val="149"/>
        </w:trPr>
        <w:tc>
          <w:tcPr>
            <w:tcW w:w="1840" w:type="dxa"/>
            <w:vAlign w:val="bottom"/>
            <w:gridSpan w:val="2"/>
            <w:vMerge w:val="continue"/>
          </w:tcPr>
          <w:p>
            <w:pPr>
              <w:spacing w:after="0"/>
              <w:rPr>
                <w:sz w:val="12"/>
                <w:szCs w:val="12"/>
                <w:color w:val="auto"/>
              </w:rPr>
            </w:pPr>
          </w:p>
        </w:tc>
        <w:tc>
          <w:tcPr>
            <w:tcW w:w="1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280" w:type="dxa"/>
            <w:vAlign w:val="bottom"/>
            <w:gridSpan w:val="6"/>
          </w:tcPr>
          <w:p>
            <w:pPr>
              <w:jc w:val="center"/>
              <w:ind w:right="360"/>
              <w:spacing w:after="0" w:line="149" w:lineRule="exact"/>
              <w:rPr>
                <w:sz w:val="20"/>
                <w:szCs w:val="20"/>
                <w:color w:val="auto"/>
              </w:rPr>
            </w:pPr>
            <w:r>
              <w:rPr>
                <w:rFonts w:ascii="Arial" w:cs="Arial" w:eastAsia="Arial" w:hAnsi="Arial"/>
                <w:sz w:val="14"/>
                <w:szCs w:val="14"/>
                <w:b w:val="1"/>
                <w:bCs w:val="1"/>
                <w:color w:val="auto"/>
                <w:w w:val="90"/>
              </w:rPr>
              <w:t>for the nine months ended</w:t>
            </w:r>
          </w:p>
        </w:tc>
        <w:tc>
          <w:tcPr>
            <w:tcW w:w="20" w:type="dxa"/>
            <w:vAlign w:val="bottom"/>
          </w:tcPr>
          <w:p>
            <w:pPr>
              <w:spacing w:after="0"/>
              <w:rPr>
                <w:sz w:val="12"/>
                <w:szCs w:val="12"/>
                <w:color w:val="auto"/>
              </w:rPr>
            </w:pPr>
          </w:p>
        </w:tc>
        <w:tc>
          <w:tcPr>
            <w:tcW w:w="1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reclassified from AOCI</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20" w:type="dxa"/>
            <w:vAlign w:val="bottom"/>
            <w:gridSpan w:val="7"/>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for the nine months ended</w:t>
            </w:r>
          </w:p>
        </w:tc>
        <w:tc>
          <w:tcPr>
            <w:tcW w:w="0" w:type="dxa"/>
            <w:vAlign w:val="bottom"/>
          </w:tcPr>
          <w:p>
            <w:pPr>
              <w:spacing w:after="0"/>
              <w:rPr>
                <w:sz w:val="1"/>
                <w:szCs w:val="1"/>
                <w:color w:val="auto"/>
              </w:rPr>
            </w:pPr>
          </w:p>
        </w:tc>
      </w:tr>
      <w:tr>
        <w:trPr>
          <w:trHeight w:val="171"/>
        </w:trPr>
        <w:tc>
          <w:tcPr>
            <w:tcW w:w="1840" w:type="dxa"/>
            <w:vAlign w:val="bottom"/>
            <w:gridSpan w:val="2"/>
          </w:tcPr>
          <w:p>
            <w:pPr>
              <w:spacing w:after="0"/>
              <w:rPr>
                <w:sz w:val="20"/>
                <w:szCs w:val="20"/>
                <w:color w:val="auto"/>
              </w:rPr>
            </w:pPr>
            <w:r>
              <w:rPr>
                <w:rFonts w:ascii="Arial" w:cs="Arial" w:eastAsia="Arial" w:hAnsi="Arial"/>
                <w:sz w:val="14"/>
                <w:szCs w:val="14"/>
                <w:b w:val="1"/>
                <w:bCs w:val="1"/>
                <w:color w:val="auto"/>
              </w:rPr>
              <w:t>flow hedging</w:t>
            </w:r>
          </w:p>
        </w:tc>
        <w:tc>
          <w:tcPr>
            <w:tcW w:w="1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center"/>
              <w:ind w:left="400"/>
              <w:spacing w:after="0"/>
              <w:rPr>
                <w:sz w:val="20"/>
                <w:szCs w:val="20"/>
                <w:color w:val="auto"/>
              </w:rPr>
            </w:pPr>
            <w:r>
              <w:rPr>
                <w:rFonts w:ascii="Arial" w:cs="Arial" w:eastAsia="Arial" w:hAnsi="Arial"/>
                <w:sz w:val="14"/>
                <w:szCs w:val="14"/>
                <w:b w:val="1"/>
                <w:bCs w:val="1"/>
                <w:color w:val="auto"/>
                <w:w w:val="91"/>
              </w:rPr>
              <w:t>September 30,</w:t>
            </w:r>
          </w:p>
        </w:tc>
        <w:tc>
          <w:tcPr>
            <w:tcW w:w="6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40" w:type="dxa"/>
            <w:vAlign w:val="bottom"/>
          </w:tcPr>
          <w:p>
            <w:pPr>
              <w:jc w:val="center"/>
              <w:spacing w:after="0"/>
              <w:rPr>
                <w:sz w:val="20"/>
                <w:szCs w:val="20"/>
                <w:color w:val="auto"/>
              </w:rPr>
            </w:pPr>
            <w:r>
              <w:rPr>
                <w:rFonts w:ascii="Arial" w:cs="Arial" w:eastAsia="Arial" w:hAnsi="Arial"/>
                <w:sz w:val="14"/>
                <w:szCs w:val="14"/>
                <w:b w:val="1"/>
                <w:bCs w:val="1"/>
                <w:color w:val="auto"/>
                <w:w w:val="90"/>
              </w:rPr>
              <w:t>into net income</w:t>
            </w:r>
          </w:p>
        </w:tc>
        <w:tc>
          <w:tcPr>
            <w:tcW w:w="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4"/>
          </w:tcPr>
          <w:p>
            <w:pPr>
              <w:jc w:val="center"/>
              <w:ind w:left="420"/>
              <w:spacing w:after="0"/>
              <w:rPr>
                <w:sz w:val="20"/>
                <w:szCs w:val="20"/>
                <w:color w:val="auto"/>
              </w:rPr>
            </w:pPr>
            <w:r>
              <w:rPr>
                <w:rFonts w:ascii="Arial" w:cs="Arial" w:eastAsia="Arial" w:hAnsi="Arial"/>
                <w:sz w:val="14"/>
                <w:szCs w:val="14"/>
                <w:b w:val="1"/>
                <w:bCs w:val="1"/>
                <w:color w:val="auto"/>
                <w:w w:val="91"/>
              </w:rPr>
              <w:t>September 30,</w:t>
            </w:r>
          </w:p>
        </w:tc>
        <w:tc>
          <w:tcPr>
            <w:tcW w:w="6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84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relationships</w:t>
            </w:r>
          </w:p>
        </w:tc>
        <w:tc>
          <w:tcPr>
            <w:tcW w:w="2200" w:type="dxa"/>
            <w:vAlign w:val="bottom"/>
            <w:gridSpan w:val="2"/>
          </w:tcPr>
          <w:p>
            <w:pPr>
              <w:ind w:left="360"/>
              <w:spacing w:after="0" w:line="142" w:lineRule="exact"/>
              <w:rPr>
                <w:sz w:val="20"/>
                <w:szCs w:val="20"/>
                <w:color w:val="auto"/>
              </w:rPr>
            </w:pPr>
            <w:r>
              <w:rPr>
                <w:rFonts w:ascii="Arial" w:cs="Arial" w:eastAsia="Arial" w:hAnsi="Arial"/>
                <w:sz w:val="14"/>
                <w:szCs w:val="14"/>
                <w:b w:val="1"/>
                <w:bCs w:val="1"/>
                <w:color w:val="auto"/>
              </w:rPr>
              <w:t>Related hedged item</w:t>
            </w:r>
          </w:p>
        </w:tc>
        <w:tc>
          <w:tcPr>
            <w:tcW w:w="140" w:type="dxa"/>
            <w:vAlign w:val="bottom"/>
          </w:tcPr>
          <w:p>
            <w:pPr>
              <w:spacing w:after="0"/>
              <w:rPr>
                <w:sz w:val="12"/>
                <w:szCs w:val="12"/>
                <w:color w:val="auto"/>
              </w:rPr>
            </w:pPr>
          </w:p>
        </w:tc>
        <w:tc>
          <w:tcPr>
            <w:tcW w:w="920" w:type="dxa"/>
            <w:vAlign w:val="bottom"/>
          </w:tcPr>
          <w:p>
            <w:pPr>
              <w:jc w:val="right"/>
              <w:ind w:right="300"/>
              <w:spacing w:after="0" w:line="142" w:lineRule="exact"/>
              <w:rPr>
                <w:sz w:val="20"/>
                <w:szCs w:val="20"/>
                <w:color w:val="auto"/>
              </w:rPr>
            </w:pPr>
            <w:r>
              <w:rPr>
                <w:rFonts w:ascii="Arial" w:cs="Arial" w:eastAsia="Arial" w:hAnsi="Arial"/>
                <w:sz w:val="14"/>
                <w:szCs w:val="14"/>
                <w:b w:val="1"/>
                <w:bCs w:val="1"/>
                <w:color w:val="auto"/>
              </w:rPr>
              <w:t>2015</w:t>
            </w:r>
          </w:p>
        </w:tc>
        <w:tc>
          <w:tcPr>
            <w:tcW w:w="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20" w:type="dxa"/>
            <w:vAlign w:val="bottom"/>
          </w:tcPr>
          <w:p>
            <w:pPr>
              <w:jc w:val="right"/>
              <w:ind w:right="213"/>
              <w:spacing w:after="0" w:line="142" w:lineRule="exact"/>
              <w:rPr>
                <w:sz w:val="20"/>
                <w:szCs w:val="20"/>
                <w:color w:val="auto"/>
              </w:rPr>
            </w:pPr>
            <w:r>
              <w:rPr>
                <w:rFonts w:ascii="Arial" w:cs="Arial" w:eastAsia="Arial" w:hAnsi="Arial"/>
                <w:sz w:val="14"/>
                <w:szCs w:val="14"/>
                <w:b w:val="1"/>
                <w:bCs w:val="1"/>
                <w:color w:val="auto"/>
                <w:w w:val="96"/>
              </w:rPr>
              <w:t>2014</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4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92"/>
              </w:rPr>
              <w:t>(effective portion)</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right"/>
              <w:ind w:right="320"/>
              <w:spacing w:after="0" w:line="142" w:lineRule="exact"/>
              <w:rPr>
                <w:sz w:val="20"/>
                <w:szCs w:val="20"/>
                <w:color w:val="auto"/>
              </w:rPr>
            </w:pPr>
            <w:r>
              <w:rPr>
                <w:rFonts w:ascii="Arial" w:cs="Arial" w:eastAsia="Arial" w:hAnsi="Arial"/>
                <w:sz w:val="14"/>
                <w:szCs w:val="14"/>
                <w:b w:val="1"/>
                <w:bCs w:val="1"/>
                <w:color w:val="auto"/>
              </w:rPr>
              <w:t>2015</w:t>
            </w: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jc w:val="right"/>
              <w:ind w:right="253"/>
              <w:spacing w:after="0" w:line="142" w:lineRule="exact"/>
              <w:rPr>
                <w:sz w:val="20"/>
                <w:szCs w:val="20"/>
                <w:color w:val="auto"/>
              </w:rPr>
            </w:pPr>
            <w:r>
              <w:rPr>
                <w:rFonts w:ascii="Arial" w:cs="Arial" w:eastAsia="Arial" w:hAnsi="Arial"/>
                <w:sz w:val="14"/>
                <w:szCs w:val="14"/>
                <w:b w:val="1"/>
                <w:bCs w:val="1"/>
                <w:color w:val="auto"/>
                <w:w w:val="96"/>
              </w:rPr>
              <w:t>2014</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2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98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40" w:type="dxa"/>
            <w:vAlign w:val="bottom"/>
            <w:tcBorders>
              <w:top w:val="single" w:sz="8" w:color="auto"/>
            </w:tcBorders>
            <w:gridSpan w:val="3"/>
          </w:tcPr>
          <w:p>
            <w:pPr>
              <w:jc w:val="center"/>
              <w:ind w:left="42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62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84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460" w:type="dxa"/>
            <w:vAlign w:val="bottom"/>
            <w:tcBorders>
              <w:top w:val="single" w:sz="8" w:color="auto"/>
            </w:tcBorders>
            <w:gridSpan w:val="4"/>
          </w:tcPr>
          <w:p>
            <w:pPr>
              <w:jc w:val="center"/>
              <w:ind w:left="44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66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2"/>
        </w:trPr>
        <w:tc>
          <w:tcPr>
            <w:tcW w:w="16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Fixed maturities,</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23.7</w:t>
            </w:r>
          </w:p>
        </w:tc>
        <w:tc>
          <w:tcPr>
            <w:tcW w:w="3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40" w:type="dxa"/>
            <w:vAlign w:val="bottom"/>
            <w:shd w:val="clear" w:color="auto" w:fill="CCEEFF"/>
          </w:tcPr>
          <w:p>
            <w:pPr>
              <w:spacing w:after="0"/>
              <w:rPr>
                <w:sz w:val="17"/>
                <w:szCs w:val="17"/>
                <w:color w:val="auto"/>
              </w:rPr>
            </w:pPr>
          </w:p>
        </w:tc>
        <w:tc>
          <w:tcPr>
            <w:tcW w:w="42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12.3</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contracts</w:t>
            </w:r>
          </w:p>
        </w:tc>
        <w:tc>
          <w:tcPr>
            <w:tcW w:w="2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available-for-sale</w:t>
            </w:r>
          </w:p>
        </w:tc>
        <w:tc>
          <w:tcPr>
            <w:tcW w:w="140" w:type="dxa"/>
            <w:vAlign w:val="bottom"/>
            <w:vMerge w:val="continue"/>
            <w:shd w:val="clear" w:color="auto" w:fill="CCEEFF"/>
          </w:tcPr>
          <w:p>
            <w:pPr>
              <w:spacing w:after="0"/>
              <w:rPr>
                <w:sz w:val="20"/>
                <w:szCs w:val="20"/>
                <w:color w:val="auto"/>
              </w:rPr>
            </w:pPr>
          </w:p>
        </w:tc>
        <w:tc>
          <w:tcPr>
            <w:tcW w:w="1140" w:type="dxa"/>
            <w:vAlign w:val="bottom"/>
            <w:gridSpan w:val="2"/>
            <w:vMerge w:val="continue"/>
            <w:shd w:val="clear" w:color="auto" w:fill="CCEEFF"/>
          </w:tcPr>
          <w:p>
            <w:pPr>
              <w:spacing w:after="0"/>
              <w:rPr>
                <w:sz w:val="20"/>
                <w:szCs w:val="20"/>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10.8</w:t>
            </w:r>
          </w:p>
        </w:tc>
        <w:tc>
          <w:tcPr>
            <w:tcW w:w="200" w:type="dxa"/>
            <w:vAlign w:val="bottom"/>
            <w:shd w:val="clear" w:color="auto" w:fill="CCEEFF"/>
          </w:tcPr>
          <w:p>
            <w:pPr>
              <w:spacing w:after="0"/>
              <w:rPr>
                <w:sz w:val="20"/>
                <w:szCs w:val="20"/>
                <w:color w:val="auto"/>
              </w:rPr>
            </w:pPr>
          </w:p>
        </w:tc>
        <w:tc>
          <w:tcPr>
            <w:tcW w:w="1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420" w:type="dxa"/>
            <w:vAlign w:val="bottom"/>
            <w:gridSpan w:val="2"/>
            <w:vMerge w:val="continue"/>
            <w:shd w:val="clear" w:color="auto" w:fill="CCEEFF"/>
          </w:tcPr>
          <w:p>
            <w:pPr>
              <w:spacing w:after="0"/>
              <w:rPr>
                <w:sz w:val="20"/>
                <w:szCs w:val="20"/>
                <w:color w:val="auto"/>
              </w:rPr>
            </w:pPr>
          </w:p>
        </w:tc>
        <w:tc>
          <w:tcPr>
            <w:tcW w:w="1160" w:type="dxa"/>
            <w:vAlign w:val="bottom"/>
            <w:gridSpan w:val="2"/>
            <w:vMerge w:val="continue"/>
            <w:shd w:val="clear" w:color="auto" w:fill="CCEEFF"/>
          </w:tcPr>
          <w:p>
            <w:pPr>
              <w:spacing w:after="0"/>
              <w:rPr>
                <w:sz w:val="20"/>
                <w:szCs w:val="20"/>
                <w:color w:val="auto"/>
              </w:rPr>
            </w:pPr>
          </w:p>
        </w:tc>
        <w:tc>
          <w:tcPr>
            <w:tcW w:w="300" w:type="dxa"/>
            <w:vAlign w:val="bottom"/>
            <w:gridSpan w:val="2"/>
            <w:shd w:val="clear" w:color="auto" w:fill="CCEEFF"/>
          </w:tcPr>
          <w:p>
            <w:pPr>
              <w:jc w:val="right"/>
              <w:ind w:right="170"/>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16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0" w:type="dxa"/>
            <w:vAlign w:val="bottom"/>
            <w:gridSpan w:val="2"/>
          </w:tcPr>
          <w:p>
            <w:pPr>
              <w:spacing w:after="0" w:line="201" w:lineRule="exact"/>
              <w:rPr>
                <w:sz w:val="20"/>
                <w:szCs w:val="20"/>
                <w:color w:val="auto"/>
              </w:rPr>
            </w:pPr>
            <w:r>
              <w:rPr>
                <w:rFonts w:ascii="Arial" w:cs="Arial" w:eastAsia="Arial" w:hAnsi="Arial"/>
                <w:sz w:val="18"/>
                <w:szCs w:val="18"/>
                <w:color w:val="auto"/>
              </w:rPr>
              <w:t>Investment-type insurance</w:t>
            </w:r>
          </w:p>
        </w:tc>
        <w:tc>
          <w:tcPr>
            <w:tcW w:w="140" w:type="dxa"/>
            <w:vAlign w:val="bottom"/>
          </w:tcPr>
          <w:p>
            <w:pPr>
              <w:spacing w:after="0"/>
              <w:rPr>
                <w:sz w:val="17"/>
                <w:szCs w:val="17"/>
                <w:color w:val="auto"/>
              </w:rPr>
            </w:pPr>
          </w:p>
        </w:tc>
        <w:tc>
          <w:tcPr>
            <w:tcW w:w="114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3.4</w:t>
            </w:r>
          </w:p>
        </w:tc>
        <w:tc>
          <w:tcPr>
            <w:tcW w:w="3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60" w:type="dxa"/>
            <w:vAlign w:val="bottom"/>
            <w:gridSpan w:val="2"/>
          </w:tcPr>
          <w:p>
            <w:pPr>
              <w:spacing w:after="0" w:line="201" w:lineRule="exact"/>
              <w:rPr>
                <w:sz w:val="20"/>
                <w:szCs w:val="20"/>
                <w:color w:val="auto"/>
              </w:rPr>
            </w:pPr>
            <w:r>
              <w:rPr>
                <w:rFonts w:ascii="Arial" w:cs="Arial" w:eastAsia="Arial" w:hAnsi="Arial"/>
                <w:sz w:val="18"/>
                <w:szCs w:val="18"/>
                <w:color w:val="auto"/>
              </w:rPr>
              <w:t>Benefits, claims and</w:t>
            </w: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40" w:type="dxa"/>
            <w:vAlign w:val="bottom"/>
            <w:gridSpan w:val="2"/>
          </w:tcPr>
          <w:p>
            <w:pPr>
              <w:spacing w:after="0"/>
              <w:rPr>
                <w:sz w:val="20"/>
                <w:szCs w:val="20"/>
                <w:color w:val="auto"/>
              </w:rPr>
            </w:pPr>
            <w:r>
              <w:rPr>
                <w:rFonts w:ascii="Arial" w:cs="Arial" w:eastAsia="Arial" w:hAnsi="Arial"/>
                <w:sz w:val="18"/>
                <w:szCs w:val="18"/>
                <w:color w:val="auto"/>
              </w:rPr>
              <w:t>Interest rate contracts</w:t>
            </w:r>
          </w:p>
        </w:tc>
        <w:tc>
          <w:tcPr>
            <w:tcW w:w="2200" w:type="dxa"/>
            <w:vAlign w:val="bottom"/>
            <w:gridSpan w:val="2"/>
          </w:tcPr>
          <w:p>
            <w:pPr>
              <w:ind w:left="180"/>
              <w:spacing w:after="0"/>
              <w:rPr>
                <w:sz w:val="20"/>
                <w:szCs w:val="20"/>
                <w:color w:val="auto"/>
              </w:rPr>
            </w:pPr>
            <w:r>
              <w:rPr>
                <w:rFonts w:ascii="Arial" w:cs="Arial" w:eastAsia="Arial" w:hAnsi="Arial"/>
                <w:sz w:val="18"/>
                <w:szCs w:val="18"/>
                <w:color w:val="auto"/>
              </w:rPr>
              <w:t>contracts</w:t>
            </w:r>
          </w:p>
        </w:tc>
        <w:tc>
          <w:tcPr>
            <w:tcW w:w="140" w:type="dxa"/>
            <w:vAlign w:val="bottom"/>
          </w:tcPr>
          <w:p>
            <w:pPr>
              <w:spacing w:after="0"/>
              <w:rPr>
                <w:sz w:val="20"/>
                <w:szCs w:val="20"/>
                <w:color w:val="auto"/>
              </w:rPr>
            </w:pPr>
          </w:p>
        </w:tc>
        <w:tc>
          <w:tcPr>
            <w:tcW w:w="1140" w:type="dxa"/>
            <w:vAlign w:val="bottom"/>
            <w:gridSpan w:val="2"/>
            <w:vMerge w:val="continue"/>
          </w:tcPr>
          <w:p>
            <w:pPr>
              <w:spacing w:after="0"/>
              <w:rPr>
                <w:sz w:val="20"/>
                <w:szCs w:val="20"/>
                <w:color w:val="auto"/>
              </w:rPr>
            </w:pPr>
          </w:p>
        </w:tc>
        <w:tc>
          <w:tcPr>
            <w:tcW w:w="300" w:type="dxa"/>
            <w:vAlign w:val="bottom"/>
          </w:tcPr>
          <w:p>
            <w:pPr>
              <w:spacing w:after="0"/>
              <w:rPr>
                <w:sz w:val="20"/>
                <w:szCs w:val="20"/>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2.6</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40" w:type="dxa"/>
            <w:vAlign w:val="bottom"/>
          </w:tcPr>
          <w:p>
            <w:pPr>
              <w:ind w:left="160"/>
              <w:spacing w:after="0"/>
              <w:rPr>
                <w:sz w:val="20"/>
                <w:szCs w:val="20"/>
                <w:color w:val="auto"/>
              </w:rPr>
            </w:pPr>
            <w:r>
              <w:rPr>
                <w:rFonts w:ascii="Arial" w:cs="Arial" w:eastAsia="Arial" w:hAnsi="Arial"/>
                <w:sz w:val="18"/>
                <w:szCs w:val="18"/>
                <w:color w:val="auto"/>
              </w:rPr>
              <w:t>settlement expenses</w:t>
            </w: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contracts</w:t>
            </w:r>
          </w:p>
        </w:tc>
        <w:tc>
          <w:tcPr>
            <w:tcW w:w="2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Debt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30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expense</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(6.1)</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02"/>
        </w:trPr>
        <w:tc>
          <w:tcPr>
            <w:tcW w:w="1840" w:type="dxa"/>
            <w:vAlign w:val="bottom"/>
            <w:gridSpan w:val="2"/>
          </w:tcPr>
          <w:p>
            <w:pPr>
              <w:spacing w:after="0" w:line="201" w:lineRule="exact"/>
              <w:rPr>
                <w:sz w:val="20"/>
                <w:szCs w:val="20"/>
                <w:color w:val="auto"/>
              </w:rPr>
            </w:pPr>
            <w:r>
              <w:rPr>
                <w:rFonts w:ascii="Arial" w:cs="Arial" w:eastAsia="Arial" w:hAnsi="Arial"/>
                <w:sz w:val="18"/>
                <w:szCs w:val="18"/>
                <w:color w:val="auto"/>
              </w:rPr>
              <w:t>Foreign exchange</w:t>
            </w:r>
          </w:p>
        </w:tc>
        <w:tc>
          <w:tcPr>
            <w:tcW w:w="2200" w:type="dxa"/>
            <w:vAlign w:val="bottom"/>
            <w:gridSpan w:val="2"/>
          </w:tcPr>
          <w:p>
            <w:pPr>
              <w:spacing w:after="0" w:line="201" w:lineRule="exact"/>
              <w:rPr>
                <w:sz w:val="20"/>
                <w:szCs w:val="20"/>
                <w:color w:val="auto"/>
              </w:rPr>
            </w:pPr>
            <w:r>
              <w:rPr>
                <w:rFonts w:ascii="Arial" w:cs="Arial" w:eastAsia="Arial" w:hAnsi="Arial"/>
                <w:sz w:val="18"/>
                <w:szCs w:val="18"/>
                <w:color w:val="auto"/>
              </w:rPr>
              <w:t>Fixed maturities,</w:t>
            </w:r>
          </w:p>
        </w:tc>
        <w:tc>
          <w:tcPr>
            <w:tcW w:w="140" w:type="dxa"/>
            <w:vAlign w:val="bottom"/>
          </w:tcPr>
          <w:p>
            <w:pPr>
              <w:spacing w:after="0"/>
              <w:rPr>
                <w:sz w:val="17"/>
                <w:szCs w:val="17"/>
                <w:color w:val="auto"/>
              </w:rPr>
            </w:pPr>
          </w:p>
        </w:tc>
        <w:tc>
          <w:tcPr>
            <w:tcW w:w="114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24.9</w:t>
            </w:r>
          </w:p>
        </w:tc>
        <w:tc>
          <w:tcPr>
            <w:tcW w:w="3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60" w:type="dxa"/>
            <w:vAlign w:val="bottom"/>
            <w:gridSpan w:val="2"/>
          </w:tcPr>
          <w:p>
            <w:pPr>
              <w:spacing w:after="0" w:line="201" w:lineRule="exact"/>
              <w:rPr>
                <w:sz w:val="20"/>
                <w:szCs w:val="20"/>
                <w:color w:val="auto"/>
              </w:rPr>
            </w:pPr>
            <w:r>
              <w:rPr>
                <w:rFonts w:ascii="Arial" w:cs="Arial" w:eastAsia="Arial" w:hAnsi="Arial"/>
                <w:sz w:val="18"/>
                <w:szCs w:val="18"/>
                <w:color w:val="auto"/>
                <w:w w:val="91"/>
              </w:rPr>
              <w:t>Net realized capital gains</w:t>
            </w: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15.9</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40" w:type="dxa"/>
            <w:vAlign w:val="bottom"/>
            <w:gridSpan w:val="2"/>
          </w:tcPr>
          <w:p>
            <w:pPr>
              <w:ind w:left="180"/>
              <w:spacing w:after="0"/>
              <w:rPr>
                <w:sz w:val="20"/>
                <w:szCs w:val="20"/>
                <w:color w:val="auto"/>
              </w:rPr>
            </w:pPr>
            <w:r>
              <w:rPr>
                <w:rFonts w:ascii="Arial" w:cs="Arial" w:eastAsia="Arial" w:hAnsi="Arial"/>
                <w:sz w:val="18"/>
                <w:szCs w:val="18"/>
                <w:color w:val="auto"/>
              </w:rPr>
              <w:t>contracts</w:t>
            </w:r>
          </w:p>
        </w:tc>
        <w:tc>
          <w:tcPr>
            <w:tcW w:w="2200" w:type="dxa"/>
            <w:vAlign w:val="bottom"/>
            <w:gridSpan w:val="2"/>
          </w:tcPr>
          <w:p>
            <w:pPr>
              <w:ind w:left="180"/>
              <w:spacing w:after="0"/>
              <w:rPr>
                <w:sz w:val="20"/>
                <w:szCs w:val="20"/>
                <w:color w:val="auto"/>
              </w:rPr>
            </w:pPr>
            <w:r>
              <w:rPr>
                <w:rFonts w:ascii="Arial" w:cs="Arial" w:eastAsia="Arial" w:hAnsi="Arial"/>
                <w:sz w:val="18"/>
                <w:szCs w:val="18"/>
                <w:color w:val="auto"/>
              </w:rPr>
              <w:t>available-for-sale</w:t>
            </w:r>
          </w:p>
        </w:tc>
        <w:tc>
          <w:tcPr>
            <w:tcW w:w="140" w:type="dxa"/>
            <w:vAlign w:val="bottom"/>
          </w:tcPr>
          <w:p>
            <w:pPr>
              <w:spacing w:after="0"/>
              <w:rPr>
                <w:sz w:val="20"/>
                <w:szCs w:val="20"/>
                <w:color w:val="auto"/>
              </w:rPr>
            </w:pPr>
          </w:p>
        </w:tc>
        <w:tc>
          <w:tcPr>
            <w:tcW w:w="1140" w:type="dxa"/>
            <w:vAlign w:val="bottom"/>
            <w:gridSpan w:val="2"/>
            <w:vMerge w:val="continue"/>
          </w:tcPr>
          <w:p>
            <w:pPr>
              <w:spacing w:after="0"/>
              <w:rPr>
                <w:sz w:val="20"/>
                <w:szCs w:val="20"/>
                <w:color w:val="auto"/>
              </w:rPr>
            </w:pPr>
          </w:p>
        </w:tc>
        <w:tc>
          <w:tcPr>
            <w:tcW w:w="300" w:type="dxa"/>
            <w:vAlign w:val="bottom"/>
          </w:tcPr>
          <w:p>
            <w:pPr>
              <w:spacing w:after="0"/>
              <w:rPr>
                <w:sz w:val="20"/>
                <w:szCs w:val="20"/>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44.4</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40" w:type="dxa"/>
            <w:vAlign w:val="bottom"/>
          </w:tcPr>
          <w:p>
            <w:pPr>
              <w:ind w:left="160"/>
              <w:spacing w:after="0"/>
              <w:rPr>
                <w:sz w:val="20"/>
                <w:szCs w:val="20"/>
                <w:color w:val="auto"/>
              </w:rPr>
            </w:pPr>
            <w:r>
              <w:rPr>
                <w:rFonts w:ascii="Arial" w:cs="Arial" w:eastAsia="Arial" w:hAnsi="Arial"/>
                <w:sz w:val="18"/>
                <w:szCs w:val="18"/>
                <w:color w:val="auto"/>
              </w:rPr>
              <w:t>(losses)</w:t>
            </w: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gridSpan w:val="3"/>
          </w:tcPr>
          <w:p>
            <w:pPr>
              <w:jc w:val="right"/>
              <w:ind w:right="4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02"/>
        </w:trPr>
        <w:tc>
          <w:tcPr>
            <w:tcW w:w="18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Foreign exchange</w:t>
            </w:r>
          </w:p>
        </w:tc>
        <w:tc>
          <w:tcPr>
            <w:tcW w:w="22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Investment-type insurance</w:t>
            </w:r>
          </w:p>
        </w:tc>
        <w:tc>
          <w:tcPr>
            <w:tcW w:w="140" w:type="dxa"/>
            <w:vAlign w:val="bottom"/>
            <w:shd w:val="clear" w:color="auto" w:fill="CCEEFF"/>
          </w:tcPr>
          <w:p>
            <w:pPr>
              <w:spacing w:after="0"/>
              <w:rPr>
                <w:sz w:val="17"/>
                <w:szCs w:val="17"/>
                <w:color w:val="auto"/>
              </w:rPr>
            </w:pPr>
          </w:p>
        </w:tc>
        <w:tc>
          <w:tcPr>
            <w:tcW w:w="114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(1.7)</w:t>
            </w:r>
          </w:p>
        </w:tc>
        <w:tc>
          <w:tcPr>
            <w:tcW w:w="3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Benefits, claims and</w:t>
            </w:r>
          </w:p>
        </w:tc>
        <w:tc>
          <w:tcPr>
            <w:tcW w:w="2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contracts</w:t>
            </w:r>
          </w:p>
        </w:tc>
        <w:tc>
          <w:tcPr>
            <w:tcW w:w="2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contracts</w:t>
            </w:r>
          </w:p>
        </w:tc>
        <w:tc>
          <w:tcPr>
            <w:tcW w:w="140" w:type="dxa"/>
            <w:vAlign w:val="bottom"/>
            <w:shd w:val="clear" w:color="auto" w:fill="CCEEFF"/>
          </w:tcPr>
          <w:p>
            <w:pPr>
              <w:spacing w:after="0"/>
              <w:rPr>
                <w:sz w:val="20"/>
                <w:szCs w:val="20"/>
                <w:color w:val="auto"/>
              </w:rPr>
            </w:pPr>
          </w:p>
        </w:tc>
        <w:tc>
          <w:tcPr>
            <w:tcW w:w="1140" w:type="dxa"/>
            <w:vAlign w:val="bottom"/>
            <w:gridSpan w:val="2"/>
            <w:vMerge w:val="continue"/>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9.8</w:t>
            </w:r>
          </w:p>
        </w:tc>
        <w:tc>
          <w:tcPr>
            <w:tcW w:w="2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8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settlement expenses</w:t>
            </w:r>
          </w:p>
        </w:tc>
        <w:tc>
          <w:tcPr>
            <w:tcW w:w="2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160" w:type="dxa"/>
            <w:vAlign w:val="bottom"/>
            <w:gridSpan w:val="2"/>
            <w:vMerge w:val="continue"/>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1840" w:type="dxa"/>
            <w:vAlign w:val="bottom"/>
            <w:gridSpan w:val="2"/>
          </w:tcPr>
          <w:p>
            <w:pPr>
              <w:spacing w:after="0"/>
              <w:rPr>
                <w:sz w:val="20"/>
                <w:szCs w:val="20"/>
                <w:color w:val="auto"/>
              </w:rPr>
            </w:pPr>
            <w:r>
              <w:rPr>
                <w:rFonts w:ascii="Arial" w:cs="Arial" w:eastAsia="Arial" w:hAnsi="Arial"/>
                <w:sz w:val="18"/>
                <w:szCs w:val="18"/>
                <w:color w:val="auto"/>
              </w:rPr>
              <w:t>Total</w:t>
            </w:r>
          </w:p>
        </w:tc>
        <w:tc>
          <w:tcPr>
            <w:tcW w:w="1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50.3</w:t>
            </w:r>
          </w:p>
        </w:tc>
        <w:tc>
          <w:tcPr>
            <w:tcW w:w="220" w:type="dxa"/>
            <w:vAlign w:val="bottom"/>
          </w:tcPr>
          <w:p>
            <w:pPr>
              <w:spacing w:after="0"/>
              <w:rPr>
                <w:sz w:val="19"/>
                <w:szCs w:val="19"/>
                <w:color w:val="auto"/>
              </w:rPr>
            </w:pPr>
          </w:p>
        </w:tc>
        <w:tc>
          <w:tcPr>
            <w:tcW w:w="3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67.6</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60" w:type="dxa"/>
            <w:vAlign w:val="bottom"/>
            <w:gridSpan w:val="2"/>
          </w:tcPr>
          <w:p>
            <w:pPr>
              <w:spacing w:after="0"/>
              <w:rPr>
                <w:sz w:val="20"/>
                <w:szCs w:val="20"/>
                <w:color w:val="auto"/>
              </w:rPr>
            </w:pPr>
            <w:r>
              <w:rPr>
                <w:rFonts w:ascii="Arial" w:cs="Arial" w:eastAsia="Arial" w:hAnsi="Arial"/>
                <w:sz w:val="18"/>
                <w:szCs w:val="18"/>
                <w:color w:val="auto"/>
              </w:rPr>
              <w:t>Total</w:t>
            </w:r>
          </w:p>
        </w:tc>
        <w:tc>
          <w:tcPr>
            <w:tcW w:w="260" w:type="dxa"/>
            <w:vAlign w:val="bottom"/>
          </w:tcPr>
          <w:p>
            <w:pPr>
              <w:spacing w:after="0"/>
              <w:rPr>
                <w:sz w:val="19"/>
                <w:szCs w:val="19"/>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22.1</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Borders>
              <w:top w:val="single" w:sz="8" w:color="auto"/>
            </w:tcBorders>
          </w:tcPr>
          <w:p>
            <w:pPr>
              <w:jc w:val="right"/>
              <w:ind w:right="170"/>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16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shows the periodic settlements on interest rate contracts and foreign exchange contracts in cash flow hedging relationships.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660" w:type="dxa"/>
            <w:vAlign w:val="bottom"/>
            <w:gridSpan w:val="3"/>
          </w:tcPr>
          <w:p>
            <w:pPr>
              <w:jc w:val="center"/>
              <w:ind w:left="308"/>
              <w:spacing w:after="0"/>
              <w:rPr>
                <w:sz w:val="20"/>
                <w:szCs w:val="20"/>
                <w:color w:val="auto"/>
              </w:rPr>
            </w:pPr>
            <w:r>
              <w:rPr>
                <w:rFonts w:ascii="Arial" w:cs="Arial" w:eastAsia="Arial" w:hAnsi="Arial"/>
                <w:sz w:val="14"/>
                <w:szCs w:val="14"/>
                <w:b w:val="1"/>
                <w:bCs w:val="1"/>
                <w:color w:val="auto"/>
                <w:w w:val="91"/>
              </w:rPr>
              <w:t>Amount of gain (loss) for the</w:t>
            </w:r>
          </w:p>
        </w:tc>
        <w:tc>
          <w:tcPr>
            <w:tcW w:w="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760" w:type="dxa"/>
            <w:vAlign w:val="bottom"/>
            <w:gridSpan w:val="4"/>
          </w:tcPr>
          <w:p>
            <w:pPr>
              <w:jc w:val="right"/>
              <w:ind w:right="720"/>
              <w:spacing w:after="0"/>
              <w:rPr>
                <w:sz w:val="20"/>
                <w:szCs w:val="20"/>
                <w:color w:val="auto"/>
              </w:rPr>
            </w:pPr>
            <w:r>
              <w:rPr>
                <w:rFonts w:ascii="Arial" w:cs="Arial" w:eastAsia="Arial" w:hAnsi="Arial"/>
                <w:sz w:val="14"/>
                <w:szCs w:val="14"/>
                <w:b w:val="1"/>
                <w:bCs w:val="1"/>
                <w:color w:val="auto"/>
              </w:rPr>
              <w:t>Amount of gain (loss) for the</w:t>
            </w:r>
          </w:p>
        </w:tc>
        <w:tc>
          <w:tcPr>
            <w:tcW w:w="0" w:type="dxa"/>
            <w:vAlign w:val="bottom"/>
          </w:tcPr>
          <w:p>
            <w:pPr>
              <w:spacing w:after="0"/>
              <w:rPr>
                <w:sz w:val="1"/>
                <w:szCs w:val="1"/>
                <w:color w:val="auto"/>
              </w:rPr>
            </w:pPr>
          </w:p>
        </w:tc>
      </w:tr>
      <w:tr>
        <w:trPr>
          <w:trHeight w:val="171"/>
        </w:trPr>
        <w:tc>
          <w:tcPr>
            <w:tcW w:w="4700" w:type="dxa"/>
            <w:vAlign w:val="bottom"/>
            <w:vMerge w:val="restart"/>
          </w:tcPr>
          <w:p>
            <w:pPr>
              <w:spacing w:after="0"/>
              <w:rPr>
                <w:sz w:val="20"/>
                <w:szCs w:val="20"/>
                <w:color w:val="auto"/>
              </w:rPr>
            </w:pPr>
            <w:r>
              <w:rPr>
                <w:rFonts w:ascii="Arial" w:cs="Arial" w:eastAsia="Arial" w:hAnsi="Arial"/>
                <w:sz w:val="14"/>
                <w:szCs w:val="14"/>
                <w:b w:val="1"/>
                <w:bCs w:val="1"/>
                <w:color w:val="auto"/>
              </w:rPr>
              <w:t>Hedged item</w:t>
            </w:r>
          </w:p>
        </w:tc>
        <w:tc>
          <w:tcPr>
            <w:tcW w:w="300" w:type="dxa"/>
            <w:vAlign w:val="bottom"/>
          </w:tcPr>
          <w:p>
            <w:pPr>
              <w:spacing w:after="0"/>
              <w:rPr>
                <w:sz w:val="14"/>
                <w:szCs w:val="14"/>
                <w:color w:val="auto"/>
              </w:rPr>
            </w:pPr>
          </w:p>
        </w:tc>
        <w:tc>
          <w:tcPr>
            <w:tcW w:w="2660" w:type="dxa"/>
            <w:vAlign w:val="bottom"/>
            <w:gridSpan w:val="3"/>
          </w:tcPr>
          <w:p>
            <w:pPr>
              <w:jc w:val="center"/>
              <w:ind w:left="308"/>
              <w:spacing w:after="0"/>
              <w:rPr>
                <w:sz w:val="20"/>
                <w:szCs w:val="20"/>
                <w:color w:val="auto"/>
              </w:rPr>
            </w:pPr>
            <w:r>
              <w:rPr>
                <w:rFonts w:ascii="Arial" w:cs="Arial" w:eastAsia="Arial" w:hAnsi="Arial"/>
                <w:sz w:val="14"/>
                <w:szCs w:val="14"/>
                <w:b w:val="1"/>
                <w:bCs w:val="1"/>
                <w:color w:val="auto"/>
                <w:w w:val="90"/>
              </w:rPr>
              <w:t>three months ended September 30,</w:t>
            </w:r>
          </w:p>
        </w:tc>
        <w:tc>
          <w:tcPr>
            <w:tcW w:w="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760" w:type="dxa"/>
            <w:vAlign w:val="bottom"/>
            <w:gridSpan w:val="4"/>
          </w:tcPr>
          <w:p>
            <w:pPr>
              <w:jc w:val="right"/>
              <w:ind w:right="560"/>
              <w:spacing w:after="0"/>
              <w:rPr>
                <w:sz w:val="20"/>
                <w:szCs w:val="20"/>
                <w:color w:val="auto"/>
              </w:rPr>
            </w:pPr>
            <w:r>
              <w:rPr>
                <w:rFonts w:ascii="Arial" w:cs="Arial" w:eastAsia="Arial" w:hAnsi="Arial"/>
                <w:sz w:val="14"/>
                <w:szCs w:val="14"/>
                <w:b w:val="1"/>
                <w:bCs w:val="1"/>
                <w:color w:val="auto"/>
                <w:w w:val="95"/>
              </w:rPr>
              <w:t>nine months ended September 30,</w:t>
            </w:r>
          </w:p>
        </w:tc>
        <w:tc>
          <w:tcPr>
            <w:tcW w:w="0" w:type="dxa"/>
            <w:vAlign w:val="bottom"/>
          </w:tcPr>
          <w:p>
            <w:pPr>
              <w:spacing w:after="0"/>
              <w:rPr>
                <w:sz w:val="1"/>
                <w:szCs w:val="1"/>
                <w:color w:val="auto"/>
              </w:rPr>
            </w:pPr>
          </w:p>
        </w:tc>
      </w:tr>
      <w:tr>
        <w:trPr>
          <w:trHeight w:val="142"/>
        </w:trPr>
        <w:tc>
          <w:tcPr>
            <w:tcW w:w="4700" w:type="dxa"/>
            <w:vAlign w:val="bottom"/>
            <w:tcBorders>
              <w:bottom w:val="single" w:sz="8" w:color="auto"/>
            </w:tcBorders>
            <w:vMerge w:val="continue"/>
          </w:tcPr>
          <w:p>
            <w:pPr>
              <w:spacing w:after="0"/>
              <w:rPr>
                <w:sz w:val="12"/>
                <w:szCs w:val="12"/>
                <w:color w:val="auto"/>
              </w:rPr>
            </w:pPr>
          </w:p>
        </w:tc>
        <w:tc>
          <w:tcPr>
            <w:tcW w:w="300" w:type="dxa"/>
            <w:vAlign w:val="bottom"/>
          </w:tcPr>
          <w:p>
            <w:pPr>
              <w:spacing w:after="0"/>
              <w:rPr>
                <w:sz w:val="12"/>
                <w:szCs w:val="12"/>
                <w:color w:val="auto"/>
              </w:rPr>
            </w:pPr>
          </w:p>
        </w:tc>
        <w:tc>
          <w:tcPr>
            <w:tcW w:w="960" w:type="dxa"/>
            <w:vAlign w:val="bottom"/>
            <w:tcBorders>
              <w:top w:val="single" w:sz="8" w:color="auto"/>
              <w:bottom w:val="single" w:sz="8" w:color="auto"/>
            </w:tcBorders>
          </w:tcPr>
          <w:p>
            <w:pPr>
              <w:jc w:val="right"/>
              <w:ind w:right="68"/>
              <w:spacing w:after="0" w:line="142" w:lineRule="exact"/>
              <w:rPr>
                <w:sz w:val="20"/>
                <w:szCs w:val="20"/>
                <w:color w:val="auto"/>
              </w:rPr>
            </w:pPr>
            <w:r>
              <w:rPr>
                <w:rFonts w:ascii="Arial" w:cs="Arial" w:eastAsia="Arial" w:hAnsi="Arial"/>
                <w:sz w:val="14"/>
                <w:szCs w:val="14"/>
                <w:b w:val="1"/>
                <w:bCs w:val="1"/>
                <w:color w:val="auto"/>
              </w:rPr>
              <w:t>2015</w:t>
            </w:r>
          </w:p>
        </w:tc>
        <w:tc>
          <w:tcPr>
            <w:tcW w:w="580" w:type="dxa"/>
            <w:vAlign w:val="bottom"/>
            <w:tcBorders>
              <w:top w:val="single" w:sz="8" w:color="auto"/>
              <w:bottom w:val="single" w:sz="8" w:color="auto"/>
            </w:tcBorders>
          </w:tcPr>
          <w:p>
            <w:pPr>
              <w:spacing w:after="0"/>
              <w:rPr>
                <w:sz w:val="12"/>
                <w:szCs w:val="12"/>
                <w:color w:val="auto"/>
              </w:rPr>
            </w:pPr>
          </w:p>
        </w:tc>
        <w:tc>
          <w:tcPr>
            <w:tcW w:w="1120" w:type="dxa"/>
            <w:vAlign w:val="bottom"/>
            <w:tcBorders>
              <w:top w:val="single" w:sz="8" w:color="auto"/>
              <w:bottom w:val="single" w:sz="8" w:color="auto"/>
            </w:tcBorders>
          </w:tcPr>
          <w:p>
            <w:pPr>
              <w:jc w:val="right"/>
              <w:ind w:right="79"/>
              <w:spacing w:after="0" w:line="142" w:lineRule="exact"/>
              <w:rPr>
                <w:sz w:val="20"/>
                <w:szCs w:val="20"/>
                <w:color w:val="auto"/>
              </w:rPr>
            </w:pPr>
            <w:r>
              <w:rPr>
                <w:rFonts w:ascii="Arial" w:cs="Arial" w:eastAsia="Arial" w:hAnsi="Arial"/>
                <w:sz w:val="14"/>
                <w:szCs w:val="14"/>
                <w:b w:val="1"/>
                <w:bCs w:val="1"/>
                <w:color w:val="auto"/>
              </w:rPr>
              <w:t>2014</w:t>
            </w:r>
          </w:p>
        </w:tc>
        <w:tc>
          <w:tcPr>
            <w:tcW w:w="380" w:type="dxa"/>
            <w:vAlign w:val="bottom"/>
            <w:tcBorders>
              <w:top w:val="single" w:sz="8" w:color="auto"/>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spacing w:after="0"/>
              <w:rPr>
                <w:sz w:val="12"/>
                <w:szCs w:val="12"/>
                <w:color w:val="auto"/>
              </w:rPr>
            </w:pPr>
          </w:p>
        </w:tc>
        <w:tc>
          <w:tcPr>
            <w:tcW w:w="1180" w:type="dxa"/>
            <w:vAlign w:val="bottom"/>
            <w:tcBorders>
              <w:top w:val="single" w:sz="8" w:color="auto"/>
              <w:bottom w:val="single" w:sz="8" w:color="auto"/>
            </w:tcBorders>
          </w:tcPr>
          <w:p>
            <w:pPr>
              <w:jc w:val="right"/>
              <w:ind w:right="621"/>
              <w:spacing w:after="0" w:line="142" w:lineRule="exact"/>
              <w:rPr>
                <w:sz w:val="20"/>
                <w:szCs w:val="20"/>
                <w:color w:val="auto"/>
              </w:rPr>
            </w:pPr>
            <w:r>
              <w:rPr>
                <w:rFonts w:ascii="Arial" w:cs="Arial" w:eastAsia="Arial" w:hAnsi="Arial"/>
                <w:sz w:val="14"/>
                <w:szCs w:val="14"/>
                <w:b w:val="1"/>
                <w:bCs w:val="1"/>
                <w:color w:val="auto"/>
              </w:rPr>
              <w:t>2015</w:t>
            </w:r>
          </w:p>
        </w:tc>
        <w:tc>
          <w:tcPr>
            <w:tcW w:w="440" w:type="dxa"/>
            <w:vAlign w:val="bottom"/>
            <w:tcBorders>
              <w:top w:val="single" w:sz="8" w:color="auto"/>
              <w:bottom w:val="single" w:sz="8" w:color="auto"/>
            </w:tcBorders>
          </w:tcPr>
          <w:p>
            <w:pPr>
              <w:spacing w:after="0"/>
              <w:rPr>
                <w:sz w:val="12"/>
                <w:szCs w:val="12"/>
                <w:color w:val="auto"/>
              </w:rPr>
            </w:pPr>
          </w:p>
        </w:tc>
        <w:tc>
          <w:tcPr>
            <w:tcW w:w="1040" w:type="dxa"/>
            <w:vAlign w:val="bottom"/>
            <w:tcBorders>
              <w:top w:val="single" w:sz="8" w:color="auto"/>
              <w:bottom w:val="single" w:sz="8" w:color="auto"/>
            </w:tcBorders>
          </w:tcPr>
          <w:p>
            <w:pPr>
              <w:jc w:val="right"/>
              <w:ind w:right="456"/>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0" w:type="dxa"/>
            <w:vAlign w:val="bottom"/>
            <w:gridSpan w:val="4"/>
          </w:tcPr>
          <w:p>
            <w:pPr>
              <w:jc w:val="right"/>
              <w:ind w:right="140"/>
              <w:spacing w:after="0" w:line="142" w:lineRule="exact"/>
              <w:rPr>
                <w:sz w:val="20"/>
                <w:szCs w:val="20"/>
                <w:color w:val="auto"/>
              </w:rPr>
            </w:pPr>
            <w:r>
              <w:rPr>
                <w:rFonts w:ascii="Arial" w:cs="Arial" w:eastAsia="Arial" w:hAnsi="Arial"/>
                <w:sz w:val="14"/>
                <w:szCs w:val="14"/>
                <w:b w:val="1"/>
                <w:bCs w:val="1"/>
                <w:color w:val="auto"/>
              </w:rPr>
              <w:t>(in millions)</w:t>
            </w:r>
          </w:p>
        </w:tc>
        <w:tc>
          <w:tcPr>
            <w:tcW w:w="1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available-for-sale (1)</w:t>
            </w:r>
          </w:p>
        </w:tc>
        <w:tc>
          <w:tcPr>
            <w:tcW w:w="1260" w:type="dxa"/>
            <w:vAlign w:val="bottom"/>
            <w:gridSpan w:val="2"/>
            <w:shd w:val="clear" w:color="auto" w:fill="CCEEFF"/>
          </w:tcPr>
          <w:p>
            <w:pPr>
              <w:jc w:val="right"/>
              <w:ind w:right="808"/>
              <w:spacing w:after="0"/>
              <w:rPr>
                <w:sz w:val="20"/>
                <w:szCs w:val="20"/>
                <w:color w:val="auto"/>
              </w:rPr>
            </w:pPr>
            <w:r>
              <w:rPr>
                <w:rFonts w:ascii="Arial" w:cs="Arial" w:eastAsia="Arial" w:hAnsi="Arial"/>
                <w:sz w:val="18"/>
                <w:szCs w:val="18"/>
                <w:b w:val="1"/>
                <w:bCs w:val="1"/>
                <w:color w:val="auto"/>
              </w:rPr>
              <w:t>$</w:t>
            </w:r>
          </w:p>
        </w:tc>
        <w:tc>
          <w:tcPr>
            <w:tcW w:w="58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1.5</w:t>
            </w:r>
          </w:p>
        </w:tc>
        <w:tc>
          <w:tcPr>
            <w:tcW w:w="1120" w:type="dxa"/>
            <w:vAlign w:val="bottom"/>
            <w:shd w:val="clear" w:color="auto" w:fill="CCEEFF"/>
          </w:tcPr>
          <w:p>
            <w:pPr>
              <w:jc w:val="right"/>
              <w:ind w:right="819"/>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w:t>
            </w:r>
          </w:p>
        </w:tc>
        <w:tc>
          <w:tcPr>
            <w:tcW w:w="4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180" w:type="dxa"/>
            <w:vAlign w:val="bottom"/>
            <w:shd w:val="clear" w:color="auto" w:fill="CCEEFF"/>
          </w:tcPr>
          <w:p>
            <w:pPr>
              <w:jc w:val="right"/>
              <w:ind w:right="81"/>
              <w:spacing w:after="0"/>
              <w:rPr>
                <w:sz w:val="20"/>
                <w:szCs w:val="20"/>
                <w:color w:val="auto"/>
              </w:rPr>
            </w:pPr>
            <w:r>
              <w:rPr>
                <w:rFonts w:ascii="Arial" w:cs="Arial" w:eastAsia="Arial" w:hAnsi="Arial"/>
                <w:sz w:val="18"/>
                <w:szCs w:val="18"/>
                <w:b w:val="1"/>
                <w:bCs w:val="1"/>
                <w:color w:val="auto"/>
              </w:rPr>
              <w:t>4.6</w:t>
            </w:r>
          </w:p>
        </w:tc>
        <w:tc>
          <w:tcPr>
            <w:tcW w:w="4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34"/>
        </w:trPr>
        <w:tc>
          <w:tcPr>
            <w:tcW w:w="4700" w:type="dxa"/>
            <w:vAlign w:val="bottom"/>
          </w:tcPr>
          <w:p>
            <w:pPr>
              <w:spacing w:after="0"/>
              <w:rPr>
                <w:sz w:val="20"/>
                <w:szCs w:val="20"/>
                <w:color w:val="auto"/>
              </w:rPr>
            </w:pPr>
            <w:r>
              <w:rPr>
                <w:rFonts w:ascii="Arial" w:cs="Arial" w:eastAsia="Arial" w:hAnsi="Arial"/>
                <w:sz w:val="18"/>
                <w:szCs w:val="18"/>
                <w:color w:val="auto"/>
              </w:rPr>
              <w:t>Investment-type insurance contracts (2)</w:t>
            </w:r>
          </w:p>
        </w:tc>
        <w:tc>
          <w:tcPr>
            <w:tcW w:w="3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b w:val="1"/>
                <w:bCs w:val="1"/>
                <w:color w:val="auto"/>
              </w:rPr>
              <w:t>(4.8)</w:t>
            </w:r>
          </w:p>
        </w:tc>
        <w:tc>
          <w:tcPr>
            <w:tcW w:w="1120" w:type="dxa"/>
            <w:vAlign w:val="bottom"/>
          </w:tcPr>
          <w:p>
            <w:pPr>
              <w:spacing w:after="0"/>
              <w:rPr>
                <w:sz w:val="20"/>
                <w:szCs w:val="20"/>
                <w:color w:val="auto"/>
              </w:rPr>
            </w:pP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jc w:val="right"/>
              <w:ind w:right="21"/>
              <w:spacing w:after="0"/>
              <w:rPr>
                <w:sz w:val="20"/>
                <w:szCs w:val="20"/>
                <w:color w:val="auto"/>
              </w:rPr>
            </w:pPr>
            <w:r>
              <w:rPr>
                <w:rFonts w:ascii="Arial" w:cs="Arial" w:eastAsia="Arial" w:hAnsi="Arial"/>
                <w:sz w:val="18"/>
                <w:szCs w:val="18"/>
                <w:b w:val="1"/>
                <w:bCs w:val="1"/>
                <w:color w:val="auto"/>
              </w:rPr>
              <w:t>(13.5)</w:t>
            </w:r>
          </w:p>
        </w:tc>
        <w:tc>
          <w:tcPr>
            <w:tcW w:w="440" w:type="dxa"/>
            <w:vAlign w:val="bottom"/>
          </w:tcPr>
          <w:p>
            <w:pPr>
              <w:spacing w:after="0"/>
              <w:rPr>
                <w:sz w:val="20"/>
                <w:szCs w:val="20"/>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194310</wp:posOffset>
            </wp:positionV>
            <wp:extent cx="1826895"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3" w:lineRule="exact"/>
        <w:rPr>
          <w:sz w:val="20"/>
          <w:szCs w:val="20"/>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Reported in net investment income on the consolidated statements of operations.</w:t>
      </w:r>
    </w:p>
    <w:p>
      <w:pPr>
        <w:spacing w:after="0" w:line="23"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Reported in benefits, claims and settlement expenses on the consolidated statements of operations.</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The ineffective portion of our cash flow hedges is reported in net realized capital gains (losses) on the consolidated statements of operations. The net gain (loss) resulting from the ineffective portion of foreign currency contracts in cash flow hedging relationships was $0.0 million and $0.1 million for the three months ended September 30, 2015 and 2014, respectively. The net gain (loss) resulting from the ineffective portion of foreign currency contracts in cash flow hedging relationships was $0.1 million and $0.0 million for the nine months ended September 30, 2015 and 2014, respectively.</w:t>
      </w:r>
    </w:p>
    <w:p>
      <w:pPr>
        <w:spacing w:after="0" w:line="154" w:lineRule="exact"/>
        <w:rPr>
          <w:sz w:val="20"/>
          <w:szCs w:val="20"/>
          <w:color w:val="auto"/>
        </w:rPr>
      </w:pPr>
    </w:p>
    <w:p>
      <w:pPr>
        <w:jc w:val="both"/>
        <w:ind w:right="360" w:firstLine="648"/>
        <w:spacing w:after="0" w:line="342" w:lineRule="auto"/>
        <w:rPr>
          <w:sz w:val="20"/>
          <w:szCs w:val="20"/>
          <w:color w:val="auto"/>
        </w:rPr>
      </w:pPr>
      <w:r>
        <w:rPr>
          <w:rFonts w:ascii="Arial" w:cs="Arial" w:eastAsia="Arial" w:hAnsi="Arial"/>
          <w:sz w:val="16"/>
          <w:szCs w:val="16"/>
          <w:color w:val="auto"/>
        </w:rPr>
        <w:t>We expect to reclassify net losses of $(1.3) million from AOCI into net income in the next 12 months, which includes both net deferred gains on discontinued hedges and net losses on periodic settlements of active hedges. Actual amounts may vary from this amount as a result of market conditions.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Investment Hedges</w:t>
      </w:r>
    </w:p>
    <w:p>
      <w:pPr>
        <w:spacing w:after="0" w:line="229"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color w:val="auto"/>
        </w:rPr>
        <w:t>We may take measures to hedge our net equity investments in our foreign operations from currency risk. This is accomplished with the use of currency forwards.</w:t>
      </w:r>
    </w:p>
    <w:p>
      <w:pPr>
        <w:spacing w:after="0" w:line="170"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Gains and losses associated with net investment hedges are recorded in AOCI and will be released into earnings if our investment in the foreign operation is sold or substantially liquidated.</w:t>
      </w:r>
    </w:p>
    <w:p>
      <w:pPr>
        <w:sectPr>
          <w:pgSz w:w="11900" w:h="16942" w:orient="portrait"/>
          <w:cols w:equalWidth="0" w:num="1">
            <w:col w:w="11420"/>
          </w:cols>
          <w:pgMar w:left="240" w:top="121" w:right="239" w:bottom="0" w:gutter="0" w:footer="0" w:header="0"/>
        </w:sectPr>
      </w:pPr>
    </w:p>
    <w:bookmarkStart w:id="29" w:name="page30"/>
    <w:bookmarkEnd w:id="29"/>
    <w:p>
      <w:pPr>
        <w:ind w:right="200" w:firstLine="648"/>
        <w:spacing w:after="0" w:line="277" w:lineRule="auto"/>
        <w:rPr>
          <w:sz w:val="20"/>
          <w:szCs w:val="20"/>
          <w:color w:val="auto"/>
        </w:rPr>
      </w:pPr>
      <w:r>
        <w:rPr>
          <w:rFonts w:ascii="Arial" w:cs="Arial" w:eastAsia="Arial" w:hAnsi="Arial"/>
          <w:sz w:val="18"/>
          <w:szCs w:val="18"/>
          <w:color w:val="auto"/>
        </w:rPr>
        <w:t>The following table shows the effect of derivatives in net investment hedging relationships on the consolidated statements of financial position. All gains or losses on derivatives were included in the assessment of hedge effectiveness.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700" w:type="dxa"/>
            <w:vAlign w:val="bottom"/>
            <w:gridSpan w:val="3"/>
          </w:tcPr>
          <w:p>
            <w:pPr>
              <w:jc w:val="center"/>
              <w:ind w:right="456"/>
              <w:spacing w:after="0"/>
              <w:rPr>
                <w:sz w:val="20"/>
                <w:szCs w:val="20"/>
                <w:color w:val="auto"/>
              </w:rPr>
            </w:pPr>
            <w:r>
              <w:rPr>
                <w:rFonts w:ascii="Arial" w:cs="Arial" w:eastAsia="Arial" w:hAnsi="Arial"/>
                <w:sz w:val="14"/>
                <w:szCs w:val="14"/>
                <w:b w:val="1"/>
                <w:bCs w:val="1"/>
                <w:color w:val="auto"/>
                <w:w w:val="93"/>
              </w:rPr>
              <w:t>Amount of gain</w:t>
            </w:r>
          </w:p>
        </w:tc>
        <w:tc>
          <w:tcPr>
            <w:tcW w:w="4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720" w:type="dxa"/>
            <w:vAlign w:val="bottom"/>
            <w:gridSpan w:val="3"/>
          </w:tcPr>
          <w:p>
            <w:pPr>
              <w:jc w:val="center"/>
              <w:ind w:right="476"/>
              <w:spacing w:after="0"/>
              <w:rPr>
                <w:sz w:val="20"/>
                <w:szCs w:val="20"/>
                <w:color w:val="auto"/>
              </w:rPr>
            </w:pPr>
            <w:r>
              <w:rPr>
                <w:rFonts w:ascii="Arial" w:cs="Arial" w:eastAsia="Arial" w:hAnsi="Arial"/>
                <w:sz w:val="14"/>
                <w:szCs w:val="14"/>
                <w:b w:val="1"/>
                <w:bCs w:val="1"/>
                <w:color w:val="auto"/>
                <w:w w:val="93"/>
              </w:rPr>
              <w:t>Amount of gain</w:t>
            </w:r>
          </w:p>
        </w:tc>
        <w:tc>
          <w:tcPr>
            <w:tcW w:w="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40" w:type="dxa"/>
            <w:vAlign w:val="bottom"/>
            <w:gridSpan w:val="4"/>
          </w:tcPr>
          <w:p>
            <w:pPr>
              <w:jc w:val="center"/>
              <w:ind w:left="327"/>
              <w:spacing w:after="0" w:line="149" w:lineRule="exact"/>
              <w:rPr>
                <w:sz w:val="20"/>
                <w:szCs w:val="20"/>
                <w:color w:val="auto"/>
              </w:rPr>
            </w:pPr>
            <w:r>
              <w:rPr>
                <w:rFonts w:ascii="Arial" w:cs="Arial" w:eastAsia="Arial" w:hAnsi="Arial"/>
                <w:sz w:val="14"/>
                <w:szCs w:val="14"/>
                <w:b w:val="1"/>
                <w:bCs w:val="1"/>
                <w:color w:val="auto"/>
                <w:w w:val="93"/>
              </w:rPr>
              <w:t>recognized in AOCI on</w:t>
            </w:r>
          </w:p>
        </w:tc>
        <w:tc>
          <w:tcPr>
            <w:tcW w:w="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40" w:type="dxa"/>
            <w:vAlign w:val="bottom"/>
            <w:gridSpan w:val="4"/>
          </w:tcPr>
          <w:p>
            <w:pPr>
              <w:jc w:val="center"/>
              <w:ind w:left="284"/>
              <w:spacing w:after="0" w:line="149" w:lineRule="exact"/>
              <w:rPr>
                <w:sz w:val="20"/>
                <w:szCs w:val="20"/>
                <w:color w:val="auto"/>
              </w:rPr>
            </w:pPr>
            <w:r>
              <w:rPr>
                <w:rFonts w:ascii="Arial" w:cs="Arial" w:eastAsia="Arial" w:hAnsi="Arial"/>
                <w:sz w:val="14"/>
                <w:szCs w:val="14"/>
                <w:b w:val="1"/>
                <w:bCs w:val="1"/>
                <w:color w:val="auto"/>
                <w:w w:val="93"/>
              </w:rPr>
              <w:t>recognized in AOCI on</w:t>
            </w:r>
          </w:p>
        </w:tc>
        <w:tc>
          <w:tcPr>
            <w:tcW w:w="3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40" w:type="dxa"/>
            <w:vAlign w:val="bottom"/>
            <w:gridSpan w:val="4"/>
          </w:tcPr>
          <w:p>
            <w:pPr>
              <w:jc w:val="center"/>
              <w:ind w:left="327"/>
              <w:spacing w:after="0" w:line="149" w:lineRule="exact"/>
              <w:rPr>
                <w:sz w:val="20"/>
                <w:szCs w:val="20"/>
                <w:color w:val="auto"/>
              </w:rPr>
            </w:pPr>
            <w:r>
              <w:rPr>
                <w:rFonts w:ascii="Arial" w:cs="Arial" w:eastAsia="Arial" w:hAnsi="Arial"/>
                <w:sz w:val="14"/>
                <w:szCs w:val="14"/>
                <w:b w:val="1"/>
                <w:bCs w:val="1"/>
                <w:color w:val="auto"/>
                <w:w w:val="92"/>
              </w:rPr>
              <w:t>derivatives (effective portion)</w:t>
            </w:r>
          </w:p>
        </w:tc>
        <w:tc>
          <w:tcPr>
            <w:tcW w:w="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40" w:type="dxa"/>
            <w:vAlign w:val="bottom"/>
            <w:gridSpan w:val="4"/>
          </w:tcPr>
          <w:p>
            <w:pPr>
              <w:jc w:val="center"/>
              <w:ind w:left="284"/>
              <w:spacing w:after="0" w:line="149" w:lineRule="exact"/>
              <w:rPr>
                <w:sz w:val="20"/>
                <w:szCs w:val="20"/>
                <w:color w:val="auto"/>
              </w:rPr>
            </w:pPr>
            <w:r>
              <w:rPr>
                <w:rFonts w:ascii="Arial" w:cs="Arial" w:eastAsia="Arial" w:hAnsi="Arial"/>
                <w:sz w:val="14"/>
                <w:szCs w:val="14"/>
                <w:b w:val="1"/>
                <w:bCs w:val="1"/>
                <w:color w:val="auto"/>
                <w:w w:val="92"/>
              </w:rPr>
              <w:t>derivatives (effective portion)</w:t>
            </w:r>
          </w:p>
        </w:tc>
        <w:tc>
          <w:tcPr>
            <w:tcW w:w="3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40" w:type="dxa"/>
            <w:vAlign w:val="bottom"/>
            <w:gridSpan w:val="4"/>
          </w:tcPr>
          <w:p>
            <w:pPr>
              <w:jc w:val="center"/>
              <w:ind w:left="307"/>
              <w:spacing w:after="0" w:line="149" w:lineRule="exact"/>
              <w:rPr>
                <w:sz w:val="20"/>
                <w:szCs w:val="20"/>
                <w:color w:val="auto"/>
              </w:rPr>
            </w:pPr>
            <w:r>
              <w:rPr>
                <w:rFonts w:ascii="Arial" w:cs="Arial" w:eastAsia="Arial" w:hAnsi="Arial"/>
                <w:sz w:val="14"/>
                <w:szCs w:val="14"/>
                <w:b w:val="1"/>
                <w:bCs w:val="1"/>
                <w:color w:val="auto"/>
                <w:w w:val="91"/>
              </w:rPr>
              <w:t>for the three months ended</w:t>
            </w:r>
          </w:p>
        </w:tc>
        <w:tc>
          <w:tcPr>
            <w:tcW w:w="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40" w:type="dxa"/>
            <w:vAlign w:val="bottom"/>
            <w:gridSpan w:val="4"/>
          </w:tcPr>
          <w:p>
            <w:pPr>
              <w:jc w:val="center"/>
              <w:ind w:left="284"/>
              <w:spacing w:after="0" w:line="149" w:lineRule="exact"/>
              <w:rPr>
                <w:sz w:val="20"/>
                <w:szCs w:val="20"/>
                <w:color w:val="auto"/>
              </w:rPr>
            </w:pPr>
            <w:r>
              <w:rPr>
                <w:rFonts w:ascii="Arial" w:cs="Arial" w:eastAsia="Arial" w:hAnsi="Arial"/>
                <w:sz w:val="14"/>
                <w:szCs w:val="14"/>
                <w:b w:val="1"/>
                <w:bCs w:val="1"/>
                <w:color w:val="auto"/>
                <w:w w:val="90"/>
              </w:rPr>
              <w:t>for the nine months ended</w:t>
            </w:r>
          </w:p>
        </w:tc>
        <w:tc>
          <w:tcPr>
            <w:tcW w:w="3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700" w:type="dxa"/>
            <w:vAlign w:val="bottom"/>
            <w:vMerge w:val="restart"/>
          </w:tcPr>
          <w:p>
            <w:pPr>
              <w:spacing w:after="0"/>
              <w:rPr>
                <w:sz w:val="20"/>
                <w:szCs w:val="20"/>
                <w:color w:val="auto"/>
              </w:rPr>
            </w:pPr>
            <w:r>
              <w:rPr>
                <w:rFonts w:ascii="Arial" w:cs="Arial" w:eastAsia="Arial" w:hAnsi="Arial"/>
                <w:sz w:val="14"/>
                <w:szCs w:val="14"/>
                <w:b w:val="1"/>
                <w:bCs w:val="1"/>
                <w:color w:val="auto"/>
              </w:rPr>
              <w:t>Derivatives in net investment hedging relationships</w:t>
            </w:r>
          </w:p>
        </w:tc>
        <w:tc>
          <w:tcPr>
            <w:tcW w:w="300" w:type="dxa"/>
            <w:vAlign w:val="bottom"/>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3"/>
          </w:tcPr>
          <w:p>
            <w:pPr>
              <w:jc w:val="center"/>
              <w:ind w:right="456"/>
              <w:spacing w:after="0"/>
              <w:rPr>
                <w:sz w:val="20"/>
                <w:szCs w:val="20"/>
                <w:color w:val="auto"/>
              </w:rPr>
            </w:pPr>
            <w:r>
              <w:rPr>
                <w:rFonts w:ascii="Arial" w:cs="Arial" w:eastAsia="Arial" w:hAnsi="Arial"/>
                <w:sz w:val="14"/>
                <w:szCs w:val="14"/>
                <w:b w:val="1"/>
                <w:bCs w:val="1"/>
                <w:color w:val="auto"/>
                <w:w w:val="91"/>
              </w:rPr>
              <w:t>September 30,</w:t>
            </w:r>
          </w:p>
        </w:tc>
        <w:tc>
          <w:tcPr>
            <w:tcW w:w="40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tcPr>
          <w:p>
            <w:pPr>
              <w:jc w:val="center"/>
              <w:ind w:right="476"/>
              <w:spacing w:after="0"/>
              <w:rPr>
                <w:sz w:val="20"/>
                <w:szCs w:val="20"/>
                <w:color w:val="auto"/>
              </w:rPr>
            </w:pPr>
            <w:r>
              <w:rPr>
                <w:rFonts w:ascii="Arial" w:cs="Arial" w:eastAsia="Arial" w:hAnsi="Arial"/>
                <w:sz w:val="14"/>
                <w:szCs w:val="14"/>
                <w:b w:val="1"/>
                <w:bCs w:val="1"/>
                <w:color w:val="auto"/>
                <w:w w:val="91"/>
              </w:rPr>
              <w:t>September 30,</w:t>
            </w:r>
          </w:p>
        </w:tc>
        <w:tc>
          <w:tcPr>
            <w:tcW w:w="3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700" w:type="dxa"/>
            <w:vAlign w:val="bottom"/>
            <w:tcBorders>
              <w:bottom w:val="single" w:sz="8" w:color="auto"/>
            </w:tcBorders>
            <w:vMerge w:val="continue"/>
          </w:tcPr>
          <w:p>
            <w:pPr>
              <w:spacing w:after="0"/>
              <w:rPr>
                <w:sz w:val="12"/>
                <w:szCs w:val="12"/>
                <w:color w:val="auto"/>
              </w:rPr>
            </w:pPr>
          </w:p>
        </w:tc>
        <w:tc>
          <w:tcPr>
            <w:tcW w:w="300" w:type="dxa"/>
            <w:vAlign w:val="bottom"/>
          </w:tcPr>
          <w:p>
            <w:pPr>
              <w:spacing w:after="0"/>
              <w:rPr>
                <w:sz w:val="12"/>
                <w:szCs w:val="12"/>
                <w:color w:val="auto"/>
              </w:rPr>
            </w:pPr>
          </w:p>
        </w:tc>
        <w:tc>
          <w:tcPr>
            <w:tcW w:w="940" w:type="dxa"/>
            <w:vAlign w:val="bottom"/>
            <w:tcBorders>
              <w:bottom w:val="single" w:sz="8" w:color="auto"/>
            </w:tcBorders>
          </w:tcPr>
          <w:p>
            <w:pPr>
              <w:jc w:val="right"/>
              <w:ind w:right="47"/>
              <w:spacing w:after="0" w:line="142" w:lineRule="exact"/>
              <w:rPr>
                <w:sz w:val="20"/>
                <w:szCs w:val="20"/>
                <w:color w:val="auto"/>
              </w:rPr>
            </w:pPr>
            <w:r>
              <w:rPr>
                <w:rFonts w:ascii="Arial" w:cs="Arial" w:eastAsia="Arial" w:hAnsi="Arial"/>
                <w:sz w:val="14"/>
                <w:szCs w:val="14"/>
                <w:b w:val="1"/>
                <w:bCs w:val="1"/>
                <w:color w:val="auto"/>
              </w:rPr>
              <w:t>2015</w:t>
            </w:r>
          </w:p>
        </w:tc>
        <w:tc>
          <w:tcPr>
            <w:tcW w:w="42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ind w:right="56"/>
              <w:spacing w:after="0" w:line="142" w:lineRule="exact"/>
              <w:rPr>
                <w:sz w:val="20"/>
                <w:szCs w:val="20"/>
                <w:color w:val="auto"/>
              </w:rPr>
            </w:pPr>
            <w:r>
              <w:rPr>
                <w:rFonts w:ascii="Arial" w:cs="Arial" w:eastAsia="Arial" w:hAnsi="Arial"/>
                <w:sz w:val="14"/>
                <w:szCs w:val="14"/>
                <w:b w:val="1"/>
                <w:bCs w:val="1"/>
                <w:color w:val="auto"/>
              </w:rPr>
              <w:t>2014</w:t>
            </w:r>
          </w:p>
        </w:tc>
        <w:tc>
          <w:tcPr>
            <w:tcW w:w="40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24"/>
              <w:spacing w:after="0" w:line="142" w:lineRule="exact"/>
              <w:rPr>
                <w:sz w:val="20"/>
                <w:szCs w:val="20"/>
                <w:color w:val="auto"/>
              </w:rPr>
            </w:pPr>
            <w:r>
              <w:rPr>
                <w:rFonts w:ascii="Arial" w:cs="Arial" w:eastAsia="Arial" w:hAnsi="Arial"/>
                <w:sz w:val="14"/>
                <w:szCs w:val="14"/>
                <w:b w:val="1"/>
                <w:bCs w:val="1"/>
                <w:color w:val="auto"/>
              </w:rPr>
              <w:t>2015</w:t>
            </w:r>
          </w:p>
        </w:tc>
        <w:tc>
          <w:tcPr>
            <w:tcW w:w="44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rPr>
              <w:t>2014</w:t>
            </w:r>
          </w:p>
        </w:tc>
        <w:tc>
          <w:tcPr>
            <w:tcW w:w="36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0" w:type="dxa"/>
            <w:vAlign w:val="bottom"/>
            <w:gridSpan w:val="3"/>
          </w:tcPr>
          <w:p>
            <w:pPr>
              <w:jc w:val="right"/>
              <w:ind w:right="644"/>
              <w:spacing w:after="0" w:line="142" w:lineRule="exact"/>
              <w:rPr>
                <w:sz w:val="20"/>
                <w:szCs w:val="20"/>
                <w:color w:val="auto"/>
              </w:rPr>
            </w:pPr>
            <w:r>
              <w:rPr>
                <w:rFonts w:ascii="Arial" w:cs="Arial" w:eastAsia="Arial" w:hAnsi="Arial"/>
                <w:sz w:val="14"/>
                <w:szCs w:val="14"/>
                <w:b w:val="1"/>
                <w:bCs w:val="1"/>
                <w:color w:val="auto"/>
              </w:rPr>
              <w:t>(in millions)</w:t>
            </w: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Foreign exchange contracts</w:t>
            </w:r>
          </w:p>
        </w:tc>
        <w:tc>
          <w:tcPr>
            <w:tcW w:w="1240" w:type="dxa"/>
            <w:vAlign w:val="bottom"/>
            <w:gridSpan w:val="2"/>
            <w:shd w:val="clear" w:color="auto" w:fill="CCEEFF"/>
          </w:tcPr>
          <w:p>
            <w:pPr>
              <w:jc w:val="right"/>
              <w:ind w:right="787"/>
              <w:spacing w:after="0"/>
              <w:rPr>
                <w:sz w:val="20"/>
                <w:szCs w:val="20"/>
                <w:color w:val="auto"/>
              </w:rPr>
            </w:pPr>
            <w:r>
              <w:rPr>
                <w:rFonts w:ascii="Arial" w:cs="Arial" w:eastAsia="Arial" w:hAnsi="Arial"/>
                <w:sz w:val="18"/>
                <w:szCs w:val="18"/>
                <w:b w:val="1"/>
                <w:bCs w:val="1"/>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796"/>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ind w:left="220"/>
              <w:spacing w:after="0"/>
              <w:rPr>
                <w:sz w:val="20"/>
                <w:szCs w:val="20"/>
                <w:color w:val="auto"/>
              </w:rPr>
            </w:pPr>
            <w:r>
              <w:rPr>
                <w:rFonts w:ascii="Arial" w:cs="Arial" w:eastAsia="Arial" w:hAnsi="Arial"/>
                <w:sz w:val="18"/>
                <w:szCs w:val="18"/>
                <w:color w:val="auto"/>
                <w:w w:val="88"/>
              </w:rPr>
              <w:t>—</w:t>
            </w:r>
          </w:p>
        </w:tc>
        <w:tc>
          <w:tcPr>
            <w:tcW w:w="1200" w:type="dxa"/>
            <w:vAlign w:val="bottom"/>
            <w:gridSpan w:val="2"/>
            <w:shd w:val="clear" w:color="auto" w:fill="CCEEFF"/>
          </w:tcPr>
          <w:p>
            <w:pPr>
              <w:jc w:val="right"/>
              <w:ind w:right="744"/>
              <w:spacing w:after="0"/>
              <w:rPr>
                <w:sz w:val="20"/>
                <w:szCs w:val="20"/>
                <w:color w:val="auto"/>
              </w:rPr>
            </w:pPr>
            <w:r>
              <w:rPr>
                <w:rFonts w:ascii="Arial" w:cs="Arial" w:eastAsia="Arial" w:hAnsi="Arial"/>
                <w:sz w:val="18"/>
                <w:szCs w:val="18"/>
                <w:b w:val="1"/>
                <w:bCs w:val="1"/>
                <w:color w:val="auto"/>
              </w:rPr>
              <w:t>$</w:t>
            </w:r>
          </w:p>
        </w:tc>
        <w:tc>
          <w:tcPr>
            <w:tcW w:w="7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1.7</w:t>
            </w:r>
          </w:p>
        </w:tc>
        <w:tc>
          <w:tcPr>
            <w:tcW w:w="1000" w:type="dxa"/>
            <w:vAlign w:val="bottom"/>
            <w:shd w:val="clear" w:color="auto" w:fill="CCEEFF"/>
          </w:tcPr>
          <w:p>
            <w:pPr>
              <w:jc w:val="right"/>
              <w:ind w:right="816"/>
              <w:spacing w:after="0"/>
              <w:rPr>
                <w:sz w:val="20"/>
                <w:szCs w:val="20"/>
                <w:color w:val="auto"/>
              </w:rPr>
            </w:pPr>
            <w:r>
              <w:rPr>
                <w:rFonts w:ascii="Arial" w:cs="Arial" w:eastAsia="Arial" w:hAnsi="Arial"/>
                <w:sz w:val="18"/>
                <w:szCs w:val="18"/>
                <w:color w:val="auto"/>
                <w:w w:val="79"/>
              </w:rPr>
              <w:t>$</w:t>
            </w:r>
          </w:p>
        </w:tc>
        <w:tc>
          <w:tcPr>
            <w:tcW w:w="46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4700" w:type="dxa"/>
            <w:vAlign w:val="bottom"/>
          </w:tcPr>
          <w:p>
            <w:pPr>
              <w:spacing w:after="0"/>
              <w:rPr>
                <w:sz w:val="20"/>
                <w:szCs w:val="20"/>
                <w:color w:val="auto"/>
              </w:rPr>
            </w:pPr>
            <w:r>
              <w:rPr>
                <w:rFonts w:ascii="Arial" w:cs="Arial" w:eastAsia="Arial" w:hAnsi="Arial"/>
                <w:sz w:val="18"/>
                <w:szCs w:val="18"/>
                <w:color w:val="auto"/>
              </w:rPr>
              <w:t>Total</w:t>
            </w:r>
          </w:p>
        </w:tc>
        <w:tc>
          <w:tcPr>
            <w:tcW w:w="300" w:type="dxa"/>
            <w:vAlign w:val="bottom"/>
          </w:tcPr>
          <w:p>
            <w:pPr>
              <w:spacing w:after="0"/>
              <w:rPr>
                <w:sz w:val="18"/>
                <w:szCs w:val="18"/>
                <w:color w:val="auto"/>
              </w:rPr>
            </w:pPr>
          </w:p>
        </w:tc>
        <w:tc>
          <w:tcPr>
            <w:tcW w:w="940" w:type="dxa"/>
            <w:vAlign w:val="bottom"/>
            <w:tcBorders>
              <w:top w:val="single" w:sz="8" w:color="auto"/>
            </w:tcBorders>
          </w:tcPr>
          <w:p>
            <w:pPr>
              <w:jc w:val="right"/>
              <w:ind w:right="787"/>
              <w:spacing w:after="0"/>
              <w:rPr>
                <w:sz w:val="20"/>
                <w:szCs w:val="20"/>
                <w:color w:val="auto"/>
              </w:rPr>
            </w:pPr>
            <w:r>
              <w:rPr>
                <w:rFonts w:ascii="Arial" w:cs="Arial" w:eastAsia="Arial" w:hAnsi="Arial"/>
                <w:sz w:val="15"/>
                <w:szCs w:val="15"/>
                <w:b w:val="1"/>
                <w:bCs w:val="1"/>
                <w:color w:val="auto"/>
                <w:w w:val="71"/>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1.7</w:t>
            </w:r>
          </w:p>
        </w:tc>
        <w:tc>
          <w:tcPr>
            <w:tcW w:w="300" w:type="dxa"/>
            <w:vAlign w:val="bottom"/>
          </w:tcPr>
          <w:p>
            <w:pPr>
              <w:spacing w:after="0"/>
              <w:rPr>
                <w:sz w:val="18"/>
                <w:szCs w:val="18"/>
                <w:color w:val="auto"/>
              </w:rPr>
            </w:pPr>
          </w:p>
        </w:tc>
        <w:tc>
          <w:tcPr>
            <w:tcW w:w="980" w:type="dxa"/>
            <w:vAlign w:val="bottom"/>
            <w:tcBorders>
              <w:top w:val="single" w:sz="8" w:color="auto"/>
            </w:tcBorders>
          </w:tcPr>
          <w:p>
            <w:pPr>
              <w:jc w:val="right"/>
              <w:ind w:right="796"/>
              <w:spacing w:after="0"/>
              <w:rPr>
                <w:sz w:val="20"/>
                <w:szCs w:val="20"/>
                <w:color w:val="auto"/>
              </w:rPr>
            </w:pPr>
            <w:r>
              <w:rPr>
                <w:rFonts w:ascii="Arial" w:cs="Arial" w:eastAsia="Arial" w:hAnsi="Arial"/>
                <w:sz w:val="18"/>
                <w:szCs w:val="18"/>
                <w:color w:val="auto"/>
                <w:w w:val="79"/>
              </w:rPr>
              <w:t>$</w:t>
            </w:r>
          </w:p>
        </w:tc>
        <w:tc>
          <w:tcPr>
            <w:tcW w:w="400" w:type="dxa"/>
            <w:vAlign w:val="bottom"/>
            <w:tcBorders>
              <w:top w:val="single" w:sz="8" w:color="auto"/>
            </w:tcBorders>
          </w:tcPr>
          <w:p>
            <w:pPr>
              <w:ind w:left="220"/>
              <w:spacing w:after="0"/>
              <w:rPr>
                <w:sz w:val="20"/>
                <w:szCs w:val="20"/>
                <w:color w:val="auto"/>
              </w:rPr>
            </w:pPr>
            <w:r>
              <w:rPr>
                <w:rFonts w:ascii="Arial" w:cs="Arial" w:eastAsia="Arial" w:hAnsi="Arial"/>
                <w:sz w:val="18"/>
                <w:szCs w:val="18"/>
                <w:color w:val="auto"/>
                <w:w w:val="88"/>
              </w:rPr>
              <w:t>—</w:t>
            </w:r>
          </w:p>
        </w:tc>
        <w:tc>
          <w:tcPr>
            <w:tcW w:w="280" w:type="dxa"/>
            <w:vAlign w:val="bottom"/>
          </w:tcPr>
          <w:p>
            <w:pPr>
              <w:spacing w:after="0"/>
              <w:rPr>
                <w:sz w:val="18"/>
                <w:szCs w:val="18"/>
                <w:color w:val="auto"/>
              </w:rPr>
            </w:pPr>
          </w:p>
        </w:tc>
        <w:tc>
          <w:tcPr>
            <w:tcW w:w="920" w:type="dxa"/>
            <w:vAlign w:val="bottom"/>
            <w:tcBorders>
              <w:top w:val="single" w:sz="8" w:color="auto"/>
            </w:tcBorders>
          </w:tcPr>
          <w:p>
            <w:pPr>
              <w:jc w:val="right"/>
              <w:ind w:right="744"/>
              <w:spacing w:after="0"/>
              <w:rPr>
                <w:sz w:val="20"/>
                <w:szCs w:val="20"/>
                <w:color w:val="auto"/>
              </w:rPr>
            </w:pPr>
            <w:r>
              <w:rPr>
                <w:rFonts w:ascii="Arial" w:cs="Arial" w:eastAsia="Arial" w:hAnsi="Arial"/>
                <w:sz w:val="18"/>
                <w:szCs w:val="18"/>
                <w:b w:val="1"/>
                <w:bCs w:val="1"/>
                <w:color w:val="auto"/>
                <w:w w:val="79"/>
              </w:rPr>
              <w:t>$</w:t>
            </w: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1.7</w:t>
            </w:r>
          </w:p>
        </w:tc>
        <w:tc>
          <w:tcPr>
            <w:tcW w:w="280" w:type="dxa"/>
            <w:vAlign w:val="bottom"/>
          </w:tcPr>
          <w:p>
            <w:pPr>
              <w:spacing w:after="0"/>
              <w:rPr>
                <w:sz w:val="18"/>
                <w:szCs w:val="18"/>
                <w:color w:val="auto"/>
              </w:rPr>
            </w:pPr>
          </w:p>
        </w:tc>
        <w:tc>
          <w:tcPr>
            <w:tcW w:w="1000" w:type="dxa"/>
            <w:vAlign w:val="bottom"/>
            <w:tcBorders>
              <w:top w:val="single" w:sz="8" w:color="auto"/>
            </w:tcBorders>
          </w:tcPr>
          <w:p>
            <w:pPr>
              <w:jc w:val="right"/>
              <w:ind w:right="816"/>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w w:val="88"/>
              </w:rPr>
              <w:t>—</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We did not have any ineffectiveness and did not reclassify any gains or losses from AOCI into net income related to our net investment hedges for the three and nine months ended September 30, 2015 and 2014.</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Derivatives Not Designated as Hedging Instruments</w:t>
      </w:r>
    </w:p>
    <w:p>
      <w:pPr>
        <w:spacing w:after="0" w:line="229" w:lineRule="exact"/>
        <w:rPr>
          <w:sz w:val="20"/>
          <w:szCs w:val="20"/>
          <w:color w:val="auto"/>
        </w:rPr>
      </w:pPr>
    </w:p>
    <w:p>
      <w:pPr>
        <w:jc w:val="both"/>
        <w:ind w:right="380" w:firstLine="648"/>
        <w:spacing w:after="0" w:line="259" w:lineRule="auto"/>
        <w:rPr>
          <w:sz w:val="20"/>
          <w:szCs w:val="20"/>
          <w:color w:val="auto"/>
        </w:rPr>
      </w:pPr>
      <w:r>
        <w:rPr>
          <w:rFonts w:ascii="Arial" w:cs="Arial" w:eastAsia="Arial" w:hAnsi="Arial"/>
          <w:sz w:val="18"/>
          <w:szCs w:val="18"/>
          <w:color w:val="auto"/>
        </w:rPr>
        <w:t>Our use of futures, certain swaptions and swaps, collars, options and forwards are effective from an economic standpoint, but they have not been designated as hedges for financial reporting purposes. As such, periodic changes in the market value of these instruments, which includes mark-to-market gains and losses as well as periodic and final settlements, primarily flow directly into net realized capital gains (losses) on the consolidated statements of operations.</w:t>
      </w:r>
    </w:p>
    <w:p>
      <w:pPr>
        <w:spacing w:after="0" w:line="187"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The following table shows the effect of derivatives not designated as hedging instruments, including fair value changes of embedded derivatives that have been bifurcated from the host contract, on the consolidated statements of operations.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8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40" w:type="dxa"/>
            <w:vAlign w:val="bottom"/>
            <w:gridSpan w:val="3"/>
          </w:tcPr>
          <w:p>
            <w:pPr>
              <w:jc w:val="center"/>
              <w:ind w:left="196"/>
              <w:spacing w:after="0"/>
              <w:rPr>
                <w:sz w:val="20"/>
                <w:szCs w:val="20"/>
                <w:color w:val="auto"/>
              </w:rPr>
            </w:pPr>
            <w:r>
              <w:rPr>
                <w:rFonts w:ascii="Arial" w:cs="Arial" w:eastAsia="Arial" w:hAnsi="Arial"/>
                <w:sz w:val="14"/>
                <w:szCs w:val="14"/>
                <w:b w:val="1"/>
                <w:bCs w:val="1"/>
                <w:color w:val="auto"/>
                <w:w w:val="90"/>
              </w:rPr>
              <w:t>Amount of gain (loss) recognized in</w:t>
            </w: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80" w:type="dxa"/>
            <w:vAlign w:val="bottom"/>
            <w:gridSpan w:val="7"/>
          </w:tcPr>
          <w:p>
            <w:pPr>
              <w:jc w:val="center"/>
              <w:ind w:left="35"/>
              <w:spacing w:after="0"/>
              <w:rPr>
                <w:sz w:val="20"/>
                <w:szCs w:val="20"/>
                <w:color w:val="auto"/>
              </w:rPr>
            </w:pPr>
            <w:r>
              <w:rPr>
                <w:rFonts w:ascii="Arial" w:cs="Arial" w:eastAsia="Arial" w:hAnsi="Arial"/>
                <w:sz w:val="14"/>
                <w:szCs w:val="14"/>
                <w:b w:val="1"/>
                <w:bCs w:val="1"/>
                <w:color w:val="auto"/>
                <w:w w:val="90"/>
              </w:rPr>
              <w:t>Amount of gain (loss) recognized in</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40" w:type="dxa"/>
            <w:vAlign w:val="bottom"/>
            <w:gridSpan w:val="3"/>
          </w:tcPr>
          <w:p>
            <w:pPr>
              <w:jc w:val="center"/>
              <w:ind w:left="196"/>
              <w:spacing w:after="0" w:line="149" w:lineRule="exact"/>
              <w:rPr>
                <w:sz w:val="20"/>
                <w:szCs w:val="20"/>
                <w:color w:val="auto"/>
              </w:rPr>
            </w:pPr>
            <w:r>
              <w:rPr>
                <w:rFonts w:ascii="Arial" w:cs="Arial" w:eastAsia="Arial" w:hAnsi="Arial"/>
                <w:sz w:val="14"/>
                <w:szCs w:val="14"/>
                <w:b w:val="1"/>
                <w:bCs w:val="1"/>
                <w:color w:val="auto"/>
                <w:w w:val="91"/>
              </w:rPr>
              <w:t>net income on derivatives for the</w:t>
            </w: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80" w:type="dxa"/>
            <w:vAlign w:val="bottom"/>
            <w:gridSpan w:val="7"/>
          </w:tcPr>
          <w:p>
            <w:pPr>
              <w:jc w:val="center"/>
              <w:ind w:left="35"/>
              <w:spacing w:after="0" w:line="149" w:lineRule="exact"/>
              <w:rPr>
                <w:sz w:val="20"/>
                <w:szCs w:val="20"/>
                <w:color w:val="auto"/>
              </w:rPr>
            </w:pPr>
            <w:r>
              <w:rPr>
                <w:rFonts w:ascii="Arial" w:cs="Arial" w:eastAsia="Arial" w:hAnsi="Arial"/>
                <w:sz w:val="14"/>
                <w:szCs w:val="14"/>
                <w:b w:val="1"/>
                <w:bCs w:val="1"/>
                <w:color w:val="auto"/>
                <w:w w:val="91"/>
              </w:rPr>
              <w:t>net income on derivatives for the</w:t>
            </w: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5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Derivatives not designated as hedging instruments</w:t>
            </w:r>
          </w:p>
        </w:tc>
        <w:tc>
          <w:tcPr>
            <w:tcW w:w="1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440" w:type="dxa"/>
            <w:vAlign w:val="bottom"/>
            <w:tcBorders>
              <w:bottom w:val="single" w:sz="8" w:color="auto"/>
            </w:tcBorders>
            <w:gridSpan w:val="3"/>
          </w:tcPr>
          <w:p>
            <w:pPr>
              <w:jc w:val="center"/>
              <w:ind w:left="196"/>
              <w:spacing w:after="0"/>
              <w:rPr>
                <w:sz w:val="20"/>
                <w:szCs w:val="20"/>
                <w:color w:val="auto"/>
              </w:rPr>
            </w:pPr>
            <w:r>
              <w:rPr>
                <w:rFonts w:ascii="Arial" w:cs="Arial" w:eastAsia="Arial" w:hAnsi="Arial"/>
                <w:sz w:val="14"/>
                <w:szCs w:val="14"/>
                <w:b w:val="1"/>
                <w:bCs w:val="1"/>
                <w:color w:val="auto"/>
                <w:w w:val="90"/>
              </w:rPr>
              <w:t>three months ended September 30,</w:t>
            </w:r>
          </w:p>
        </w:tc>
        <w:tc>
          <w:tcPr>
            <w:tcW w:w="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gridSpan w:val="7"/>
          </w:tcPr>
          <w:p>
            <w:pPr>
              <w:jc w:val="center"/>
              <w:ind w:left="35"/>
              <w:spacing w:after="0"/>
              <w:rPr>
                <w:sz w:val="20"/>
                <w:szCs w:val="20"/>
                <w:color w:val="auto"/>
              </w:rPr>
            </w:pPr>
            <w:r>
              <w:rPr>
                <w:rFonts w:ascii="Arial" w:cs="Arial" w:eastAsia="Arial" w:hAnsi="Arial"/>
                <w:sz w:val="14"/>
                <w:szCs w:val="14"/>
                <w:b w:val="1"/>
                <w:bCs w:val="1"/>
                <w:color w:val="auto"/>
                <w:w w:val="91"/>
              </w:rPr>
              <w:t>nine months ended September 30,</w:t>
            </w:r>
          </w:p>
        </w:tc>
        <w:tc>
          <w:tcPr>
            <w:tcW w:w="4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580" w:type="dxa"/>
            <w:vAlign w:val="bottom"/>
            <w:tcBorders>
              <w:bottom w:val="single" w:sz="8" w:color="auto"/>
            </w:tcBorders>
            <w:gridSpan w:val="2"/>
            <w:vMerge w:val="continue"/>
          </w:tcPr>
          <w:p>
            <w:pPr>
              <w:spacing w:after="0"/>
              <w:rPr>
                <w:sz w:val="12"/>
                <w:szCs w:val="12"/>
                <w:color w:val="auto"/>
              </w:rPr>
            </w:pPr>
          </w:p>
        </w:tc>
        <w:tc>
          <w:tcPr>
            <w:tcW w:w="1120" w:type="dxa"/>
            <w:vAlign w:val="bottom"/>
            <w:tcBorders>
              <w:bottom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jc w:val="right"/>
              <w:ind w:right="456"/>
              <w:spacing w:after="0" w:line="142" w:lineRule="exact"/>
              <w:rPr>
                <w:sz w:val="20"/>
                <w:szCs w:val="20"/>
                <w:color w:val="auto"/>
              </w:rPr>
            </w:pPr>
            <w:r>
              <w:rPr>
                <w:rFonts w:ascii="Arial" w:cs="Arial" w:eastAsia="Arial" w:hAnsi="Arial"/>
                <w:sz w:val="14"/>
                <w:szCs w:val="14"/>
                <w:b w:val="1"/>
                <w:bCs w:val="1"/>
                <w:color w:val="auto"/>
              </w:rPr>
              <w:t>2015</w:t>
            </w:r>
          </w:p>
        </w:tc>
        <w:tc>
          <w:tcPr>
            <w:tcW w:w="30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right"/>
              <w:ind w:right="16"/>
              <w:spacing w:after="0" w:line="142" w:lineRule="exact"/>
              <w:rPr>
                <w:sz w:val="20"/>
                <w:szCs w:val="20"/>
                <w:color w:val="auto"/>
              </w:rPr>
            </w:pPr>
            <w:r>
              <w:rPr>
                <w:rFonts w:ascii="Arial" w:cs="Arial" w:eastAsia="Arial" w:hAnsi="Arial"/>
                <w:sz w:val="14"/>
                <w:szCs w:val="14"/>
                <w:b w:val="1"/>
                <w:bCs w:val="1"/>
                <w:color w:val="auto"/>
              </w:rPr>
              <w:t>2014</w:t>
            </w:r>
          </w:p>
        </w:tc>
        <w:tc>
          <w:tcPr>
            <w:tcW w:w="2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95"/>
              <w:spacing w:after="0" w:line="142" w:lineRule="exact"/>
              <w:rPr>
                <w:sz w:val="20"/>
                <w:szCs w:val="20"/>
                <w:color w:val="auto"/>
              </w:rPr>
            </w:pPr>
            <w:r>
              <w:rPr>
                <w:rFonts w:ascii="Arial" w:cs="Arial" w:eastAsia="Arial" w:hAnsi="Arial"/>
                <w:sz w:val="14"/>
                <w:szCs w:val="14"/>
                <w:b w:val="1"/>
                <w:bCs w:val="1"/>
                <w:color w:val="auto"/>
              </w:rPr>
              <w:t>2015</w:t>
            </w:r>
          </w:p>
        </w:tc>
        <w:tc>
          <w:tcPr>
            <w:tcW w:w="2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gridSpan w:val="2"/>
          </w:tcPr>
          <w:p>
            <w:pPr>
              <w:jc w:val="right"/>
              <w:ind w:right="30"/>
              <w:spacing w:after="0" w:line="142" w:lineRule="exact"/>
              <w:rPr>
                <w:sz w:val="20"/>
                <w:szCs w:val="20"/>
                <w:color w:val="auto"/>
              </w:rPr>
            </w:pPr>
            <w:r>
              <w:rPr>
                <w:rFonts w:ascii="Arial" w:cs="Arial" w:eastAsia="Arial" w:hAnsi="Arial"/>
                <w:sz w:val="14"/>
                <w:szCs w:val="14"/>
                <w:b w:val="1"/>
                <w:bCs w:val="1"/>
                <w:color w:val="auto"/>
              </w:rPr>
              <w:t>2014</w:t>
            </w:r>
          </w:p>
        </w:tc>
        <w:tc>
          <w:tcPr>
            <w:tcW w:w="42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0" w:type="dxa"/>
            <w:vAlign w:val="bottom"/>
            <w:gridSpan w:val="4"/>
          </w:tcPr>
          <w:p>
            <w:pPr>
              <w:jc w:val="right"/>
              <w:ind w:right="10"/>
              <w:spacing w:after="0" w:line="142" w:lineRule="exact"/>
              <w:rPr>
                <w:sz w:val="20"/>
                <w:szCs w:val="20"/>
                <w:color w:val="auto"/>
              </w:rPr>
            </w:pPr>
            <w:r>
              <w:rPr>
                <w:rFonts w:ascii="Arial" w:cs="Arial" w:eastAsia="Arial" w:hAnsi="Arial"/>
                <w:sz w:val="14"/>
                <w:szCs w:val="14"/>
                <w:b w:val="1"/>
                <w:bCs w:val="1"/>
                <w:color w:val="auto"/>
              </w:rPr>
              <w:t>(in millions)</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contracts</w:t>
            </w:r>
          </w:p>
        </w:tc>
        <w:tc>
          <w:tcPr>
            <w:tcW w:w="1580" w:type="dxa"/>
            <w:vAlign w:val="bottom"/>
            <w:gridSpan w:val="3"/>
            <w:shd w:val="clear" w:color="auto" w:fill="CCEEFF"/>
          </w:tcPr>
          <w:p>
            <w:pPr>
              <w:jc w:val="right"/>
              <w:ind w:right="5"/>
              <w:spacing w:after="0"/>
              <w:rPr>
                <w:sz w:val="20"/>
                <w:szCs w:val="20"/>
                <w:color w:val="auto"/>
              </w:rPr>
            </w:pPr>
            <w:r>
              <w:rPr>
                <w:rFonts w:ascii="Arial" w:cs="Arial" w:eastAsia="Arial" w:hAnsi="Arial"/>
                <w:sz w:val="18"/>
                <w:szCs w:val="18"/>
                <w:b w:val="1"/>
                <w:bCs w:val="1"/>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150.8</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756"/>
              <w:spacing w:after="0"/>
              <w:rPr>
                <w:sz w:val="20"/>
                <w:szCs w:val="20"/>
                <w:color w:val="auto"/>
              </w:rPr>
            </w:pPr>
            <w:r>
              <w:rPr>
                <w:rFonts w:ascii="Arial" w:cs="Arial" w:eastAsia="Arial" w:hAnsi="Arial"/>
                <w:sz w:val="18"/>
                <w:szCs w:val="18"/>
                <w:color w:val="auto"/>
                <w:w w:val="79"/>
              </w:rPr>
              <w:t>$</w:t>
            </w:r>
          </w:p>
        </w:tc>
        <w:tc>
          <w:tcPr>
            <w:tcW w:w="6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38.3</w:t>
            </w:r>
          </w:p>
        </w:tc>
        <w:tc>
          <w:tcPr>
            <w:tcW w:w="4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7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w w:val="91"/>
              </w:rPr>
              <w:t>84.7</w:t>
            </w:r>
          </w:p>
        </w:tc>
        <w:tc>
          <w:tcPr>
            <w:tcW w:w="1040" w:type="dxa"/>
            <w:vAlign w:val="bottom"/>
            <w:gridSpan w:val="2"/>
            <w:shd w:val="clear" w:color="auto" w:fill="CCEEFF"/>
          </w:tcPr>
          <w:p>
            <w:pPr>
              <w:jc w:val="right"/>
              <w:ind w:right="75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8"/>
              </w:rPr>
              <w:t>134.7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tcPr>
          <w:p>
            <w:pPr>
              <w:spacing w:after="0"/>
              <w:rPr>
                <w:sz w:val="20"/>
                <w:szCs w:val="20"/>
                <w:color w:val="auto"/>
              </w:rPr>
            </w:pPr>
            <w:r>
              <w:rPr>
                <w:rFonts w:ascii="Arial" w:cs="Arial" w:eastAsia="Arial" w:hAnsi="Arial"/>
                <w:sz w:val="18"/>
                <w:szCs w:val="18"/>
                <w:color w:val="auto"/>
              </w:rPr>
              <w:t>Foreign exchange contracts</w:t>
            </w: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(27.0)</w:t>
            </w:r>
          </w:p>
        </w:tc>
        <w:tc>
          <w:tcPr>
            <w:tcW w:w="940" w:type="dxa"/>
            <w:vAlign w:val="bottom"/>
          </w:tcPr>
          <w:p>
            <w:pPr>
              <w:spacing w:after="0"/>
              <w:rPr>
                <w:sz w:val="18"/>
                <w:szCs w:val="18"/>
                <w:color w:val="auto"/>
              </w:rPr>
            </w:pPr>
          </w:p>
        </w:tc>
        <w:tc>
          <w:tcPr>
            <w:tcW w:w="620" w:type="dxa"/>
            <w:vAlign w:val="bottom"/>
            <w:gridSpan w:val="3"/>
          </w:tcPr>
          <w:p>
            <w:pPr>
              <w:jc w:val="right"/>
              <w:ind w:right="40"/>
              <w:spacing w:after="0"/>
              <w:rPr>
                <w:sz w:val="20"/>
                <w:szCs w:val="20"/>
                <w:color w:val="auto"/>
              </w:rPr>
            </w:pPr>
            <w:r>
              <w:rPr>
                <w:rFonts w:ascii="Arial" w:cs="Arial" w:eastAsia="Arial" w:hAnsi="Arial"/>
                <w:sz w:val="18"/>
                <w:szCs w:val="18"/>
                <w:color w:val="auto"/>
              </w:rPr>
              <w:t>(43.7)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gridSpan w:val="5"/>
          </w:tcPr>
          <w:p>
            <w:pPr>
              <w:jc w:val="right"/>
              <w:ind w:right="120"/>
              <w:spacing w:after="0"/>
              <w:rPr>
                <w:sz w:val="20"/>
                <w:szCs w:val="20"/>
                <w:color w:val="auto"/>
              </w:rPr>
            </w:pPr>
            <w:r>
              <w:rPr>
                <w:rFonts w:ascii="Arial" w:cs="Arial" w:eastAsia="Arial" w:hAnsi="Arial"/>
                <w:sz w:val="18"/>
                <w:szCs w:val="18"/>
                <w:b w:val="1"/>
                <w:bCs w:val="1"/>
                <w:color w:val="auto"/>
              </w:rPr>
              <w:t>(39.2)</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w w:val="97"/>
              </w:rPr>
              <w:t>(56.6)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contracts</w:t>
            </w:r>
          </w:p>
        </w:tc>
        <w:tc>
          <w:tcPr>
            <w:tcW w:w="1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39.7</w:t>
            </w:r>
          </w:p>
        </w:tc>
        <w:tc>
          <w:tcPr>
            <w:tcW w:w="940" w:type="dxa"/>
            <w:vAlign w:val="bottom"/>
            <w:shd w:val="clear" w:color="auto" w:fill="CCEEFF"/>
          </w:tcPr>
          <w:p>
            <w:pPr>
              <w:spacing w:after="0"/>
              <w:rPr>
                <w:sz w:val="18"/>
                <w:szCs w:val="18"/>
                <w:color w:val="auto"/>
              </w:rPr>
            </w:pPr>
          </w:p>
        </w:tc>
        <w:tc>
          <w:tcPr>
            <w:tcW w:w="6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37.7</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7.5</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tcPr>
          <w:p>
            <w:pPr>
              <w:spacing w:after="0"/>
              <w:rPr>
                <w:sz w:val="20"/>
                <w:szCs w:val="20"/>
                <w:color w:val="auto"/>
              </w:rPr>
            </w:pPr>
            <w:r>
              <w:rPr>
                <w:rFonts w:ascii="Arial" w:cs="Arial" w:eastAsia="Arial" w:hAnsi="Arial"/>
                <w:sz w:val="18"/>
                <w:szCs w:val="18"/>
                <w:color w:val="auto"/>
              </w:rPr>
              <w:t>Credit contracts</w:t>
            </w: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(11.0)</w:t>
            </w:r>
          </w:p>
        </w:tc>
        <w:tc>
          <w:tcPr>
            <w:tcW w:w="940" w:type="dxa"/>
            <w:vAlign w:val="bottom"/>
          </w:tcPr>
          <w:p>
            <w:pPr>
              <w:spacing w:after="0"/>
              <w:rPr>
                <w:sz w:val="18"/>
                <w:szCs w:val="18"/>
                <w:color w:val="auto"/>
              </w:rPr>
            </w:pPr>
          </w:p>
        </w:tc>
        <w:tc>
          <w:tcPr>
            <w:tcW w:w="620" w:type="dxa"/>
            <w:vAlign w:val="bottom"/>
            <w:gridSpan w:val="3"/>
          </w:tcPr>
          <w:p>
            <w:pPr>
              <w:jc w:val="right"/>
              <w:ind w:right="40"/>
              <w:spacing w:after="0"/>
              <w:rPr>
                <w:sz w:val="20"/>
                <w:szCs w:val="20"/>
                <w:color w:val="auto"/>
              </w:rPr>
            </w:pPr>
            <w:r>
              <w:rPr>
                <w:rFonts w:ascii="Arial" w:cs="Arial" w:eastAsia="Arial" w:hAnsi="Arial"/>
                <w:sz w:val="18"/>
                <w:szCs w:val="18"/>
                <w:color w:val="auto"/>
              </w:rPr>
              <w:t>(21.7)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rPr>
              <w:t>2.4</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w w:val="97"/>
              </w:rPr>
              <w:t>(10.8)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contracts</w:t>
            </w:r>
          </w:p>
        </w:tc>
        <w:tc>
          <w:tcPr>
            <w:tcW w:w="1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(97.9)</w:t>
            </w:r>
          </w:p>
        </w:tc>
        <w:tc>
          <w:tcPr>
            <w:tcW w:w="940" w:type="dxa"/>
            <w:vAlign w:val="bottom"/>
            <w:shd w:val="clear" w:color="auto" w:fill="CCEEFF"/>
          </w:tcPr>
          <w:p>
            <w:pPr>
              <w:spacing w:after="0"/>
              <w:rPr>
                <w:sz w:val="18"/>
                <w:szCs w:val="18"/>
                <w:color w:val="auto"/>
              </w:rPr>
            </w:pPr>
          </w:p>
        </w:tc>
        <w:tc>
          <w:tcPr>
            <w:tcW w:w="6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(62.0)</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4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(39.0)</w:t>
            </w:r>
          </w:p>
        </w:tc>
        <w:tc>
          <w:tcPr>
            <w:tcW w:w="15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(108.5)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580" w:type="dxa"/>
            <w:vAlign w:val="bottom"/>
            <w:gridSpan w:val="2"/>
          </w:tcPr>
          <w:p>
            <w:pPr>
              <w:spacing w:after="0"/>
              <w:rPr>
                <w:sz w:val="20"/>
                <w:szCs w:val="20"/>
                <w:color w:val="auto"/>
              </w:rPr>
            </w:pPr>
            <w:r>
              <w:rPr>
                <w:rFonts w:ascii="Arial" w:cs="Arial" w:eastAsia="Arial" w:hAnsi="Arial"/>
                <w:sz w:val="18"/>
                <w:szCs w:val="18"/>
                <w:color w:val="auto"/>
              </w:rPr>
              <w:t>Total</w:t>
            </w:r>
          </w:p>
        </w:tc>
        <w:tc>
          <w:tcPr>
            <w:tcW w:w="1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54.6</w:t>
            </w:r>
          </w:p>
        </w:tc>
        <w:tc>
          <w:tcPr>
            <w:tcW w:w="300" w:type="dxa"/>
            <w:vAlign w:val="bottom"/>
          </w:tcPr>
          <w:p>
            <w:pPr>
              <w:spacing w:after="0"/>
              <w:rPr>
                <w:sz w:val="19"/>
                <w:szCs w:val="19"/>
                <w:color w:val="auto"/>
              </w:rPr>
            </w:pPr>
          </w:p>
        </w:tc>
        <w:tc>
          <w:tcPr>
            <w:tcW w:w="940" w:type="dxa"/>
            <w:vAlign w:val="bottom"/>
            <w:tcBorders>
              <w:top w:val="single" w:sz="8" w:color="auto"/>
              <w:bottom w:val="single" w:sz="8" w:color="auto"/>
            </w:tcBorders>
          </w:tcPr>
          <w:p>
            <w:pPr>
              <w:jc w:val="right"/>
              <w:ind w:right="756"/>
              <w:spacing w:after="0"/>
              <w:rPr>
                <w:sz w:val="20"/>
                <w:szCs w:val="20"/>
                <w:color w:val="auto"/>
              </w:rPr>
            </w:pPr>
            <w:r>
              <w:rPr>
                <w:rFonts w:ascii="Arial" w:cs="Arial" w:eastAsia="Arial" w:hAnsi="Arial"/>
                <w:sz w:val="18"/>
                <w:szCs w:val="18"/>
                <w:color w:val="auto"/>
                <w:w w:val="79"/>
              </w:rPr>
              <w:t>$</w:t>
            </w:r>
          </w:p>
        </w:tc>
        <w:tc>
          <w:tcPr>
            <w:tcW w:w="4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(51.4</w:t>
            </w:r>
          </w:p>
        </w:tc>
        <w:tc>
          <w:tcPr>
            <w:tcW w:w="180" w:type="dxa"/>
            <w:vAlign w:val="bottom"/>
          </w:tcPr>
          <w:p>
            <w:pPr>
              <w:jc w:val="right"/>
              <w:ind w:right="40"/>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700" w:type="dxa"/>
            <w:vAlign w:val="bottom"/>
            <w:tcBorders>
              <w:top w:val="single" w:sz="8" w:color="auto"/>
              <w:bottom w:val="single" w:sz="8" w:color="auto"/>
            </w:tcBorders>
          </w:tcPr>
          <w:p>
            <w:pPr>
              <w:spacing w:after="0"/>
              <w:rPr>
                <w:sz w:val="19"/>
                <w:szCs w:val="19"/>
                <w:color w:val="auto"/>
              </w:rPr>
            </w:pPr>
          </w:p>
        </w:tc>
        <w:tc>
          <w:tcPr>
            <w:tcW w:w="20" w:type="dxa"/>
            <w:vAlign w:val="bottom"/>
            <w:tcBorders>
              <w:top w:val="single" w:sz="8" w:color="auto"/>
              <w:bottom w:val="single" w:sz="8" w:color="auto"/>
            </w:tcBorders>
          </w:tcPr>
          <w:p>
            <w:pPr>
              <w:spacing w:after="0"/>
              <w:rPr>
                <w:sz w:val="19"/>
                <w:szCs w:val="19"/>
                <w:color w:val="auto"/>
              </w:rPr>
            </w:pPr>
          </w:p>
        </w:tc>
        <w:tc>
          <w:tcPr>
            <w:tcW w:w="3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1"/>
              </w:rPr>
              <w:t>16.4</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tcBorders>
              <w:top w:val="single" w:sz="8" w:color="auto"/>
              <w:bottom w:val="single" w:sz="8" w:color="auto"/>
            </w:tcBorders>
          </w:tcPr>
          <w:p>
            <w:pPr>
              <w:jc w:val="right"/>
              <w:ind w:right="750"/>
              <w:spacing w:after="0"/>
              <w:rPr>
                <w:sz w:val="20"/>
                <w:szCs w:val="20"/>
                <w:color w:val="auto"/>
              </w:rPr>
            </w:pPr>
            <w:r>
              <w:rPr>
                <w:rFonts w:ascii="Arial" w:cs="Arial" w:eastAsia="Arial" w:hAnsi="Arial"/>
                <w:sz w:val="18"/>
                <w:szCs w:val="18"/>
                <w:color w:val="auto"/>
                <w:w w:val="7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(41.1</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128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jc w:val="center"/>
              <w:ind w:right="16"/>
              <w:spacing w:after="0"/>
              <w:rPr>
                <w:sz w:val="20"/>
                <w:szCs w:val="20"/>
                <w:color w:val="auto"/>
              </w:rPr>
            </w:pPr>
            <w:r>
              <w:rPr>
                <w:rFonts w:ascii="Arial" w:cs="Arial" w:eastAsia="Arial" w:hAnsi="Arial"/>
                <w:sz w:val="18"/>
                <w:szCs w:val="18"/>
                <w:color w:val="auto"/>
                <w:w w:val="89"/>
              </w:rPr>
              <w:t>40</w:t>
            </w: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2300" w:type="dxa"/>
            <w:vAlign w:val="bottom"/>
            <w:tcBorders>
              <w:bottom w:val="single" w:sz="8" w:color="808080"/>
            </w:tcBorders>
          </w:tcPr>
          <w:p>
            <w:pPr>
              <w:spacing w:after="0"/>
              <w:rPr>
                <w:sz w:val="11"/>
                <w:szCs w:val="11"/>
                <w:color w:val="auto"/>
              </w:rPr>
            </w:pPr>
          </w:p>
        </w:tc>
        <w:tc>
          <w:tcPr>
            <w:tcW w:w="112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2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3580" w:type="dxa"/>
            <w:vAlign w:val="bottom"/>
            <w:gridSpan w:val="2"/>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1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1280" w:type="dxa"/>
            <w:vAlign w:val="bottom"/>
            <w:tcBorders>
              <w:top w:val="single" w:sz="8" w:color="0000EE"/>
            </w:tcBorders>
          </w:tcPr>
          <w:p>
            <w:pPr>
              <w:spacing w:after="0"/>
              <w:rPr>
                <w:sz w:val="24"/>
                <w:szCs w:val="24"/>
                <w:color w:val="auto"/>
              </w:rPr>
            </w:pPr>
          </w:p>
        </w:tc>
        <w:tc>
          <w:tcPr>
            <w:tcW w:w="2300" w:type="dxa"/>
            <w:vAlign w:val="bottom"/>
          </w:tcPr>
          <w:p>
            <w:pPr>
              <w:spacing w:after="0"/>
              <w:rPr>
                <w:sz w:val="24"/>
                <w:szCs w:val="24"/>
                <w:color w:val="auto"/>
              </w:rPr>
            </w:pPr>
          </w:p>
        </w:tc>
        <w:tc>
          <w:tcPr>
            <w:tcW w:w="4020" w:type="dxa"/>
            <w:vAlign w:val="bottom"/>
            <w:gridSpan w:val="6"/>
          </w:tcPr>
          <w:p>
            <w:pPr>
              <w:jc w:val="center"/>
              <w:ind w:left="150"/>
              <w:spacing w:after="0"/>
              <w:rPr>
                <w:sz w:val="20"/>
                <w:szCs w:val="20"/>
                <w:color w:val="auto"/>
              </w:rPr>
            </w:pPr>
            <w:r>
              <w:rPr>
                <w:rFonts w:ascii="Arial" w:cs="Arial" w:eastAsia="Arial" w:hAnsi="Arial"/>
                <w:sz w:val="18"/>
                <w:szCs w:val="18"/>
                <w:b w:val="1"/>
                <w:bCs w:val="1"/>
                <w:color w:val="auto"/>
                <w:w w:val="93"/>
              </w:rPr>
              <w:t>Principal Financial Group, Inc.</w:t>
            </w: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4020" w:type="dxa"/>
            <w:vAlign w:val="bottom"/>
            <w:gridSpan w:val="6"/>
          </w:tcPr>
          <w:p>
            <w:pPr>
              <w:jc w:val="center"/>
              <w:ind w:left="15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960" w:type="dxa"/>
            <w:vAlign w:val="bottom"/>
            <w:gridSpan w:val="4"/>
          </w:tcPr>
          <w:p>
            <w:pPr>
              <w:jc w:val="center"/>
              <w:spacing w:after="0"/>
              <w:rPr>
                <w:sz w:val="20"/>
                <w:szCs w:val="20"/>
                <w:color w:val="auto"/>
              </w:rPr>
            </w:pPr>
            <w:r>
              <w:rPr>
                <w:rFonts w:ascii="Arial" w:cs="Arial" w:eastAsia="Arial" w:hAnsi="Arial"/>
                <w:sz w:val="18"/>
                <w:szCs w:val="18"/>
                <w:b w:val="1"/>
                <w:bCs w:val="1"/>
                <w:color w:val="auto"/>
                <w:w w:val="89"/>
              </w:rPr>
              <w:t>September 30, 2015</w:t>
            </w: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2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0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3"/>
              </w:rPr>
              <w:t>(Unaudited)</w:t>
            </w:r>
          </w:p>
        </w:tc>
        <w:tc>
          <w:tcPr>
            <w:tcW w:w="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580" w:type="dxa"/>
            <w:vAlign w:val="bottom"/>
            <w:gridSpan w:val="2"/>
          </w:tcPr>
          <w:p>
            <w:pPr>
              <w:spacing w:after="0"/>
              <w:rPr>
                <w:sz w:val="20"/>
                <w:szCs w:val="20"/>
                <w:color w:val="auto"/>
              </w:rPr>
            </w:pPr>
            <w:r>
              <w:rPr>
                <w:rFonts w:ascii="Arial" w:cs="Arial" w:eastAsia="Arial" w:hAnsi="Arial"/>
                <w:sz w:val="18"/>
                <w:szCs w:val="18"/>
                <w:b w:val="1"/>
                <w:bCs w:val="1"/>
                <w:color w:val="auto"/>
              </w:rPr>
              <w:t>5. Long-Term Debt</w:t>
            </w:r>
          </w:p>
        </w:tc>
        <w:tc>
          <w:tcPr>
            <w:tcW w:w="1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5160" w:type="dxa"/>
            <w:vAlign w:val="bottom"/>
            <w:gridSpan w:val="5"/>
          </w:tcPr>
          <w:p>
            <w:pPr>
              <w:ind w:left="660"/>
              <w:spacing w:after="0"/>
              <w:rPr>
                <w:sz w:val="20"/>
                <w:szCs w:val="20"/>
                <w:color w:val="auto"/>
              </w:rPr>
            </w:pPr>
            <w:r>
              <w:rPr>
                <w:rFonts w:ascii="Arial" w:cs="Arial" w:eastAsia="Arial" w:hAnsi="Arial"/>
                <w:sz w:val="18"/>
                <w:szCs w:val="18"/>
                <w:color w:val="auto"/>
              </w:rPr>
              <w:t>The components of long-term debt were as follows:</w:t>
            </w:r>
          </w:p>
        </w:tc>
        <w:tc>
          <w:tcPr>
            <w:tcW w:w="1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128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720" w:type="dxa"/>
            <w:vAlign w:val="bottom"/>
            <w:gridSpan w:val="6"/>
          </w:tcPr>
          <w:p>
            <w:pPr>
              <w:jc w:val="right"/>
              <w:ind w:right="280"/>
              <w:spacing w:after="0"/>
              <w:rPr>
                <w:sz w:val="20"/>
                <w:szCs w:val="20"/>
                <w:color w:val="auto"/>
              </w:rPr>
            </w:pPr>
            <w:r>
              <w:rPr>
                <w:rFonts w:ascii="Arial" w:cs="Arial" w:eastAsia="Arial" w:hAnsi="Arial"/>
                <w:sz w:val="14"/>
                <w:szCs w:val="14"/>
                <w:b w:val="1"/>
                <w:bCs w:val="1"/>
                <w:color w:val="auto"/>
              </w:rPr>
              <w:t>September 30, 2015</w:t>
            </w: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gridSpan w:val="4"/>
          </w:tcPr>
          <w:p>
            <w:pPr>
              <w:jc w:val="right"/>
              <w:ind w:right="300"/>
              <w:spacing w:after="0"/>
              <w:rPr>
                <w:sz w:val="20"/>
                <w:szCs w:val="20"/>
                <w:color w:val="auto"/>
              </w:rPr>
            </w:pPr>
            <w:r>
              <w:rPr>
                <w:rFonts w:ascii="Arial" w:cs="Arial" w:eastAsia="Arial" w:hAnsi="Arial"/>
                <w:sz w:val="14"/>
                <w:szCs w:val="14"/>
                <w:b w:val="1"/>
                <w:bCs w:val="1"/>
                <w:color w:val="auto"/>
                <w:w w:val="91"/>
              </w:rPr>
              <w:t>December 31, 2014</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gridSpan w:val="5"/>
          </w:tcPr>
          <w:p>
            <w:pPr>
              <w:jc w:val="right"/>
              <w:ind w:right="20"/>
              <w:spacing w:after="0" w:line="142" w:lineRule="exact"/>
              <w:rPr>
                <w:sz w:val="20"/>
                <w:szCs w:val="20"/>
                <w:color w:val="auto"/>
              </w:rPr>
            </w:pPr>
            <w:r>
              <w:rPr>
                <w:rFonts w:ascii="Arial" w:cs="Arial" w:eastAsia="Arial" w:hAnsi="Arial"/>
                <w:sz w:val="14"/>
                <w:szCs w:val="14"/>
                <w:b w:val="1"/>
                <w:bCs w:val="1"/>
                <w:color w:val="auto"/>
              </w:rPr>
              <w:t>(in millions)</w:t>
            </w:r>
          </w:p>
        </w:tc>
        <w:tc>
          <w:tcPr>
            <w:tcW w:w="1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1.85% notes payable, due 2017</w:t>
            </w:r>
          </w:p>
        </w:tc>
        <w:tc>
          <w:tcPr>
            <w:tcW w:w="1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67"/>
              <w:spacing w:after="0"/>
              <w:rPr>
                <w:sz w:val="20"/>
                <w:szCs w:val="20"/>
                <w:color w:val="auto"/>
              </w:rPr>
            </w:pPr>
            <w:r>
              <w:rPr>
                <w:rFonts w:ascii="Arial" w:cs="Arial" w:eastAsia="Arial" w:hAnsi="Arial"/>
                <w:sz w:val="18"/>
                <w:szCs w:val="18"/>
                <w:b w:val="1"/>
                <w:bCs w:val="1"/>
                <w:color w:val="auto"/>
                <w:w w:val="79"/>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299.9</w:t>
            </w:r>
          </w:p>
        </w:tc>
        <w:tc>
          <w:tcPr>
            <w:tcW w:w="5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8"/>
              </w:rPr>
              <w:t>299.8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tcPr>
          <w:p>
            <w:pPr>
              <w:spacing w:after="0"/>
              <w:rPr>
                <w:sz w:val="20"/>
                <w:szCs w:val="20"/>
                <w:color w:val="auto"/>
              </w:rPr>
            </w:pPr>
            <w:r>
              <w:rPr>
                <w:rFonts w:ascii="Arial" w:cs="Arial" w:eastAsia="Arial" w:hAnsi="Arial"/>
                <w:sz w:val="18"/>
                <w:szCs w:val="18"/>
                <w:color w:val="auto"/>
              </w:rPr>
              <w:t>8.875% notes payable, due 2019</w:t>
            </w: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350.0</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w w:val="88"/>
              </w:rPr>
              <w:t>350.0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3.3% notes payable, due 2022</w:t>
            </w:r>
          </w:p>
        </w:tc>
        <w:tc>
          <w:tcPr>
            <w:tcW w:w="1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299.2</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8"/>
              </w:rPr>
              <w:t>299.1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tcPr>
          <w:p>
            <w:pPr>
              <w:spacing w:after="0"/>
              <w:rPr>
                <w:sz w:val="20"/>
                <w:szCs w:val="20"/>
                <w:color w:val="auto"/>
              </w:rPr>
            </w:pPr>
            <w:r>
              <w:rPr>
                <w:rFonts w:ascii="Arial" w:cs="Arial" w:eastAsia="Arial" w:hAnsi="Arial"/>
                <w:sz w:val="18"/>
                <w:szCs w:val="18"/>
                <w:color w:val="auto"/>
              </w:rPr>
              <w:t>3.125% notes payable, due 2023</w:t>
            </w: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299.7</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w w:val="88"/>
              </w:rPr>
              <w:t>299.6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3.4% notes payable, due in 2025</w:t>
            </w:r>
          </w:p>
        </w:tc>
        <w:tc>
          <w:tcPr>
            <w:tcW w:w="1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398.8</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tcPr>
          <w:p>
            <w:pPr>
              <w:spacing w:after="0"/>
              <w:rPr>
                <w:sz w:val="20"/>
                <w:szCs w:val="20"/>
                <w:color w:val="auto"/>
              </w:rPr>
            </w:pPr>
            <w:r>
              <w:rPr>
                <w:rFonts w:ascii="Arial" w:cs="Arial" w:eastAsia="Arial" w:hAnsi="Arial"/>
                <w:sz w:val="18"/>
                <w:szCs w:val="18"/>
                <w:color w:val="auto"/>
              </w:rPr>
              <w:t>6.05% notes payable, due 2036</w:t>
            </w: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601.6</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w w:val="88"/>
              </w:rPr>
              <w:t>601.6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4.625% notes payable, due 2042</w:t>
            </w:r>
          </w:p>
        </w:tc>
        <w:tc>
          <w:tcPr>
            <w:tcW w:w="1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299.5</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8"/>
              </w:rPr>
              <w:t>299.5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tcPr>
          <w:p>
            <w:pPr>
              <w:spacing w:after="0"/>
              <w:rPr>
                <w:sz w:val="20"/>
                <w:szCs w:val="20"/>
                <w:color w:val="auto"/>
              </w:rPr>
            </w:pPr>
            <w:r>
              <w:rPr>
                <w:rFonts w:ascii="Arial" w:cs="Arial" w:eastAsia="Arial" w:hAnsi="Arial"/>
                <w:sz w:val="18"/>
                <w:szCs w:val="18"/>
                <w:color w:val="auto"/>
              </w:rPr>
              <w:t>4.35% notes payable, due 2043</w:t>
            </w: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299.3</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w w:val="88"/>
              </w:rPr>
              <w:t>299.3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4.7% notes payable, due 2055</w:t>
            </w:r>
          </w:p>
        </w:tc>
        <w:tc>
          <w:tcPr>
            <w:tcW w:w="1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400.0</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gridSpan w:val="2"/>
          </w:tcPr>
          <w:p>
            <w:pPr>
              <w:spacing w:after="0"/>
              <w:rPr>
                <w:sz w:val="20"/>
                <w:szCs w:val="20"/>
                <w:color w:val="auto"/>
              </w:rPr>
            </w:pPr>
            <w:r>
              <w:rPr>
                <w:rFonts w:ascii="Arial" w:cs="Arial" w:eastAsia="Arial" w:hAnsi="Arial"/>
                <w:sz w:val="18"/>
                <w:szCs w:val="18"/>
                <w:color w:val="auto"/>
              </w:rPr>
              <w:t>Non-recourse mortgages and notes payable</w:t>
            </w: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38.1</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rPr>
              <w:t>82.3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58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long-term debt</w:t>
            </w:r>
          </w:p>
        </w:tc>
        <w:tc>
          <w:tcPr>
            <w:tcW w:w="112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9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ind w:right="267"/>
              <w:spacing w:after="0"/>
              <w:rPr>
                <w:sz w:val="20"/>
                <w:szCs w:val="20"/>
                <w:color w:val="auto"/>
              </w:rPr>
            </w:pPr>
            <w:r>
              <w:rPr>
                <w:rFonts w:ascii="Arial" w:cs="Arial" w:eastAsia="Arial" w:hAnsi="Arial"/>
                <w:sz w:val="15"/>
                <w:szCs w:val="15"/>
                <w:b w:val="1"/>
                <w:bCs w:val="1"/>
                <w:color w:val="auto"/>
                <w:w w:val="71"/>
              </w:rPr>
              <w:t>$</w:t>
            </w: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3,286.1</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5"/>
                <w:szCs w:val="15"/>
                <w:color w:val="auto"/>
                <w:w w:val="71"/>
              </w:rPr>
              <w:t>$</w:t>
            </w:r>
          </w:p>
        </w:tc>
        <w:tc>
          <w:tcPr>
            <w:tcW w:w="146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2,531.2</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-3500120</wp:posOffset>
            </wp:positionV>
            <wp:extent cx="12700" cy="298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-3500120</wp:posOffset>
            </wp:positionV>
            <wp:extent cx="12700" cy="298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82" w:lineRule="exact"/>
        <w:rPr>
          <w:sz w:val="20"/>
          <w:szCs w:val="20"/>
          <w:color w:val="auto"/>
        </w:rPr>
      </w:pPr>
    </w:p>
    <w:p>
      <w:pPr>
        <w:jc w:val="both"/>
        <w:ind w:right="100" w:firstLine="648"/>
        <w:spacing w:after="0" w:line="277" w:lineRule="auto"/>
        <w:rPr>
          <w:sz w:val="20"/>
          <w:szCs w:val="20"/>
          <w:color w:val="auto"/>
        </w:rPr>
      </w:pPr>
      <w:r>
        <w:rPr>
          <w:rFonts w:ascii="Arial" w:cs="Arial" w:eastAsia="Arial" w:hAnsi="Arial"/>
          <w:sz w:val="18"/>
          <w:szCs w:val="18"/>
          <w:color w:val="auto"/>
        </w:rPr>
        <w:t>The amounts included above are net of the discount and premium associated with issuing these notes, which are being amortized to expense over the respective terms using the interest method.</w:t>
      </w:r>
    </w:p>
    <w:p>
      <w:pPr>
        <w:spacing w:after="0" w:line="170" w:lineRule="exact"/>
        <w:rPr>
          <w:sz w:val="20"/>
          <w:szCs w:val="20"/>
          <w:color w:val="auto"/>
        </w:rPr>
      </w:pPr>
    </w:p>
    <w:p>
      <w:pPr>
        <w:ind w:right="100" w:firstLine="648"/>
        <w:spacing w:after="0" w:line="271" w:lineRule="auto"/>
        <w:rPr>
          <w:sz w:val="20"/>
          <w:szCs w:val="20"/>
          <w:color w:val="auto"/>
        </w:rPr>
      </w:pPr>
      <w:r>
        <w:rPr>
          <w:rFonts w:ascii="Arial" w:cs="Arial" w:eastAsia="Arial" w:hAnsi="Arial"/>
          <w:sz w:val="17"/>
          <w:szCs w:val="17"/>
          <w:color w:val="auto"/>
        </w:rPr>
        <w:t>On May 7, 2015, we issued $400.0 million of senior notes. The notes bear interest at 3.4% and will mature in 2025. Interest on the notes is payable semi-annually on May 15 and November 15 each year, beginning on November 15, 2015. In addition, on May 7, 2015, we issued $400.0 million of junior subordinated notes, which are subordinated to all our senior debt. The notes are callable in 2020 and have a maturity date in 2055. The notes initially bear a fixed rate of interest at 4.7% and convert to a floating rate at the date the notes become callable. Interest on the notes is payable semi-annually on May 15 and November 15 each year. After the call date the notes will bear interest at 3-month LIBOR plus 3.044%, reset quarterly and payable in arrears in February, May, August, and November each year. We have the right to defer interest payments on the junior subordinated notes for up to 5 years without resulting in a default, during which time interest will be compounded. The proceeds from these notes were used to redeem our series A and series B preferred stock with the remainder available for general corporate purposes.</w:t>
      </w:r>
    </w:p>
    <w:p>
      <w:pPr>
        <w:sectPr>
          <w:pgSz w:w="11900" w:h="16838" w:orient="portrait"/>
          <w:cols w:equalWidth="0" w:num="1">
            <w:col w:w="11460"/>
          </w:cols>
          <w:pgMar w:left="240" w:top="341" w:right="199" w:bottom="0" w:gutter="0" w:footer="0" w:header="0"/>
        </w:sectPr>
      </w:pPr>
    </w:p>
    <w:bookmarkStart w:id="30" w:name="page31"/>
    <w:bookmarkEnd w:id="30"/>
    <w:p>
      <w:pPr>
        <w:spacing w:after="0" w:line="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Income Taxes</w:t>
      </w:r>
    </w:p>
    <w:p>
      <w:pPr>
        <w:spacing w:after="0" w:line="229" w:lineRule="exact"/>
        <w:rPr>
          <w:sz w:val="20"/>
          <w:szCs w:val="20"/>
          <w:color w:val="auto"/>
        </w:rPr>
      </w:pPr>
    </w:p>
    <w:p>
      <w:pPr>
        <w:ind w:right="440" w:firstLine="630"/>
        <w:spacing w:after="0" w:line="264" w:lineRule="auto"/>
        <w:rPr>
          <w:sz w:val="20"/>
          <w:szCs w:val="20"/>
          <w:color w:val="auto"/>
        </w:rPr>
      </w:pPr>
      <w:r>
        <w:rPr>
          <w:rFonts w:ascii="Arial" w:cs="Arial" w:eastAsia="Arial" w:hAnsi="Arial"/>
          <w:sz w:val="18"/>
          <w:szCs w:val="18"/>
          <w:color w:val="auto"/>
        </w:rPr>
        <w:t>The effective income tax rate for the three months ended September 30, 2015, was lower than the U.S. corporate income tax rate of 35% (“U.S. statutory rate”) primarily due to income tax deductions allowed for corporate dividends received and the presentation of taxes on our share of earnings generated from equity method investments reflected in net investment income.</w:t>
      </w:r>
    </w:p>
    <w:p>
      <w:pPr>
        <w:spacing w:after="0" w:line="181" w:lineRule="exact"/>
        <w:rPr>
          <w:sz w:val="20"/>
          <w:szCs w:val="20"/>
          <w:color w:val="auto"/>
        </w:rPr>
      </w:pPr>
    </w:p>
    <w:p>
      <w:pPr>
        <w:ind w:right="40" w:firstLine="630"/>
        <w:spacing w:after="0" w:line="259" w:lineRule="auto"/>
        <w:rPr>
          <w:sz w:val="20"/>
          <w:szCs w:val="20"/>
          <w:color w:val="auto"/>
        </w:rPr>
      </w:pPr>
      <w:r>
        <w:rPr>
          <w:rFonts w:ascii="Arial" w:cs="Arial" w:eastAsia="Arial" w:hAnsi="Arial"/>
          <w:sz w:val="18"/>
          <w:szCs w:val="18"/>
          <w:color w:val="auto"/>
        </w:rPr>
        <w:t>The effective income tax rate for the three months ended September 30, 2014, was higher than the U.S. statutory rate primarily due to an increase in net deferred tax liabilities resulting from the third quarter 2014 enactment of tax legislation in Chile, partially offset by income tax deductions allowed for corporate dividends received, the presentation of taxes on our share of earnings generated from equity method investments reflected in net investment income and lower tax rates of foreign jurisdictions.</w:t>
      </w:r>
    </w:p>
    <w:p>
      <w:pPr>
        <w:spacing w:after="0" w:line="187" w:lineRule="exact"/>
        <w:rPr>
          <w:sz w:val="20"/>
          <w:szCs w:val="20"/>
          <w:color w:val="auto"/>
        </w:rPr>
      </w:pPr>
    </w:p>
    <w:p>
      <w:pPr>
        <w:ind w:right="200" w:firstLine="630"/>
        <w:spacing w:after="0" w:line="259" w:lineRule="auto"/>
        <w:rPr>
          <w:sz w:val="20"/>
          <w:szCs w:val="20"/>
          <w:color w:val="auto"/>
        </w:rPr>
      </w:pPr>
      <w:r>
        <w:rPr>
          <w:rFonts w:ascii="Arial" w:cs="Arial" w:eastAsia="Arial" w:hAnsi="Arial"/>
          <w:sz w:val="18"/>
          <w:szCs w:val="18"/>
          <w:color w:val="auto"/>
        </w:rPr>
        <w:t>The effective income tax rate for the nine months ended September 30, 2015, was lower than the U.S. statutory rate primarily due to income tax deductions allowed for corporate dividends received, a change in deferred tax balances related to the merger of two of our Chilean legal entities and the presentation of taxes on our share of earnings generated from equity method investments reflected in net investment income, partially offset by the negative impact of a court ruling on some uncertain tax positions.</w:t>
      </w:r>
    </w:p>
    <w:p>
      <w:pPr>
        <w:spacing w:after="0" w:line="187" w:lineRule="exact"/>
        <w:rPr>
          <w:sz w:val="20"/>
          <w:szCs w:val="20"/>
          <w:color w:val="auto"/>
        </w:rPr>
      </w:pPr>
    </w:p>
    <w:p>
      <w:pPr>
        <w:ind w:right="20" w:firstLine="630"/>
        <w:spacing w:after="0" w:line="259" w:lineRule="auto"/>
        <w:rPr>
          <w:sz w:val="20"/>
          <w:szCs w:val="20"/>
          <w:color w:val="auto"/>
        </w:rPr>
      </w:pPr>
      <w:r>
        <w:rPr>
          <w:rFonts w:ascii="Arial" w:cs="Arial" w:eastAsia="Arial" w:hAnsi="Arial"/>
          <w:sz w:val="18"/>
          <w:szCs w:val="18"/>
          <w:color w:val="auto"/>
        </w:rPr>
        <w:t>The effective income tax rate for the nine months ended September 30, 2014, was lower than the U.S. statutory rate primarily due to income tax deductions allowed for corporate dividends received, the presentation of taxes on our share of earnings generated from equity method investments reflected in net investment income and tax credits, partially offset by an increase in net deferred tax liabilities resulting from the third quarter 2014 enactment of tax legislation in Chile.</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60" w:firstLine="630"/>
        <w:spacing w:after="0" w:line="271" w:lineRule="auto"/>
        <w:rPr>
          <w:sz w:val="20"/>
          <w:szCs w:val="20"/>
          <w:color w:val="auto"/>
        </w:rPr>
      </w:pPr>
      <w:r>
        <w:rPr>
          <w:rFonts w:ascii="Arial" w:cs="Arial" w:eastAsia="Arial" w:hAnsi="Arial"/>
          <w:sz w:val="17"/>
          <w:szCs w:val="17"/>
          <w:color w:val="auto"/>
        </w:rPr>
        <w:t>We are a U.S. shareholder in various foreign entities classified as controlled foreign corporations (“CFCs”) for U.S. tax purposes. U.S. shareholders of CFCs are generally required to take into account as gross income in the U.S. certain passive income earned by the CFCs (“Subpart F income”) even if the income is not currently distributed. Temporary exceptions (the “active financing” and “look through” exceptions) were applicable for tax years beginning before January 1, 2015 to avoid the current recognition of Subpart F income derived in either the active conduct of a banking, financing, insurance or similar business or for certain payments between related corporations in different foreign jurisdictions. The U.S. Congress and the President have yet to enact extenders legislation as of September 30, 2015. Therefore, current tax expense has increased by an immaterial amount associated with the U.S. recognition of Subpart F income from our foreign operations. We will reverse any tax expense subject to the active financing and look through exceptions during the fourth quarter, assuming the legislation is enacted in 2015 retroactive to January 1, 2015.</w:t>
      </w:r>
    </w:p>
    <w:p>
      <w:pPr>
        <w:spacing w:after="0" w:line="179" w:lineRule="exact"/>
        <w:rPr>
          <w:sz w:val="20"/>
          <w:szCs w:val="20"/>
          <w:color w:val="auto"/>
        </w:rPr>
      </w:pPr>
    </w:p>
    <w:p>
      <w:pPr>
        <w:ind w:right="60" w:firstLine="630"/>
        <w:spacing w:after="0" w:line="255" w:lineRule="auto"/>
        <w:rPr>
          <w:sz w:val="20"/>
          <w:szCs w:val="20"/>
          <w:color w:val="auto"/>
        </w:rPr>
      </w:pPr>
      <w:r>
        <w:rPr>
          <w:rFonts w:ascii="Arial" w:cs="Arial" w:eastAsia="Arial" w:hAnsi="Arial"/>
          <w:sz w:val="18"/>
          <w:szCs w:val="18"/>
          <w:color w:val="auto"/>
        </w:rPr>
        <w:t>The U.S. Court of Federal Claims denied cross-motions for partial summary judgment on February 4, 2015, and ordered a trial on the previously taxed income issue in the case of Principal Life Insurance Company and Subsidiaries (“Principal Life”) v. the United States. Previously, in the same case, the court had ruled against Principal Life’s tax treatment of transactions involving the purchase and sale of principal-only certificates. These recent events caused re-evaluation of all our pending uncertain tax positions. The overall re-evaluation resulted in a $30.3 million reduction in net income in the first quarter of 2015. We do not believe there is a reasonable possibility the total amount of uncertain tax benefits will significantly increase or decrease in the next twelve months.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Unrecognized Tax Benefits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summary of the changes in unrecognized tax benefits follows: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1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4"/>
              </w:rPr>
              <w:t>For the nine months ended</w:t>
            </w: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78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For the year ended</w:t>
            </w:r>
          </w:p>
        </w:tc>
      </w:tr>
      <w:tr>
        <w:trPr>
          <w:trHeight w:val="171"/>
        </w:trPr>
        <w:tc>
          <w:tcPr>
            <w:tcW w:w="56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14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September 30, 2015</w:t>
            </w: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78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w w:val="99"/>
              </w:rPr>
              <w:t>December 31, 2014</w:t>
            </w:r>
          </w:p>
        </w:tc>
      </w:tr>
      <w:tr>
        <w:trPr>
          <w:trHeight w:val="142"/>
        </w:trPr>
        <w:tc>
          <w:tcPr>
            <w:tcW w:w="56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2520" w:type="dxa"/>
            <w:vAlign w:val="bottom"/>
            <w:tcBorders>
              <w:top w:val="single" w:sz="8" w:color="auto"/>
            </w:tcBorders>
            <w:gridSpan w:val="4"/>
          </w:tcPr>
          <w:p>
            <w:pPr>
              <w:jc w:val="right"/>
              <w:ind w:right="50"/>
              <w:spacing w:after="0" w:line="142" w:lineRule="exact"/>
              <w:rPr>
                <w:sz w:val="20"/>
                <w:szCs w:val="20"/>
                <w:color w:val="auto"/>
              </w:rPr>
            </w:pPr>
            <w:r>
              <w:rPr>
                <w:rFonts w:ascii="Arial" w:cs="Arial" w:eastAsia="Arial" w:hAnsi="Arial"/>
                <w:sz w:val="14"/>
                <w:szCs w:val="14"/>
                <w:b w:val="1"/>
                <w:bCs w:val="1"/>
                <w:color w:val="auto"/>
              </w:rPr>
              <w:t>(in millions)</w:t>
            </w:r>
          </w:p>
        </w:tc>
        <w:tc>
          <w:tcPr>
            <w:tcW w:w="16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568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144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b w:val="1"/>
                <w:bCs w:val="1"/>
                <w:color w:val="auto"/>
              </w:rPr>
              <w:t>$</w:t>
            </w:r>
          </w:p>
        </w:tc>
        <w:tc>
          <w:tcPr>
            <w:tcW w:w="2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172.4</w:t>
            </w:r>
          </w:p>
        </w:tc>
        <w:tc>
          <w:tcPr>
            <w:tcW w:w="3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108.9</w:t>
            </w:r>
          </w:p>
        </w:tc>
      </w:tr>
      <w:tr>
        <w:trPr>
          <w:trHeight w:val="216"/>
        </w:trPr>
        <w:tc>
          <w:tcPr>
            <w:tcW w:w="5680" w:type="dxa"/>
            <w:vAlign w:val="bottom"/>
          </w:tcPr>
          <w:p>
            <w:pPr>
              <w:ind w:left="200"/>
              <w:spacing w:after="0"/>
              <w:rPr>
                <w:sz w:val="20"/>
                <w:szCs w:val="20"/>
                <w:color w:val="auto"/>
              </w:rPr>
            </w:pPr>
            <w:r>
              <w:rPr>
                <w:rFonts w:ascii="Arial" w:cs="Arial" w:eastAsia="Arial" w:hAnsi="Arial"/>
                <w:sz w:val="18"/>
                <w:szCs w:val="18"/>
                <w:color w:val="auto"/>
              </w:rPr>
              <w:t>Additions based on tax positions related to the current year</w:t>
            </w:r>
          </w:p>
        </w:tc>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1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11.0</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12.9</w:t>
            </w:r>
          </w:p>
        </w:tc>
      </w:tr>
      <w:tr>
        <w:trPr>
          <w:trHeight w:val="216"/>
        </w:trPr>
        <w:tc>
          <w:tcPr>
            <w:tcW w:w="56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Additions for tax positions of prior years</w:t>
            </w:r>
          </w:p>
        </w:tc>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46.7</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62.5</w:t>
            </w:r>
          </w:p>
        </w:tc>
      </w:tr>
      <w:tr>
        <w:trPr>
          <w:trHeight w:val="216"/>
        </w:trPr>
        <w:tc>
          <w:tcPr>
            <w:tcW w:w="5680" w:type="dxa"/>
            <w:vAlign w:val="bottom"/>
          </w:tcPr>
          <w:p>
            <w:pPr>
              <w:ind w:left="200"/>
              <w:spacing w:after="0"/>
              <w:rPr>
                <w:sz w:val="20"/>
                <w:szCs w:val="20"/>
                <w:color w:val="auto"/>
              </w:rPr>
            </w:pPr>
            <w:r>
              <w:rPr>
                <w:rFonts w:ascii="Arial" w:cs="Arial" w:eastAsia="Arial" w:hAnsi="Arial"/>
                <w:sz w:val="18"/>
                <w:szCs w:val="18"/>
                <w:color w:val="auto"/>
              </w:rPr>
              <w:t>Reductions for tax positions related to the current year</w:t>
            </w:r>
          </w:p>
        </w:tc>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(7.1)</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80" w:type="dxa"/>
            <w:vAlign w:val="bottom"/>
            <w:gridSpan w:val="2"/>
          </w:tcPr>
          <w:p>
            <w:pPr>
              <w:jc w:val="right"/>
              <w:ind w:right="40"/>
              <w:spacing w:after="0"/>
              <w:rPr>
                <w:sz w:val="20"/>
                <w:szCs w:val="20"/>
                <w:color w:val="auto"/>
              </w:rPr>
            </w:pPr>
            <w:r>
              <w:rPr>
                <w:rFonts w:ascii="Arial" w:cs="Arial" w:eastAsia="Arial" w:hAnsi="Arial"/>
                <w:sz w:val="18"/>
                <w:szCs w:val="18"/>
                <w:color w:val="auto"/>
              </w:rPr>
              <w:t>(8.4)</w:t>
            </w:r>
          </w:p>
        </w:tc>
      </w:tr>
      <w:tr>
        <w:trPr>
          <w:trHeight w:val="216"/>
        </w:trPr>
        <w:tc>
          <w:tcPr>
            <w:tcW w:w="56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Reductions for tax positions of prior years</w:t>
            </w:r>
          </w:p>
        </w:tc>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(3.5)</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(0.2)</w:t>
            </w:r>
          </w:p>
        </w:tc>
      </w:tr>
      <w:tr>
        <w:trPr>
          <w:trHeight w:val="216"/>
        </w:trPr>
        <w:tc>
          <w:tcPr>
            <w:tcW w:w="5680" w:type="dxa"/>
            <w:vAlign w:val="bottom"/>
          </w:tcPr>
          <w:p>
            <w:pPr>
              <w:ind w:left="200"/>
              <w:spacing w:after="0"/>
              <w:rPr>
                <w:sz w:val="20"/>
                <w:szCs w:val="20"/>
                <w:color w:val="auto"/>
              </w:rPr>
            </w:pPr>
            <w:r>
              <w:rPr>
                <w:rFonts w:ascii="Arial" w:cs="Arial" w:eastAsia="Arial" w:hAnsi="Arial"/>
                <w:sz w:val="18"/>
                <w:szCs w:val="18"/>
                <w:color w:val="auto"/>
              </w:rPr>
              <w:t>Settlements</w:t>
            </w:r>
          </w:p>
        </w:tc>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1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80" w:type="dxa"/>
            <w:vAlign w:val="bottom"/>
            <w:gridSpan w:val="2"/>
          </w:tcPr>
          <w:p>
            <w:pPr>
              <w:jc w:val="right"/>
              <w:ind w:right="40"/>
              <w:spacing w:after="0"/>
              <w:rPr>
                <w:sz w:val="20"/>
                <w:szCs w:val="20"/>
                <w:color w:val="auto"/>
              </w:rPr>
            </w:pPr>
            <w:r>
              <w:rPr>
                <w:rFonts w:ascii="Arial" w:cs="Arial" w:eastAsia="Arial" w:hAnsi="Arial"/>
                <w:sz w:val="18"/>
                <w:szCs w:val="18"/>
                <w:color w:val="auto"/>
              </w:rPr>
              <w:t>(3.3)</w:t>
            </w:r>
          </w:p>
        </w:tc>
      </w:tr>
      <w:tr>
        <w:trPr>
          <w:trHeight w:val="210"/>
        </w:trPr>
        <w:tc>
          <w:tcPr>
            <w:tcW w:w="56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end of period (1)</w:t>
            </w:r>
          </w:p>
        </w:tc>
        <w:tc>
          <w:tcPr>
            <w:tcW w:w="12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1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219.5</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172.4</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56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40" w:right="20" w:hanging="332"/>
        <w:spacing w:after="0" w:line="277" w:lineRule="auto"/>
        <w:tabs>
          <w:tab w:leader="none" w:pos="347" w:val="left"/>
        </w:tabs>
        <w:numPr>
          <w:ilvl w:val="0"/>
          <w:numId w:val="15"/>
        </w:numPr>
        <w:rPr>
          <w:rFonts w:ascii="Arial" w:cs="Arial" w:eastAsia="Arial" w:hAnsi="Arial"/>
          <w:sz w:val="18"/>
          <w:szCs w:val="18"/>
          <w:color w:val="auto"/>
        </w:rPr>
      </w:pPr>
      <w:r>
        <w:rPr>
          <w:rFonts w:ascii="Arial" w:cs="Arial" w:eastAsia="Arial" w:hAnsi="Arial"/>
          <w:sz w:val="18"/>
          <w:szCs w:val="18"/>
          <w:color w:val="auto"/>
        </w:rPr>
        <w:t>Of this amount, $81.0 million, if recognized, would reduce the 2015 effective income tax rate. We recognize interest and penalties related to uncertain tax positions in operating expenses.</w:t>
      </w:r>
    </w:p>
    <w:p>
      <w:pPr>
        <w:spacing w:after="0" w:line="170"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color w:val="auto"/>
        </w:rPr>
        <w:t>As of September 30, 2015 and December 31, 2014, we had recognized $137.4 million and $100.4 million of accumulated pre-tax interest and penalties related to unrecognized tax benefits, respectively.</w:t>
      </w:r>
    </w:p>
    <w:p>
      <w:pPr>
        <w:spacing w:after="0" w:line="166" w:lineRule="exact"/>
        <w:rPr>
          <w:sz w:val="20"/>
          <w:szCs w:val="20"/>
          <w:color w:val="auto"/>
        </w:rPr>
      </w:pPr>
    </w:p>
    <w:p>
      <w:pPr>
        <w:ind w:right="8260" w:firstLine="8"/>
        <w:spacing w:after="0" w:line="560" w:lineRule="auto"/>
        <w:tabs>
          <w:tab w:leader="none" w:pos="180" w:val="left"/>
        </w:tabs>
        <w:numPr>
          <w:ilvl w:val="0"/>
          <w:numId w:val="16"/>
        </w:numPr>
        <w:rPr>
          <w:rFonts w:ascii="Arial" w:cs="Arial" w:eastAsia="Arial" w:hAnsi="Arial"/>
          <w:sz w:val="16"/>
          <w:szCs w:val="16"/>
          <w:b w:val="1"/>
          <w:bCs w:val="1"/>
          <w:color w:val="auto"/>
        </w:rPr>
      </w:pPr>
      <w:r>
        <w:rPr>
          <w:rFonts w:ascii="Arial" w:cs="Arial" w:eastAsia="Arial" w:hAnsi="Arial"/>
          <w:sz w:val="16"/>
          <w:szCs w:val="16"/>
          <w:b w:val="1"/>
          <w:bCs w:val="1"/>
          <w:color w:val="auto"/>
        </w:rPr>
        <w:t>Employee and Agent Benefits Components of Net Periodic Benefit Cost</w:t>
      </w:r>
    </w:p>
    <w:tbl>
      <w:tblPr>
        <w:tblLayout w:type="fixed"/>
        <w:tblInd w:w="5000" w:type="dxa"/>
        <w:tblCellMar>
          <w:top w:w="0" w:type="dxa"/>
          <w:left w:w="0" w:type="dxa"/>
          <w:bottom w:w="0" w:type="dxa"/>
          <w:right w:w="0" w:type="dxa"/>
        </w:tblCellMar>
      </w:tblPr>
      <w:tr>
        <w:trPr>
          <w:trHeight w:val="150"/>
        </w:trPr>
        <w:tc>
          <w:tcPr>
            <w:tcW w:w="920" w:type="dxa"/>
            <w:vAlign w:val="bottom"/>
          </w:tcPr>
          <w:p>
            <w:pPr>
              <w:spacing w:after="0"/>
              <w:rPr>
                <w:sz w:val="13"/>
                <w:szCs w:val="13"/>
                <w:color w:val="auto"/>
              </w:rPr>
            </w:pPr>
          </w:p>
        </w:tc>
        <w:tc>
          <w:tcPr>
            <w:tcW w:w="2400" w:type="dxa"/>
            <w:vAlign w:val="bottom"/>
            <w:gridSpan w:val="2"/>
            <w:vMerge w:val="restart"/>
          </w:tcPr>
          <w:p>
            <w:pPr>
              <w:jc w:val="center"/>
              <w:ind w:right="1200"/>
              <w:spacing w:after="0"/>
              <w:rPr>
                <w:sz w:val="20"/>
                <w:szCs w:val="20"/>
                <w:color w:val="auto"/>
              </w:rPr>
            </w:pPr>
            <w:r>
              <w:rPr>
                <w:rFonts w:ascii="Arial" w:cs="Arial" w:eastAsia="Arial" w:hAnsi="Arial"/>
                <w:sz w:val="14"/>
                <w:szCs w:val="14"/>
                <w:b w:val="1"/>
                <w:bCs w:val="1"/>
                <w:color w:val="auto"/>
                <w:w w:val="89"/>
              </w:rPr>
              <w:t>Pension benefits</w:t>
            </w:r>
          </w:p>
        </w:tc>
        <w:tc>
          <w:tcPr>
            <w:tcW w:w="840" w:type="dxa"/>
            <w:vAlign w:val="bottom"/>
          </w:tcPr>
          <w:p>
            <w:pPr>
              <w:spacing w:after="0"/>
              <w:rPr>
                <w:sz w:val="13"/>
                <w:szCs w:val="13"/>
                <w:color w:val="auto"/>
              </w:rPr>
            </w:pPr>
          </w:p>
        </w:tc>
        <w:tc>
          <w:tcPr>
            <w:tcW w:w="2160" w:type="dxa"/>
            <w:vAlign w:val="bottom"/>
          </w:tcPr>
          <w:p>
            <w:pPr>
              <w:jc w:val="center"/>
              <w:ind w:right="768"/>
              <w:spacing w:after="0" w:line="150" w:lineRule="exact"/>
              <w:rPr>
                <w:sz w:val="20"/>
                <w:szCs w:val="20"/>
                <w:color w:val="auto"/>
              </w:rPr>
            </w:pPr>
            <w:r>
              <w:rPr>
                <w:rFonts w:ascii="Arial" w:cs="Arial" w:eastAsia="Arial" w:hAnsi="Arial"/>
                <w:sz w:val="14"/>
                <w:szCs w:val="14"/>
                <w:b w:val="1"/>
                <w:bCs w:val="1"/>
                <w:color w:val="auto"/>
                <w:w w:val="94"/>
              </w:rPr>
              <w:t>Other postretirement</w:t>
            </w:r>
          </w:p>
        </w:tc>
        <w:tc>
          <w:tcPr>
            <w:tcW w:w="0" w:type="dxa"/>
            <w:vAlign w:val="bottom"/>
          </w:tcPr>
          <w:p>
            <w:pPr>
              <w:spacing w:after="0"/>
              <w:rPr>
                <w:sz w:val="1"/>
                <w:szCs w:val="1"/>
                <w:color w:val="auto"/>
              </w:rPr>
            </w:pPr>
          </w:p>
        </w:tc>
      </w:tr>
      <w:tr>
        <w:trPr>
          <w:trHeight w:val="171"/>
        </w:trPr>
        <w:tc>
          <w:tcPr>
            <w:tcW w:w="920" w:type="dxa"/>
            <w:vAlign w:val="bottom"/>
          </w:tcPr>
          <w:p>
            <w:pPr>
              <w:spacing w:after="0"/>
              <w:rPr>
                <w:sz w:val="14"/>
                <w:szCs w:val="14"/>
                <w:color w:val="auto"/>
              </w:rPr>
            </w:pPr>
          </w:p>
        </w:tc>
        <w:tc>
          <w:tcPr>
            <w:tcW w:w="2400" w:type="dxa"/>
            <w:vAlign w:val="bottom"/>
            <w:gridSpan w:val="2"/>
            <w:vMerge w:val="continue"/>
          </w:tcPr>
          <w:p>
            <w:pPr>
              <w:spacing w:after="0"/>
              <w:rPr>
                <w:sz w:val="14"/>
                <w:szCs w:val="14"/>
                <w:color w:val="auto"/>
              </w:rPr>
            </w:pPr>
          </w:p>
        </w:tc>
        <w:tc>
          <w:tcPr>
            <w:tcW w:w="840" w:type="dxa"/>
            <w:vAlign w:val="bottom"/>
          </w:tcPr>
          <w:p>
            <w:pPr>
              <w:spacing w:after="0"/>
              <w:rPr>
                <w:sz w:val="14"/>
                <w:szCs w:val="14"/>
                <w:color w:val="auto"/>
              </w:rPr>
            </w:pPr>
          </w:p>
        </w:tc>
        <w:tc>
          <w:tcPr>
            <w:tcW w:w="2160" w:type="dxa"/>
            <w:vAlign w:val="bottom"/>
          </w:tcPr>
          <w:p>
            <w:pPr>
              <w:jc w:val="center"/>
              <w:ind w:right="768"/>
              <w:spacing w:after="0"/>
              <w:rPr>
                <w:sz w:val="20"/>
                <w:szCs w:val="20"/>
                <w:color w:val="auto"/>
              </w:rPr>
            </w:pPr>
            <w:r>
              <w:rPr>
                <w:rFonts w:ascii="Arial" w:cs="Arial" w:eastAsia="Arial" w:hAnsi="Arial"/>
                <w:sz w:val="14"/>
                <w:szCs w:val="14"/>
                <w:b w:val="1"/>
                <w:bCs w:val="1"/>
                <w:color w:val="auto"/>
                <w:w w:val="89"/>
              </w:rPr>
              <w:t>benefits</w:t>
            </w:r>
          </w:p>
        </w:tc>
        <w:tc>
          <w:tcPr>
            <w:tcW w:w="0" w:type="dxa"/>
            <w:vAlign w:val="bottom"/>
          </w:tcPr>
          <w:p>
            <w:pPr>
              <w:spacing w:after="0"/>
              <w:rPr>
                <w:sz w:val="1"/>
                <w:szCs w:val="1"/>
                <w:color w:val="auto"/>
              </w:rPr>
            </w:pPr>
          </w:p>
        </w:tc>
      </w:tr>
      <w:tr>
        <w:trPr>
          <w:trHeight w:val="119"/>
        </w:trPr>
        <w:tc>
          <w:tcPr>
            <w:tcW w:w="3040" w:type="dxa"/>
            <w:vAlign w:val="bottom"/>
            <w:tcBorders>
              <w:top w:val="single" w:sz="8" w:color="auto"/>
            </w:tcBorders>
            <w:gridSpan w:val="2"/>
          </w:tcPr>
          <w:p>
            <w:pPr>
              <w:jc w:val="center"/>
              <w:spacing w:after="0" w:line="119" w:lineRule="exact"/>
              <w:rPr>
                <w:sz w:val="20"/>
                <w:szCs w:val="20"/>
                <w:color w:val="auto"/>
              </w:rPr>
            </w:pPr>
            <w:r>
              <w:rPr>
                <w:rFonts w:ascii="Arial" w:cs="Arial" w:eastAsia="Arial" w:hAnsi="Arial"/>
                <w:sz w:val="13"/>
                <w:szCs w:val="13"/>
                <w:b w:val="1"/>
                <w:bCs w:val="1"/>
                <w:color w:val="auto"/>
                <w:w w:val="98"/>
              </w:rPr>
              <w:t>For the three months ended</w:t>
            </w:r>
          </w:p>
        </w:tc>
        <w:tc>
          <w:tcPr>
            <w:tcW w:w="280" w:type="dxa"/>
            <w:vAlign w:val="bottom"/>
          </w:tcPr>
          <w:p>
            <w:pPr>
              <w:spacing w:after="0"/>
              <w:rPr>
                <w:sz w:val="10"/>
                <w:szCs w:val="10"/>
                <w:color w:val="auto"/>
              </w:rPr>
            </w:pPr>
          </w:p>
        </w:tc>
        <w:tc>
          <w:tcPr>
            <w:tcW w:w="3000" w:type="dxa"/>
            <w:vAlign w:val="bottom"/>
            <w:tcBorders>
              <w:top w:val="single" w:sz="8" w:color="auto"/>
            </w:tcBorders>
            <w:gridSpan w:val="2"/>
          </w:tcPr>
          <w:p>
            <w:pPr>
              <w:jc w:val="center"/>
              <w:spacing w:after="0" w:line="119" w:lineRule="exact"/>
              <w:rPr>
                <w:sz w:val="20"/>
                <w:szCs w:val="20"/>
                <w:color w:val="auto"/>
              </w:rPr>
            </w:pPr>
            <w:r>
              <w:rPr>
                <w:rFonts w:ascii="Arial" w:cs="Arial" w:eastAsia="Arial" w:hAnsi="Arial"/>
                <w:sz w:val="13"/>
                <w:szCs w:val="13"/>
                <w:b w:val="1"/>
                <w:bCs w:val="1"/>
                <w:color w:val="auto"/>
                <w:w w:val="97"/>
              </w:rPr>
              <w:t>For the three months ended</w:t>
            </w:r>
          </w:p>
        </w:tc>
        <w:tc>
          <w:tcPr>
            <w:tcW w:w="0" w:type="dxa"/>
            <w:vAlign w:val="bottom"/>
          </w:tcPr>
          <w:p>
            <w:pPr>
              <w:spacing w:after="0"/>
              <w:rPr>
                <w:sz w:val="1"/>
                <w:szCs w:val="1"/>
                <w:color w:val="auto"/>
              </w:rPr>
            </w:pPr>
          </w:p>
        </w:tc>
      </w:tr>
      <w:tr>
        <w:trPr>
          <w:trHeight w:val="171"/>
        </w:trPr>
        <w:tc>
          <w:tcPr>
            <w:tcW w:w="920" w:type="dxa"/>
            <w:vAlign w:val="bottom"/>
          </w:tcPr>
          <w:p>
            <w:pPr>
              <w:spacing w:after="0"/>
              <w:rPr>
                <w:sz w:val="14"/>
                <w:szCs w:val="14"/>
                <w:color w:val="auto"/>
              </w:rPr>
            </w:pPr>
          </w:p>
        </w:tc>
        <w:tc>
          <w:tcPr>
            <w:tcW w:w="2400" w:type="dxa"/>
            <w:vAlign w:val="bottom"/>
            <w:gridSpan w:val="2"/>
          </w:tcPr>
          <w:p>
            <w:pPr>
              <w:jc w:val="center"/>
              <w:ind w:right="1200"/>
              <w:spacing w:after="0"/>
              <w:rPr>
                <w:sz w:val="20"/>
                <w:szCs w:val="20"/>
                <w:color w:val="auto"/>
              </w:rPr>
            </w:pPr>
            <w:r>
              <w:rPr>
                <w:rFonts w:ascii="Arial" w:cs="Arial" w:eastAsia="Arial" w:hAnsi="Arial"/>
                <w:sz w:val="14"/>
                <w:szCs w:val="14"/>
                <w:b w:val="1"/>
                <w:bCs w:val="1"/>
                <w:color w:val="auto"/>
                <w:w w:val="91"/>
              </w:rPr>
              <w:t>September 30,</w:t>
            </w:r>
          </w:p>
        </w:tc>
        <w:tc>
          <w:tcPr>
            <w:tcW w:w="840" w:type="dxa"/>
            <w:vAlign w:val="bottom"/>
          </w:tcPr>
          <w:p>
            <w:pPr>
              <w:spacing w:after="0"/>
              <w:rPr>
                <w:sz w:val="14"/>
                <w:szCs w:val="14"/>
                <w:color w:val="auto"/>
              </w:rPr>
            </w:pPr>
          </w:p>
        </w:tc>
        <w:tc>
          <w:tcPr>
            <w:tcW w:w="2160" w:type="dxa"/>
            <w:vAlign w:val="bottom"/>
          </w:tcPr>
          <w:p>
            <w:pPr>
              <w:jc w:val="center"/>
              <w:ind w:right="768"/>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142"/>
        </w:trPr>
        <w:tc>
          <w:tcPr>
            <w:tcW w:w="920" w:type="dxa"/>
            <w:vAlign w:val="bottom"/>
            <w:tcBorders>
              <w:top w:val="single" w:sz="8" w:color="auto"/>
              <w:bottom w:val="single" w:sz="8" w:color="auto"/>
            </w:tcBorders>
          </w:tcPr>
          <w:p>
            <w:pPr>
              <w:jc w:val="right"/>
              <w:ind w:right="31"/>
              <w:spacing w:after="0" w:line="142" w:lineRule="exact"/>
              <w:rPr>
                <w:sz w:val="20"/>
                <w:szCs w:val="20"/>
                <w:color w:val="auto"/>
              </w:rPr>
            </w:pPr>
            <w:r>
              <w:rPr>
                <w:rFonts w:ascii="Arial" w:cs="Arial" w:eastAsia="Arial" w:hAnsi="Arial"/>
                <w:sz w:val="14"/>
                <w:szCs w:val="14"/>
                <w:b w:val="1"/>
                <w:bCs w:val="1"/>
                <w:color w:val="auto"/>
              </w:rPr>
              <w:t>2015</w:t>
            </w:r>
          </w:p>
        </w:tc>
        <w:tc>
          <w:tcPr>
            <w:tcW w:w="2120" w:type="dxa"/>
            <w:vAlign w:val="bottom"/>
            <w:tcBorders>
              <w:top w:val="single" w:sz="8" w:color="auto"/>
              <w:bottom w:val="single" w:sz="8" w:color="auto"/>
            </w:tcBorders>
          </w:tcPr>
          <w:p>
            <w:pPr>
              <w:jc w:val="right"/>
              <w:ind w:right="468"/>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2015</w:t>
            </w:r>
          </w:p>
        </w:tc>
        <w:tc>
          <w:tcPr>
            <w:tcW w:w="2160" w:type="dxa"/>
            <w:vAlign w:val="bottom"/>
            <w:tcBorders>
              <w:top w:val="single" w:sz="8" w:color="auto"/>
              <w:bottom w:val="single" w:sz="8" w:color="auto"/>
            </w:tcBorders>
          </w:tcPr>
          <w:p>
            <w:pPr>
              <w:jc w:val="right"/>
              <w:ind w:right="468"/>
              <w:spacing w:after="0" w:line="142" w:lineRule="exact"/>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bl>
    <w:p>
      <w:pPr>
        <w:sectPr>
          <w:pgSz w:w="11900" w:h="16843" w:orient="portrait"/>
          <w:cols w:equalWidth="0" w:num="1">
            <w:col w:w="11420"/>
          </w:cols>
          <w:pgMar w:left="240" w:top="121" w:right="239" w:bottom="0" w:gutter="0" w:footer="0" w:header="0"/>
        </w:sectPr>
      </w:pPr>
    </w:p>
    <w:bookmarkStart w:id="31" w:name="page32"/>
    <w:bookmarkEnd w:id="3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700" w:type="dxa"/>
            <w:vAlign w:val="bottom"/>
            <w:gridSpan w:val="4"/>
          </w:tcPr>
          <w:p>
            <w:pPr>
              <w:jc w:val="right"/>
              <w:ind w:right="310"/>
              <w:spacing w:after="0"/>
              <w:rPr>
                <w:sz w:val="20"/>
                <w:szCs w:val="20"/>
                <w:color w:val="auto"/>
              </w:rPr>
            </w:pPr>
            <w:r>
              <w:rPr>
                <w:rFonts w:ascii="Arial" w:cs="Arial" w:eastAsia="Arial" w:hAnsi="Arial"/>
                <w:sz w:val="14"/>
                <w:szCs w:val="14"/>
                <w:b w:val="1"/>
                <w:bCs w:val="1"/>
                <w:color w:val="auto"/>
              </w:rPr>
              <w:t>(in millions)</w:t>
            </w:r>
          </w:p>
        </w:tc>
        <w:tc>
          <w:tcPr>
            <w:tcW w:w="7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1720" w:type="dxa"/>
            <w:vAlign w:val="bottom"/>
            <w:gridSpan w:val="2"/>
            <w:shd w:val="clear" w:color="auto" w:fill="CCEEFF"/>
          </w:tcPr>
          <w:p>
            <w:pPr>
              <w:jc w:val="right"/>
              <w:ind w:right="385"/>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15.8</w:t>
            </w:r>
          </w:p>
        </w:tc>
        <w:tc>
          <w:tcPr>
            <w:tcW w:w="560" w:type="dxa"/>
            <w:vAlign w:val="bottom"/>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13.5</w:t>
            </w:r>
          </w:p>
        </w:tc>
        <w:tc>
          <w:tcPr>
            <w:tcW w:w="700" w:type="dxa"/>
            <w:vAlign w:val="bottom"/>
            <w:gridSpan w:val="2"/>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0.5</w:t>
            </w:r>
          </w:p>
        </w:tc>
        <w:tc>
          <w:tcPr>
            <w:tcW w:w="5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80" w:type="dxa"/>
            <w:vAlign w:val="bottom"/>
            <w:shd w:val="clear" w:color="auto" w:fill="CCEEFF"/>
          </w:tcPr>
          <w:p>
            <w:pPr>
              <w:spacing w:after="0"/>
              <w:rPr>
                <w:sz w:val="18"/>
                <w:szCs w:val="18"/>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Interest cost</w:t>
            </w:r>
          </w:p>
        </w:tc>
        <w:tc>
          <w:tcPr>
            <w:tcW w:w="1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30.0</w:t>
            </w:r>
          </w:p>
        </w:tc>
        <w:tc>
          <w:tcPr>
            <w:tcW w:w="560" w:type="dxa"/>
            <w:vAlign w:val="bottom"/>
          </w:tcPr>
          <w:p>
            <w:pPr>
              <w:spacing w:after="0"/>
              <w:rPr>
                <w:sz w:val="18"/>
                <w:szCs w:val="18"/>
                <w:color w:val="auto"/>
              </w:rPr>
            </w:pP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29.2</w:t>
            </w: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1.6</w:t>
            </w:r>
          </w:p>
        </w:tc>
        <w:tc>
          <w:tcPr>
            <w:tcW w:w="54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1.7</w:t>
            </w:r>
          </w:p>
        </w:tc>
        <w:tc>
          <w:tcPr>
            <w:tcW w:w="80" w:type="dxa"/>
            <w:vAlign w:val="bottom"/>
          </w:tcPr>
          <w:p>
            <w:pPr>
              <w:spacing w:after="0"/>
              <w:rPr>
                <w:sz w:val="18"/>
                <w:szCs w:val="18"/>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1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(40.2)</w:t>
            </w:r>
          </w:p>
        </w:tc>
        <w:tc>
          <w:tcPr>
            <w:tcW w:w="5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(33.0)</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(8.5)</w:t>
            </w:r>
          </w:p>
        </w:tc>
        <w:tc>
          <w:tcPr>
            <w:tcW w:w="54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(8.2)</w:t>
            </w: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Amortization of prior service benefit</w:t>
            </w:r>
          </w:p>
        </w:tc>
        <w:tc>
          <w:tcPr>
            <w:tcW w:w="1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(0.5)</w:t>
            </w:r>
          </w:p>
        </w:tc>
        <w:tc>
          <w:tcPr>
            <w:tcW w:w="560" w:type="dxa"/>
            <w:vAlign w:val="bottom"/>
          </w:tcPr>
          <w:p>
            <w:pPr>
              <w:spacing w:after="0"/>
              <w:rPr>
                <w:sz w:val="18"/>
                <w:szCs w:val="18"/>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(4.6)</w:t>
            </w:r>
          </w:p>
        </w:tc>
        <w:tc>
          <w:tcPr>
            <w:tcW w:w="540" w:type="dxa"/>
            <w:vAlign w:val="bottom"/>
          </w:tcPr>
          <w:p>
            <w:pPr>
              <w:spacing w:after="0"/>
              <w:rPr>
                <w:sz w:val="18"/>
                <w:szCs w:val="18"/>
                <w:color w:val="auto"/>
              </w:rPr>
            </w:pP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(5.0)</w:t>
            </w: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Recognized net actuarial (gain) loss</w:t>
            </w:r>
          </w:p>
        </w:tc>
        <w:tc>
          <w:tcPr>
            <w:tcW w:w="1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25.7</w:t>
            </w:r>
          </w:p>
        </w:tc>
        <w:tc>
          <w:tcPr>
            <w:tcW w:w="5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12.5</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(0.3)</w:t>
            </w:r>
          </w:p>
        </w:tc>
        <w:tc>
          <w:tcPr>
            <w:tcW w:w="54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(1.0)</w:t>
            </w:r>
          </w:p>
        </w:tc>
      </w:tr>
      <w:tr>
        <w:trPr>
          <w:trHeight w:val="223"/>
        </w:trPr>
        <w:tc>
          <w:tcPr>
            <w:tcW w:w="3820" w:type="dxa"/>
            <w:vAlign w:val="bottom"/>
          </w:tcPr>
          <w:p>
            <w:pPr>
              <w:spacing w:after="0"/>
              <w:rPr>
                <w:sz w:val="20"/>
                <w:szCs w:val="20"/>
                <w:color w:val="auto"/>
              </w:rPr>
            </w:pPr>
            <w:r>
              <w:rPr>
                <w:rFonts w:ascii="Arial" w:cs="Arial" w:eastAsia="Arial" w:hAnsi="Arial"/>
                <w:sz w:val="18"/>
                <w:szCs w:val="18"/>
                <w:color w:val="auto"/>
              </w:rPr>
              <w:t>Net periodic benefit cost (income)</w:t>
            </w:r>
          </w:p>
        </w:tc>
        <w:tc>
          <w:tcPr>
            <w:tcW w:w="1180" w:type="dxa"/>
            <w:vAlign w:val="bottom"/>
          </w:tcPr>
          <w:p>
            <w:pPr>
              <w:spacing w:after="0"/>
              <w:rPr>
                <w:sz w:val="19"/>
                <w:szCs w:val="19"/>
                <w:color w:val="auto"/>
              </w:rPr>
            </w:pPr>
          </w:p>
        </w:tc>
        <w:tc>
          <w:tcPr>
            <w:tcW w:w="540" w:type="dxa"/>
            <w:vAlign w:val="bottom"/>
            <w:tcBorders>
              <w:top w:val="single" w:sz="8" w:color="auto"/>
            </w:tcBorders>
          </w:tcPr>
          <w:p>
            <w:pPr>
              <w:jc w:val="right"/>
              <w:ind w:right="385"/>
              <w:spacing w:after="0"/>
              <w:rPr>
                <w:sz w:val="20"/>
                <w:szCs w:val="20"/>
                <w:color w:val="auto"/>
              </w:rPr>
            </w:pPr>
            <w:r>
              <w:rPr>
                <w:rFonts w:ascii="Arial" w:cs="Arial" w:eastAsia="Arial" w:hAnsi="Arial"/>
                <w:sz w:val="15"/>
                <w:szCs w:val="15"/>
                <w:b w:val="1"/>
                <w:bCs w:val="1"/>
                <w:color w:val="auto"/>
                <w:w w:val="71"/>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30.8</w:t>
            </w:r>
          </w:p>
        </w:tc>
        <w:tc>
          <w:tcPr>
            <w:tcW w:w="300" w:type="dxa"/>
            <w:vAlign w:val="bottom"/>
          </w:tcPr>
          <w:p>
            <w:pPr>
              <w:spacing w:after="0"/>
              <w:rPr>
                <w:sz w:val="19"/>
                <w:szCs w:val="19"/>
                <w:color w:val="auto"/>
              </w:rPr>
            </w:pPr>
          </w:p>
        </w:tc>
        <w:tc>
          <w:tcPr>
            <w:tcW w:w="560" w:type="dxa"/>
            <w:vAlign w:val="bottom"/>
            <w:tcBorders>
              <w:top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21.2</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(11.3</w:t>
            </w:r>
          </w:p>
        </w:tc>
        <w:tc>
          <w:tcPr>
            <w:tcW w:w="280" w:type="dxa"/>
            <w:vAlign w:val="bottom"/>
          </w:tcPr>
          <w:p>
            <w:pPr>
              <w:jc w:val="right"/>
              <w:ind w:right="140"/>
              <w:spacing w:after="0"/>
              <w:rPr>
                <w:sz w:val="20"/>
                <w:szCs w:val="20"/>
                <w:color w:val="auto"/>
              </w:rPr>
            </w:pPr>
            <w:r>
              <w:rPr>
                <w:rFonts w:ascii="Arial" w:cs="Arial" w:eastAsia="Arial" w:hAnsi="Arial"/>
                <w:sz w:val="16"/>
                <w:szCs w:val="16"/>
                <w:b w:val="1"/>
                <w:bCs w:val="1"/>
                <w:color w:val="auto"/>
                <w:w w:val="74"/>
              </w:rPr>
              <w:t>)</w:t>
            </w:r>
          </w:p>
        </w:tc>
        <w:tc>
          <w:tcPr>
            <w:tcW w:w="54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(12.1</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r>
      <w:tr>
        <w:trPr>
          <w:trHeight w:val="20"/>
        </w:trPr>
        <w:tc>
          <w:tcPr>
            <w:tcW w:w="38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720" w:type="dxa"/>
            <w:vAlign w:val="bottom"/>
            <w:gridSpan w:val="3"/>
            <w:vMerge w:val="restart"/>
          </w:tcPr>
          <w:p>
            <w:pPr>
              <w:jc w:val="center"/>
              <w:ind w:right="316"/>
              <w:spacing w:after="0"/>
              <w:rPr>
                <w:sz w:val="20"/>
                <w:szCs w:val="20"/>
                <w:color w:val="auto"/>
              </w:rPr>
            </w:pPr>
            <w:r>
              <w:rPr>
                <w:rFonts w:ascii="Arial" w:cs="Arial" w:eastAsia="Arial" w:hAnsi="Arial"/>
                <w:sz w:val="14"/>
                <w:szCs w:val="14"/>
                <w:b w:val="1"/>
                <w:bCs w:val="1"/>
                <w:color w:val="auto"/>
                <w:w w:val="89"/>
              </w:rPr>
              <w:t>Pension benefits</w:t>
            </w:r>
          </w:p>
        </w:tc>
        <w:tc>
          <w:tcPr>
            <w:tcW w:w="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780" w:type="dxa"/>
            <w:vAlign w:val="bottom"/>
            <w:gridSpan w:val="3"/>
          </w:tcPr>
          <w:p>
            <w:pPr>
              <w:jc w:val="center"/>
              <w:ind w:left="379"/>
              <w:spacing w:after="0"/>
              <w:rPr>
                <w:sz w:val="20"/>
                <w:szCs w:val="20"/>
                <w:color w:val="auto"/>
              </w:rPr>
            </w:pPr>
            <w:r>
              <w:rPr>
                <w:rFonts w:ascii="Arial" w:cs="Arial" w:eastAsia="Arial" w:hAnsi="Arial"/>
                <w:sz w:val="14"/>
                <w:szCs w:val="14"/>
                <w:b w:val="1"/>
                <w:bCs w:val="1"/>
                <w:color w:val="auto"/>
                <w:w w:val="94"/>
              </w:rPr>
              <w:t>Other postretirement</w:t>
            </w:r>
          </w:p>
        </w:tc>
        <w:tc>
          <w:tcPr>
            <w:tcW w:w="8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8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vMerge w:val="continue"/>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3"/>
          </w:tcPr>
          <w:p>
            <w:pPr>
              <w:jc w:val="center"/>
              <w:ind w:left="379"/>
              <w:spacing w:after="0"/>
              <w:rPr>
                <w:sz w:val="20"/>
                <w:szCs w:val="20"/>
                <w:color w:val="auto"/>
              </w:rPr>
            </w:pPr>
            <w:r>
              <w:rPr>
                <w:rFonts w:ascii="Arial" w:cs="Arial" w:eastAsia="Arial" w:hAnsi="Arial"/>
                <w:sz w:val="14"/>
                <w:szCs w:val="14"/>
                <w:b w:val="1"/>
                <w:bCs w:val="1"/>
                <w:color w:val="auto"/>
                <w:w w:val="89"/>
              </w:rPr>
              <w:t>benefits</w:t>
            </w:r>
          </w:p>
        </w:tc>
        <w:tc>
          <w:tcPr>
            <w:tcW w:w="8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82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2580" w:type="dxa"/>
            <w:vAlign w:val="bottom"/>
            <w:gridSpan w:val="4"/>
          </w:tcPr>
          <w:p>
            <w:pPr>
              <w:jc w:val="center"/>
              <w:ind w:left="389"/>
              <w:spacing w:after="0" w:line="119" w:lineRule="exact"/>
              <w:rPr>
                <w:sz w:val="20"/>
                <w:szCs w:val="20"/>
                <w:color w:val="auto"/>
              </w:rPr>
            </w:pPr>
            <w:r>
              <w:rPr>
                <w:rFonts w:ascii="Arial" w:cs="Arial" w:eastAsia="Arial" w:hAnsi="Arial"/>
                <w:sz w:val="13"/>
                <w:szCs w:val="13"/>
                <w:b w:val="1"/>
                <w:bCs w:val="1"/>
                <w:color w:val="auto"/>
                <w:w w:val="98"/>
              </w:rPr>
              <w:t>For the nine months ended</w:t>
            </w:r>
          </w:p>
        </w:tc>
        <w:tc>
          <w:tcPr>
            <w:tcW w:w="4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620" w:type="dxa"/>
            <w:vAlign w:val="bottom"/>
            <w:gridSpan w:val="4"/>
          </w:tcPr>
          <w:p>
            <w:pPr>
              <w:jc w:val="center"/>
              <w:ind w:right="293"/>
              <w:spacing w:after="0" w:line="119" w:lineRule="exact"/>
              <w:rPr>
                <w:sz w:val="20"/>
                <w:szCs w:val="20"/>
                <w:color w:val="auto"/>
              </w:rPr>
            </w:pPr>
            <w:r>
              <w:rPr>
                <w:rFonts w:ascii="Arial" w:cs="Arial" w:eastAsia="Arial" w:hAnsi="Arial"/>
                <w:sz w:val="13"/>
                <w:szCs w:val="13"/>
                <w:b w:val="1"/>
                <w:bCs w:val="1"/>
                <w:color w:val="auto"/>
                <w:w w:val="98"/>
              </w:rPr>
              <w:t>For the nine months ended</w:t>
            </w:r>
          </w:p>
        </w:tc>
        <w:tc>
          <w:tcPr>
            <w:tcW w:w="10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8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tcPr>
          <w:p>
            <w:pPr>
              <w:jc w:val="center"/>
              <w:ind w:right="316"/>
              <w:spacing w:after="0"/>
              <w:rPr>
                <w:sz w:val="20"/>
                <w:szCs w:val="20"/>
                <w:color w:val="auto"/>
              </w:rPr>
            </w:pPr>
            <w:r>
              <w:rPr>
                <w:rFonts w:ascii="Arial" w:cs="Arial" w:eastAsia="Arial" w:hAnsi="Arial"/>
                <w:sz w:val="14"/>
                <w:szCs w:val="14"/>
                <w:b w:val="1"/>
                <w:bCs w:val="1"/>
                <w:color w:val="auto"/>
                <w:w w:val="91"/>
              </w:rPr>
              <w:t>September 30,</w:t>
            </w:r>
          </w:p>
        </w:tc>
        <w:tc>
          <w:tcPr>
            <w:tcW w:w="46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3"/>
          </w:tcPr>
          <w:p>
            <w:pPr>
              <w:jc w:val="center"/>
              <w:ind w:left="379"/>
              <w:spacing w:after="0"/>
              <w:rPr>
                <w:sz w:val="20"/>
                <w:szCs w:val="20"/>
                <w:color w:val="auto"/>
              </w:rPr>
            </w:pPr>
            <w:r>
              <w:rPr>
                <w:rFonts w:ascii="Arial" w:cs="Arial" w:eastAsia="Arial" w:hAnsi="Arial"/>
                <w:sz w:val="14"/>
                <w:szCs w:val="14"/>
                <w:b w:val="1"/>
                <w:bCs w:val="1"/>
                <w:color w:val="auto"/>
                <w:w w:val="91"/>
              </w:rPr>
              <w:t>September 30,</w:t>
            </w:r>
          </w:p>
        </w:tc>
        <w:tc>
          <w:tcPr>
            <w:tcW w:w="8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8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8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2015</w:t>
            </w:r>
          </w:p>
        </w:tc>
        <w:tc>
          <w:tcPr>
            <w:tcW w:w="50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2014</w:t>
            </w:r>
          </w:p>
        </w:tc>
        <w:tc>
          <w:tcPr>
            <w:tcW w:w="46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ind w:right="459"/>
              <w:spacing w:after="0" w:line="142" w:lineRule="exact"/>
              <w:rPr>
                <w:sz w:val="20"/>
                <w:szCs w:val="20"/>
                <w:color w:val="auto"/>
              </w:rPr>
            </w:pPr>
            <w:r>
              <w:rPr>
                <w:rFonts w:ascii="Arial" w:cs="Arial" w:eastAsia="Arial" w:hAnsi="Arial"/>
                <w:sz w:val="14"/>
                <w:szCs w:val="14"/>
                <w:b w:val="1"/>
                <w:bCs w:val="1"/>
                <w:color w:val="auto"/>
              </w:rPr>
              <w:t>2015</w:t>
            </w:r>
          </w:p>
        </w:tc>
        <w:tc>
          <w:tcPr>
            <w:tcW w:w="28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453"/>
              <w:spacing w:after="0" w:line="142" w:lineRule="exact"/>
              <w:rPr>
                <w:sz w:val="20"/>
                <w:szCs w:val="20"/>
                <w:color w:val="auto"/>
              </w:rPr>
            </w:pPr>
            <w:r>
              <w:rPr>
                <w:rFonts w:ascii="Arial" w:cs="Arial" w:eastAsia="Arial" w:hAnsi="Arial"/>
                <w:sz w:val="14"/>
                <w:szCs w:val="14"/>
                <w:b w:val="1"/>
                <w:bCs w:val="1"/>
                <w:color w:val="auto"/>
                <w:w w:val="89"/>
              </w:rPr>
              <w:t>2014</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8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120" w:type="dxa"/>
            <w:vAlign w:val="bottom"/>
            <w:gridSpan w:val="4"/>
          </w:tcPr>
          <w:p>
            <w:pPr>
              <w:jc w:val="right"/>
              <w:ind w:right="90"/>
              <w:spacing w:after="0" w:line="142" w:lineRule="exact"/>
              <w:rPr>
                <w:sz w:val="20"/>
                <w:szCs w:val="20"/>
                <w:color w:val="auto"/>
              </w:rPr>
            </w:pPr>
            <w:r>
              <w:rPr>
                <w:rFonts w:ascii="Arial" w:cs="Arial" w:eastAsia="Arial" w:hAnsi="Arial"/>
                <w:sz w:val="14"/>
                <w:szCs w:val="14"/>
                <w:b w:val="1"/>
                <w:bCs w:val="1"/>
                <w:color w:val="auto"/>
              </w:rPr>
              <w:t>(in millions)</w:t>
            </w: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2040" w:type="dxa"/>
            <w:vAlign w:val="bottom"/>
            <w:gridSpan w:val="2"/>
            <w:shd w:val="clear" w:color="auto" w:fill="CCEEFF"/>
          </w:tcPr>
          <w:p>
            <w:pPr>
              <w:jc w:val="right"/>
              <w:ind w:right="709"/>
              <w:spacing w:after="0"/>
              <w:rPr>
                <w:sz w:val="20"/>
                <w:szCs w:val="20"/>
                <w:color w:val="auto"/>
              </w:rPr>
            </w:pPr>
            <w:r>
              <w:rPr>
                <w:rFonts w:ascii="Arial" w:cs="Arial" w:eastAsia="Arial" w:hAnsi="Arial"/>
                <w:sz w:val="18"/>
                <w:szCs w:val="18"/>
                <w:b w:val="1"/>
                <w:bCs w:val="1"/>
                <w:color w:val="auto"/>
              </w:rPr>
              <w:t>$</w:t>
            </w:r>
          </w:p>
        </w:tc>
        <w:tc>
          <w:tcPr>
            <w:tcW w:w="8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47.4</w:t>
            </w:r>
          </w:p>
        </w:tc>
        <w:tc>
          <w:tcPr>
            <w:tcW w:w="920" w:type="dxa"/>
            <w:vAlign w:val="bottom"/>
            <w:shd w:val="clear" w:color="auto" w:fill="CCEEFF"/>
          </w:tcPr>
          <w:p>
            <w:pPr>
              <w:jc w:val="right"/>
              <w:ind w:right="736"/>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40.5</w:t>
            </w:r>
          </w:p>
        </w:tc>
        <w:tc>
          <w:tcPr>
            <w:tcW w:w="48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1.5</w:t>
            </w:r>
          </w:p>
        </w:tc>
        <w:tc>
          <w:tcPr>
            <w:tcW w:w="52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Interest cost</w:t>
            </w:r>
          </w:p>
        </w:tc>
        <w:tc>
          <w:tcPr>
            <w:tcW w:w="1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90.2</w:t>
            </w:r>
          </w:p>
        </w:tc>
        <w:tc>
          <w:tcPr>
            <w:tcW w:w="92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87.8</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4.9</w:t>
            </w:r>
          </w:p>
        </w:tc>
        <w:tc>
          <w:tcPr>
            <w:tcW w:w="52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5.0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1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w w:val="94"/>
              </w:rPr>
              <w:t>(120.5)</w:t>
            </w:r>
          </w:p>
        </w:tc>
        <w:tc>
          <w:tcPr>
            <w:tcW w:w="9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(99.0)</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(25.5)</w:t>
            </w:r>
          </w:p>
        </w:tc>
        <w:tc>
          <w:tcPr>
            <w:tcW w:w="52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(24.5)</w:t>
            </w: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Amortization of prior service benefit</w:t>
            </w:r>
          </w:p>
        </w:tc>
        <w:tc>
          <w:tcPr>
            <w:tcW w:w="1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(1.4)</w:t>
            </w:r>
          </w:p>
        </w:tc>
        <w:tc>
          <w:tcPr>
            <w:tcW w:w="92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(13.8)</w:t>
            </w:r>
          </w:p>
        </w:tc>
        <w:tc>
          <w:tcPr>
            <w:tcW w:w="520" w:type="dxa"/>
            <w:vAlign w:val="bottom"/>
          </w:tcPr>
          <w:p>
            <w:pPr>
              <w:spacing w:after="0"/>
              <w:rPr>
                <w:sz w:val="18"/>
                <w:szCs w:val="18"/>
                <w:color w:val="auto"/>
              </w:rPr>
            </w:pPr>
          </w:p>
        </w:tc>
        <w:tc>
          <w:tcPr>
            <w:tcW w:w="940" w:type="dxa"/>
            <w:vAlign w:val="bottom"/>
            <w:gridSpan w:val="3"/>
          </w:tcPr>
          <w:p>
            <w:pPr>
              <w:jc w:val="right"/>
              <w:ind w:right="40"/>
              <w:spacing w:after="0"/>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Recognized net actuarial (gain) loss</w:t>
            </w:r>
          </w:p>
        </w:tc>
        <w:tc>
          <w:tcPr>
            <w:tcW w:w="1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76.8</w:t>
            </w:r>
          </w:p>
        </w:tc>
        <w:tc>
          <w:tcPr>
            <w:tcW w:w="9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37.8</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(0.7)</w:t>
            </w:r>
          </w:p>
        </w:tc>
        <w:tc>
          <w:tcPr>
            <w:tcW w:w="52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23"/>
        </w:trPr>
        <w:tc>
          <w:tcPr>
            <w:tcW w:w="3820" w:type="dxa"/>
            <w:vAlign w:val="bottom"/>
          </w:tcPr>
          <w:p>
            <w:pPr>
              <w:spacing w:after="0"/>
              <w:rPr>
                <w:sz w:val="20"/>
                <w:szCs w:val="20"/>
                <w:color w:val="auto"/>
              </w:rPr>
            </w:pPr>
            <w:r>
              <w:rPr>
                <w:rFonts w:ascii="Arial" w:cs="Arial" w:eastAsia="Arial" w:hAnsi="Arial"/>
                <w:sz w:val="18"/>
                <w:szCs w:val="18"/>
                <w:color w:val="auto"/>
              </w:rPr>
              <w:t>Net periodic benefit cost (income)</w:t>
            </w:r>
          </w:p>
        </w:tc>
        <w:tc>
          <w:tcPr>
            <w:tcW w:w="1180" w:type="dxa"/>
            <w:vAlign w:val="bottom"/>
          </w:tcPr>
          <w:p>
            <w:pPr>
              <w:spacing w:after="0"/>
              <w:rPr>
                <w:sz w:val="19"/>
                <w:szCs w:val="19"/>
                <w:color w:val="auto"/>
              </w:rPr>
            </w:pPr>
          </w:p>
        </w:tc>
        <w:tc>
          <w:tcPr>
            <w:tcW w:w="860" w:type="dxa"/>
            <w:vAlign w:val="bottom"/>
            <w:tcBorders>
              <w:top w:val="single" w:sz="8" w:color="auto"/>
            </w:tcBorders>
          </w:tcPr>
          <w:p>
            <w:pPr>
              <w:jc w:val="right"/>
              <w:ind w:right="709"/>
              <w:spacing w:after="0"/>
              <w:rPr>
                <w:sz w:val="20"/>
                <w:szCs w:val="20"/>
                <w:color w:val="auto"/>
              </w:rPr>
            </w:pPr>
            <w:r>
              <w:rPr>
                <w:rFonts w:ascii="Arial" w:cs="Arial" w:eastAsia="Arial" w:hAnsi="Arial"/>
                <w:sz w:val="15"/>
                <w:szCs w:val="15"/>
                <w:b w:val="1"/>
                <w:bCs w:val="1"/>
                <w:color w:val="auto"/>
                <w:w w:val="71"/>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92.5</w:t>
            </w:r>
          </w:p>
        </w:tc>
        <w:tc>
          <w:tcPr>
            <w:tcW w:w="300" w:type="dxa"/>
            <w:vAlign w:val="bottom"/>
          </w:tcPr>
          <w:p>
            <w:pPr>
              <w:spacing w:after="0"/>
              <w:rPr>
                <w:sz w:val="19"/>
                <w:szCs w:val="19"/>
                <w:color w:val="auto"/>
              </w:rPr>
            </w:pPr>
          </w:p>
        </w:tc>
        <w:tc>
          <w:tcPr>
            <w:tcW w:w="920" w:type="dxa"/>
            <w:vAlign w:val="bottom"/>
            <w:tcBorders>
              <w:top w:val="single" w:sz="8" w:color="auto"/>
            </w:tcBorders>
          </w:tcPr>
          <w:p>
            <w:pPr>
              <w:jc w:val="right"/>
              <w:ind w:right="736"/>
              <w:spacing w:after="0"/>
              <w:rPr>
                <w:sz w:val="20"/>
                <w:szCs w:val="20"/>
                <w:color w:val="auto"/>
              </w:rPr>
            </w:pPr>
            <w:r>
              <w:rPr>
                <w:rFonts w:ascii="Arial" w:cs="Arial" w:eastAsia="Arial" w:hAnsi="Arial"/>
                <w:sz w:val="18"/>
                <w:szCs w:val="18"/>
                <w:color w:val="auto"/>
                <w:w w:val="79"/>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63.7</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(33.6</w:t>
            </w:r>
          </w:p>
        </w:tc>
        <w:tc>
          <w:tcPr>
            <w:tcW w:w="280" w:type="dxa"/>
            <w:vAlign w:val="bottom"/>
          </w:tcPr>
          <w:p>
            <w:pPr>
              <w:jc w:val="right"/>
              <w:ind w:right="140"/>
              <w:spacing w:after="0"/>
              <w:rPr>
                <w:sz w:val="20"/>
                <w:szCs w:val="20"/>
                <w:color w:val="auto"/>
              </w:rPr>
            </w:pPr>
            <w:r>
              <w:rPr>
                <w:rFonts w:ascii="Arial" w:cs="Arial" w:eastAsia="Arial" w:hAnsi="Arial"/>
                <w:sz w:val="16"/>
                <w:szCs w:val="16"/>
                <w:b w:val="1"/>
                <w:bCs w:val="1"/>
                <w:color w:val="auto"/>
                <w:w w:val="74"/>
              </w:rPr>
              <w:t>)</w:t>
            </w:r>
          </w:p>
        </w:tc>
        <w:tc>
          <w:tcPr>
            <w:tcW w:w="52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(36.3</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38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Contributions</w:t>
      </w:r>
    </w:p>
    <w:p>
      <w:pPr>
        <w:spacing w:after="0" w:line="229" w:lineRule="exact"/>
        <w:rPr>
          <w:sz w:val="20"/>
          <w:szCs w:val="20"/>
          <w:color w:val="auto"/>
        </w:rPr>
      </w:pPr>
    </w:p>
    <w:p>
      <w:pPr>
        <w:ind w:firstLine="648"/>
        <w:spacing w:after="0" w:line="287" w:lineRule="auto"/>
        <w:rPr>
          <w:sz w:val="20"/>
          <w:szCs w:val="20"/>
          <w:color w:val="auto"/>
        </w:rPr>
      </w:pPr>
      <w:r>
        <w:rPr>
          <w:rFonts w:ascii="Arial" w:cs="Arial" w:eastAsia="Arial" w:hAnsi="Arial"/>
          <w:sz w:val="17"/>
          <w:szCs w:val="17"/>
          <w:color w:val="auto"/>
        </w:rPr>
        <w:t xml:space="preserve">Our funding policy for our qualified pension plan is to fund the plan annually in an amount at least equal to the </w:t>
      </w:r>
      <w:r>
        <w:rPr>
          <w:rFonts w:ascii="Arial" w:cs="Arial" w:eastAsia="Arial" w:hAnsi="Arial"/>
          <w:sz w:val="16"/>
          <w:szCs w:val="16"/>
          <w:color w:val="auto"/>
        </w:rPr>
        <w:t>minimum annual contribution required</w:t>
      </w:r>
      <w:r>
        <w:rPr>
          <w:rFonts w:ascii="Arial" w:cs="Arial" w:eastAsia="Arial" w:hAnsi="Arial"/>
          <w:sz w:val="17"/>
          <w:szCs w:val="17"/>
          <w:color w:val="auto"/>
        </w:rPr>
        <w:t xml:space="preserve"> </w:t>
      </w:r>
      <w:r>
        <w:rPr>
          <w:rFonts w:ascii="Arial" w:cs="Arial" w:eastAsia="Arial" w:hAnsi="Arial"/>
          <w:sz w:val="16"/>
          <w:szCs w:val="16"/>
          <w:color w:val="auto"/>
        </w:rPr>
        <w:t>under the Employee Retirement Income Security Act (“ERISA”) and, generally, not greater than the maximum amount that can be deducted for federal income tax purposes. The minimum annual contribution for 2015 will be zero so we will not be required to fund our qualified pension plan during 2015. However, it is possible that we may fund the qualified and nonqualified pension plans in 2015 for a combined total of up to $150.0 million. During the three and nine months ended September 30, 2015, we contributed $25.2 million and $67.8 million to these plans, respectively.</w:t>
      </w:r>
    </w:p>
    <w:p>
      <w:pPr>
        <w:spacing w:after="0" w:line="165" w:lineRule="exact"/>
        <w:rPr>
          <w:sz w:val="20"/>
          <w:szCs w:val="20"/>
          <w:color w:val="auto"/>
        </w:rPr>
      </w:pPr>
    </w:p>
    <w:p>
      <w:pPr>
        <w:ind w:right="7500" w:firstLine="8"/>
        <w:spacing w:after="0" w:line="566" w:lineRule="auto"/>
        <w:tabs>
          <w:tab w:leader="none" w:pos="180" w:val="left"/>
        </w:tabs>
        <w:numPr>
          <w:ilvl w:val="0"/>
          <w:numId w:val="17"/>
        </w:numPr>
        <w:rPr>
          <w:rFonts w:ascii="Arial" w:cs="Arial" w:eastAsia="Arial" w:hAnsi="Arial"/>
          <w:sz w:val="16"/>
          <w:szCs w:val="16"/>
          <w:b w:val="1"/>
          <w:bCs w:val="1"/>
          <w:color w:val="auto"/>
        </w:rPr>
      </w:pPr>
      <w:r>
        <w:rPr>
          <w:rFonts w:ascii="Arial" w:cs="Arial" w:eastAsia="Arial" w:hAnsi="Arial"/>
          <w:sz w:val="16"/>
          <w:szCs w:val="16"/>
          <w:b w:val="1"/>
          <w:bCs w:val="1"/>
          <w:color w:val="auto"/>
        </w:rPr>
        <w:t>Contingencies, Guarantees and Indemnifications Litigation and Regulatory Contingencies</w:t>
      </w:r>
    </w:p>
    <w:p>
      <w:pPr>
        <w:spacing w:after="0" w:line="1"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We are regularly involved in litigation, both as a defendant and as a plaintiff, but primarily as a defendant. Litigation naming us as a defendant ordinarily arises out of our business operations as a provider of asset management and accumulation products and services; individual life insurance, specialty benefits insurance and our investment activities. Some of the lawsuits may be class actions, or purport to be, and some may include claims for unspecified or substantial punitive and treble damages.</w:t>
      </w:r>
    </w:p>
    <w:p>
      <w:pPr>
        <w:spacing w:after="0" w:line="187" w:lineRule="exact"/>
        <w:rPr>
          <w:sz w:val="20"/>
          <w:szCs w:val="20"/>
          <w:color w:val="auto"/>
        </w:rPr>
      </w:pPr>
    </w:p>
    <w:p>
      <w:pPr>
        <w:ind w:right="260" w:firstLine="648"/>
        <w:spacing w:after="0" w:line="302" w:lineRule="auto"/>
        <w:rPr>
          <w:sz w:val="20"/>
          <w:szCs w:val="20"/>
          <w:color w:val="auto"/>
        </w:rPr>
      </w:pPr>
      <w:r>
        <w:rPr>
          <w:rFonts w:ascii="Arial" w:cs="Arial" w:eastAsia="Arial" w:hAnsi="Arial"/>
          <w:sz w:val="16"/>
          <w:szCs w:val="16"/>
          <w:color w:val="auto"/>
        </w:rPr>
        <w:t>We may discuss such litigation in one of three ways. We accrue a charge to income and disclose legal matters for which the chance of loss is probable and for which the amount of loss can be reasonably estimated. We may disclose contingencies for which the chance of loss is reasonably possible and provide an estimate of the possible loss or range of loss or a statement that such an estimate cannot be made. Finally, we may voluntarily disclose loss contingencies for which the chance of loss is remote in order to provide information concerning matters that potentially expose us to possible losses.</w:t>
      </w:r>
    </w:p>
    <w:p>
      <w:pPr>
        <w:spacing w:after="0" w:line="154" w:lineRule="exact"/>
        <w:rPr>
          <w:sz w:val="20"/>
          <w:szCs w:val="20"/>
          <w:color w:val="auto"/>
        </w:rPr>
      </w:pPr>
    </w:p>
    <w:p>
      <w:pPr>
        <w:ind w:right="220" w:firstLine="648"/>
        <w:spacing w:after="0" w:line="279" w:lineRule="auto"/>
        <w:rPr>
          <w:sz w:val="20"/>
          <w:szCs w:val="20"/>
          <w:color w:val="auto"/>
        </w:rPr>
      </w:pPr>
      <w:r>
        <w:rPr>
          <w:rFonts w:ascii="Arial" w:cs="Arial" w:eastAsia="Arial" w:hAnsi="Arial"/>
          <w:sz w:val="17"/>
          <w:szCs w:val="17"/>
          <w:color w:val="auto"/>
        </w:rPr>
        <w:t>In addition, regulatory bodies such as state insurance departments, the SEC, the Financial Industry Regulatory Authority, the Department of Labor and other regulatory agencies regularly make inquiries and conduct examinations or investigations concerning our compliance with, among other things, insurance laws, securities laws, ERISA and laws governing the activities of broker-dealers. We receive requests from regulators and other governmental authorities relating to industry issues and may receive additional requests, including subpoenas and interrogatories, in the future.</w:t>
      </w:r>
    </w:p>
    <w:p>
      <w:pPr>
        <w:spacing w:after="0" w:line="171" w:lineRule="exact"/>
        <w:rPr>
          <w:sz w:val="20"/>
          <w:szCs w:val="20"/>
          <w:color w:val="auto"/>
        </w:rPr>
      </w:pPr>
    </w:p>
    <w:p>
      <w:pPr>
        <w:ind w:right="80" w:firstLine="648"/>
        <w:spacing w:after="0" w:line="293" w:lineRule="auto"/>
        <w:rPr>
          <w:sz w:val="20"/>
          <w:szCs w:val="20"/>
          <w:color w:val="auto"/>
        </w:rPr>
      </w:pPr>
      <w:r>
        <w:rPr>
          <w:rFonts w:ascii="Arial" w:cs="Arial" w:eastAsia="Arial" w:hAnsi="Arial"/>
          <w:sz w:val="16"/>
          <w:szCs w:val="16"/>
          <w:color w:val="auto"/>
        </w:rPr>
        <w:t>On March 18, 2014, McCaffree Financial Corp. Employee Retirement Program (“McCaffree”) filed a putative class action lawsuit in the United States District Court for the Southern District of Iowa against Principal Life. The complaint alleged, among other things, breach of duty of loyalty, breach of duty of prudence and prohibited transactions under ERISA. McCaffree seeks a nationwide class action on behalf of all participants and beneficiaries of defined contribution retirement plans that invested in any Principal Separate Account in the last six years. McCaffree seeks disgorgement of all fees it alleges Principal Life improperly retained in addition to other general claims for relief. Principal Life filed a motion to dismiss the case and on December 11, 2014, the court granted the motion. McCaffree filed a notice of appeal on December 22, 2014. Principal Life will continue to aggressively defend the case.</w:t>
      </w:r>
    </w:p>
    <w:p>
      <w:pPr>
        <w:spacing w:after="0" w:line="165"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On August 29, 2013, American Chemicals &amp; Equipment, Inc. 401(k) Retirement Plan (“ACE”) filed a lawsuit in the United States District Court for the Northern District of Alabama against Principal Management Corporation and Principal Global Investors, LLC (the “ACE Defendants”). The lawsuit alleges the ACE Defendants breached their fiduciary duty under Section 36(b) of the Investment Company Act by charging excessive fees on certain of the LifeTime series target date</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ectPr>
          <w:pgSz w:w="11900" w:h="16838" w:orient="portrait"/>
          <w:cols w:equalWidth="0" w:num="1">
            <w:col w:w="11420"/>
          </w:cols>
          <w:pgMar w:left="240" w:top="118" w:right="239" w:bottom="0" w:gutter="0" w:footer="0" w:header="0"/>
        </w:sectPr>
      </w:pPr>
    </w:p>
    <w:bookmarkStart w:id="32" w:name="page33"/>
    <w:bookmarkEnd w:id="32"/>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funds. On January 24, 2014, the court granted the motion filed by the ACE Defendants to transfer the case to the Southern District of Iowa. The case is set for trial on April 11, 2016. The ACE Defendants continue to aggressively defend the lawsuit.</w:t>
      </w:r>
    </w:p>
    <w:p>
      <w:pPr>
        <w:spacing w:after="0" w:line="170" w:lineRule="exact"/>
        <w:rPr>
          <w:sz w:val="20"/>
          <w:szCs w:val="20"/>
          <w:color w:val="auto"/>
        </w:rPr>
      </w:pPr>
    </w:p>
    <w:p>
      <w:pPr>
        <w:ind w:right="120" w:firstLine="648"/>
        <w:spacing w:after="0" w:line="293" w:lineRule="auto"/>
        <w:rPr>
          <w:sz w:val="20"/>
          <w:szCs w:val="20"/>
          <w:color w:val="auto"/>
        </w:rPr>
      </w:pPr>
      <w:r>
        <w:rPr>
          <w:rFonts w:ascii="Arial" w:cs="Arial" w:eastAsia="Arial" w:hAnsi="Arial"/>
          <w:sz w:val="16"/>
          <w:szCs w:val="16"/>
          <w:color w:val="auto"/>
        </w:rPr>
        <w:t>In 2008, Principal Life received approximately $440.0 million in connection with the termination of certain structured transactions and the resulting prepayment of Principal Life’s investment in those transactions. The transactions involved Lehman Brothers Special Financing Inc. and Lehman Brothers Holdings Inc. (collectively, “Lehman”) in various capacities. Subsequent to Lehman’s 2008 bankruptcy filing, its bankruptcy estate initiated several lawsuits seeking to recover from numerous sources significant amounts to which it claims entitlement under various theories. We are one of a large group of defendants to this action, and believe that we have meritorious defenses to Lehman’s claims and intend to aggressively defend against them. The estate’s claim against Principal Life, including interest through November 2014 (which we also dispute), was approximately $550.0 million.</w:t>
      </w:r>
    </w:p>
    <w:p>
      <w:pPr>
        <w:spacing w:after="0" w:line="165" w:lineRule="exact"/>
        <w:rPr>
          <w:sz w:val="20"/>
          <w:szCs w:val="20"/>
          <w:color w:val="auto"/>
        </w:rPr>
      </w:pPr>
    </w:p>
    <w:p>
      <w:pPr>
        <w:jc w:val="both"/>
        <w:ind w:right="200" w:firstLine="648"/>
        <w:spacing w:after="0" w:line="285" w:lineRule="auto"/>
        <w:rPr>
          <w:sz w:val="20"/>
          <w:szCs w:val="20"/>
          <w:color w:val="auto"/>
        </w:rPr>
      </w:pPr>
      <w:r>
        <w:rPr>
          <w:rFonts w:ascii="Arial" w:cs="Arial" w:eastAsia="Arial" w:hAnsi="Arial"/>
          <w:sz w:val="17"/>
          <w:szCs w:val="17"/>
          <w:color w:val="auto"/>
        </w:rPr>
        <w:t xml:space="preserve">While the outcome of any pending or future litigation or regulatory matter cannot be predicted, management does not believe that any such matter will have a material adverse effect on our business or financial position. </w:t>
      </w:r>
      <w:r>
        <w:rPr>
          <w:rFonts w:ascii="Arial" w:cs="Arial" w:eastAsia="Arial" w:hAnsi="Arial"/>
          <w:sz w:val="16"/>
          <w:szCs w:val="16"/>
          <w:color w:val="auto"/>
        </w:rPr>
        <w:t>As of September 30, 2015, there were no estimated losses accrued related to the legal</w:t>
      </w:r>
      <w:r>
        <w:rPr>
          <w:rFonts w:ascii="Arial" w:cs="Arial" w:eastAsia="Arial" w:hAnsi="Arial"/>
          <w:sz w:val="17"/>
          <w:szCs w:val="17"/>
          <w:color w:val="auto"/>
        </w:rPr>
        <w:t xml:space="preserve"> </w:t>
      </w:r>
      <w:r>
        <w:rPr>
          <w:rFonts w:ascii="Arial" w:cs="Arial" w:eastAsia="Arial" w:hAnsi="Arial"/>
          <w:sz w:val="16"/>
          <w:szCs w:val="16"/>
          <w:color w:val="auto"/>
        </w:rPr>
        <w:t>matters discussed above because we believe the loss from these matters is not probable and cannot be reasonably estimated.</w:t>
      </w:r>
    </w:p>
    <w:p>
      <w:pPr>
        <w:spacing w:after="0" w:line="168" w:lineRule="exact"/>
        <w:rPr>
          <w:sz w:val="20"/>
          <w:szCs w:val="20"/>
          <w:color w:val="auto"/>
        </w:rPr>
      </w:pPr>
    </w:p>
    <w:p>
      <w:pPr>
        <w:jc w:val="both"/>
        <w:ind w:right="80" w:firstLine="648"/>
        <w:spacing w:after="0" w:line="312" w:lineRule="auto"/>
        <w:rPr>
          <w:sz w:val="20"/>
          <w:szCs w:val="20"/>
          <w:color w:val="auto"/>
        </w:rPr>
      </w:pPr>
      <w:r>
        <w:rPr>
          <w:rFonts w:ascii="Arial" w:cs="Arial" w:eastAsia="Arial" w:hAnsi="Arial"/>
          <w:sz w:val="16"/>
          <w:szCs w:val="16"/>
          <w:color w:val="auto"/>
        </w:rPr>
        <w:t>We believe all of the litigation contingencies discussed above involve a chance of loss that is either remote or reasonably possible. Unless otherwise noted, all of these matters involve unspecified claim amounts, in which the respective plaintiffs seek an indeterminate amount of damages. To the extent such matters present a reasonably possible chance of loss, we are generally not able to estimate the possible loss or range of loss associated therewith.</w:t>
      </w:r>
    </w:p>
    <w:p>
      <w:pPr>
        <w:spacing w:after="0" w:line="147"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The outcome of such matters is always uncertain, and unforeseen results can occur. It is possible that such outcomes could require us to pay damages or make other expenditures or establish accruals in amounts that we could not estimate at September 30, 2015.</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Guarantees and Indemnifications</w:t>
      </w:r>
    </w:p>
    <w:p>
      <w:pPr>
        <w:spacing w:after="0" w:line="229" w:lineRule="exact"/>
        <w:rPr>
          <w:sz w:val="20"/>
          <w:szCs w:val="20"/>
          <w:color w:val="auto"/>
        </w:rPr>
      </w:pPr>
    </w:p>
    <w:p>
      <w:pPr>
        <w:ind w:right="80" w:firstLine="648"/>
        <w:spacing w:after="0" w:line="271" w:lineRule="auto"/>
        <w:rPr>
          <w:sz w:val="20"/>
          <w:szCs w:val="20"/>
          <w:color w:val="auto"/>
        </w:rPr>
      </w:pPr>
      <w:r>
        <w:rPr>
          <w:rFonts w:ascii="Arial" w:cs="Arial" w:eastAsia="Arial" w:hAnsi="Arial"/>
          <w:sz w:val="17"/>
          <w:szCs w:val="17"/>
          <w:color w:val="auto"/>
        </w:rPr>
        <w:t>In the normal course of business, we have provided guarantees to third parties primarily related to former subsidiaries and joint ventures. These agreements generally expire through 2019. The maximum exposure under these agreements as of September 30, 2015, was approximately $205.0 million. At inception, the fair value of such guarantees was insignificant. In addition, we believe the likelihood is remote that material payments will be required. Therefore, any liability accrued within our consolidated statements of financial position is insignificant. Should we be required to perform under these guarantees, we generally could recover a portion of the loss from third parties through recourse provisions included in agreements with such parties, the sale of assets held as collateral that can be liquidated in the event that performance is required under the guarantees or other recourse generally available to us; therefore, such guarantees would not result in a material adverse effect on our business or financial position. While the likelihood is remote, such outcomes could materially affect net income in a particular quarter or annual period.</w:t>
      </w:r>
    </w:p>
    <w:p>
      <w:pPr>
        <w:spacing w:after="0" w:line="179" w:lineRule="exact"/>
        <w:rPr>
          <w:sz w:val="20"/>
          <w:szCs w:val="20"/>
          <w:color w:val="auto"/>
        </w:rPr>
      </w:pPr>
    </w:p>
    <w:p>
      <w:pPr>
        <w:ind w:right="260" w:firstLine="648"/>
        <w:spacing w:after="0" w:line="342" w:lineRule="auto"/>
        <w:rPr>
          <w:sz w:val="20"/>
          <w:szCs w:val="20"/>
          <w:color w:val="auto"/>
        </w:rPr>
      </w:pPr>
      <w:r>
        <w:rPr>
          <w:rFonts w:ascii="Arial" w:cs="Arial" w:eastAsia="Arial" w:hAnsi="Arial"/>
          <w:sz w:val="16"/>
          <w:szCs w:val="16"/>
          <w:color w:val="auto"/>
        </w:rPr>
        <w:t>We manage mandatory privatized social security funds in Chile. By regulation, we have a required minimum guarantee on the funds’ relative return. Because the guarantee has no limitation with respect to duration or amount, the maximum exposure of the guarantee in the future is indeterminable.</w:t>
      </w:r>
    </w:p>
    <w:p>
      <w:pPr>
        <w:spacing w:after="0" w:line="124" w:lineRule="exact"/>
        <w:rPr>
          <w:sz w:val="20"/>
          <w:szCs w:val="20"/>
          <w:color w:val="auto"/>
        </w:rPr>
      </w:pPr>
    </w:p>
    <w:p>
      <w:pPr>
        <w:ind w:right="20" w:firstLine="648"/>
        <w:spacing w:after="0" w:line="254" w:lineRule="auto"/>
        <w:rPr>
          <w:sz w:val="20"/>
          <w:szCs w:val="20"/>
          <w:color w:val="auto"/>
        </w:rPr>
      </w:pPr>
      <w:r>
        <w:rPr>
          <w:rFonts w:ascii="Arial" w:cs="Arial" w:eastAsia="Arial" w:hAnsi="Arial"/>
          <w:sz w:val="18"/>
          <w:szCs w:val="18"/>
          <w:color w:val="auto"/>
        </w:rPr>
        <w:t>We are also subject to various other indemnification obligations issued in conjunction with divestitures, acquisitions and financing transactions whose terms range in duration and often are not explicitly defined. Certain portions of these indemnifications may be capped, while other portions are not subject to such limitations; therefore, the overall maximum amount of the obligation under the indemnifications cannot be reasonably estimated. At inception, the fair value of such indemnifications was insignificant. In addition, we believe the likelihood is remote that material payments will be required. Therefore, any liability accrued within our consolidated statements of financial position is insignificant. While we are unable to estimate with certainty the ultimate legal and financial liability with respect to these indemnifications, we believe that performance under these indemnifications would not result in a material adverse effect on our business or financial position. While the likelihood is remote, performance under these indemnifications could materially affect net income in a particular quarter or annual period.</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Stockholders’ Equity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Reconciliation of Outstanding Shares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620" w:type="dxa"/>
            <w:vAlign w:val="bottom"/>
          </w:tcPr>
          <w:p>
            <w:pPr>
              <w:spacing w:after="0"/>
              <w:rPr>
                <w:sz w:val="14"/>
                <w:szCs w:val="14"/>
                <w:color w:val="auto"/>
              </w:rPr>
            </w:pPr>
          </w:p>
        </w:tc>
        <w:tc>
          <w:tcPr>
            <w:tcW w:w="1660" w:type="dxa"/>
            <w:vAlign w:val="bottom"/>
            <w:gridSpan w:val="2"/>
          </w:tcPr>
          <w:p>
            <w:pPr>
              <w:jc w:val="right"/>
              <w:ind w:right="720"/>
              <w:spacing w:after="0"/>
              <w:rPr>
                <w:sz w:val="20"/>
                <w:szCs w:val="20"/>
                <w:color w:val="auto"/>
              </w:rPr>
            </w:pPr>
            <w:r>
              <w:rPr>
                <w:rFonts w:ascii="Arial" w:cs="Arial" w:eastAsia="Arial" w:hAnsi="Arial"/>
                <w:sz w:val="14"/>
                <w:szCs w:val="14"/>
                <w:b w:val="1"/>
                <w:bCs w:val="1"/>
                <w:color w:val="auto"/>
              </w:rPr>
              <w:t>Series A</w:t>
            </w:r>
          </w:p>
        </w:tc>
        <w:tc>
          <w:tcPr>
            <w:tcW w:w="16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Series B</w:t>
            </w:r>
          </w:p>
        </w:tc>
        <w:tc>
          <w:tcPr>
            <w:tcW w:w="1480" w:type="dxa"/>
            <w:vAlign w:val="bottom"/>
            <w:gridSpan w:val="3"/>
          </w:tcPr>
          <w:p>
            <w:pPr>
              <w:jc w:val="right"/>
              <w:ind w:right="500"/>
              <w:spacing w:after="0"/>
              <w:rPr>
                <w:sz w:val="20"/>
                <w:szCs w:val="20"/>
                <w:color w:val="auto"/>
              </w:rPr>
            </w:pPr>
            <w:r>
              <w:rPr>
                <w:rFonts w:ascii="Arial" w:cs="Arial" w:eastAsia="Arial" w:hAnsi="Arial"/>
                <w:sz w:val="14"/>
                <w:szCs w:val="14"/>
                <w:b w:val="1"/>
                <w:bCs w:val="1"/>
                <w:color w:val="auto"/>
              </w:rPr>
              <w:t>Common</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620" w:type="dxa"/>
            <w:vAlign w:val="bottom"/>
          </w:tcPr>
          <w:p>
            <w:pPr>
              <w:spacing w:after="0"/>
              <w:rPr>
                <w:sz w:val="14"/>
                <w:szCs w:val="14"/>
                <w:color w:val="auto"/>
              </w:rPr>
            </w:pPr>
          </w:p>
        </w:tc>
        <w:tc>
          <w:tcPr>
            <w:tcW w:w="166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preferred stock</w:t>
            </w:r>
          </w:p>
        </w:tc>
        <w:tc>
          <w:tcPr>
            <w:tcW w:w="16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preferred stock</w:t>
            </w:r>
          </w:p>
        </w:tc>
        <w:tc>
          <w:tcPr>
            <w:tcW w:w="1480" w:type="dxa"/>
            <w:vAlign w:val="bottom"/>
            <w:gridSpan w:val="3"/>
          </w:tcPr>
          <w:p>
            <w:pPr>
              <w:jc w:val="right"/>
              <w:ind w:right="640"/>
              <w:spacing w:after="0"/>
              <w:rPr>
                <w:sz w:val="20"/>
                <w:szCs w:val="20"/>
                <w:color w:val="auto"/>
              </w:rPr>
            </w:pPr>
            <w:r>
              <w:rPr>
                <w:rFonts w:ascii="Arial" w:cs="Arial" w:eastAsia="Arial" w:hAnsi="Arial"/>
                <w:sz w:val="14"/>
                <w:szCs w:val="14"/>
                <w:b w:val="1"/>
                <w:bCs w:val="1"/>
                <w:color w:val="auto"/>
              </w:rPr>
              <w:t>stock</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620" w:type="dxa"/>
            <w:vAlign w:val="bottom"/>
          </w:tcPr>
          <w:p>
            <w:pPr>
              <w:spacing w:after="0"/>
              <w:rPr>
                <w:sz w:val="12"/>
                <w:szCs w:val="12"/>
                <w:color w:val="auto"/>
              </w:rPr>
            </w:pPr>
          </w:p>
        </w:tc>
        <w:tc>
          <w:tcPr>
            <w:tcW w:w="138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640" w:type="dxa"/>
            <w:vAlign w:val="bottom"/>
            <w:tcBorders>
              <w:top w:val="single" w:sz="8" w:color="auto"/>
            </w:tcBorders>
            <w:gridSpan w:val="2"/>
          </w:tcPr>
          <w:p>
            <w:pPr>
              <w:jc w:val="center"/>
              <w:ind w:right="30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38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Outstanding shares at January 1, 2014</w:t>
            </w:r>
          </w:p>
        </w:tc>
        <w:tc>
          <w:tcPr>
            <w:tcW w:w="1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3.0</w:t>
            </w:r>
          </w:p>
        </w:tc>
        <w:tc>
          <w:tcPr>
            <w:tcW w:w="1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10.0</w:t>
            </w:r>
          </w:p>
        </w:tc>
        <w:tc>
          <w:tcPr>
            <w:tcW w:w="1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295.2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tcPr>
          <w:p>
            <w:pPr>
              <w:spacing w:after="0"/>
              <w:rPr>
                <w:sz w:val="20"/>
                <w:szCs w:val="20"/>
                <w:color w:val="auto"/>
              </w:rPr>
            </w:pPr>
            <w:r>
              <w:rPr>
                <w:rFonts w:ascii="Arial" w:cs="Arial" w:eastAsia="Arial" w:hAnsi="Arial"/>
                <w:sz w:val="18"/>
                <w:szCs w:val="18"/>
                <w:color w:val="auto"/>
              </w:rPr>
              <w:t>Shares issued</w:t>
            </w:r>
          </w:p>
        </w:tc>
        <w:tc>
          <w:tcPr>
            <w:tcW w:w="16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6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20"/>
              <w:spacing w:after="0"/>
              <w:rPr>
                <w:sz w:val="20"/>
                <w:szCs w:val="20"/>
                <w:color w:val="auto"/>
              </w:rPr>
            </w:pPr>
            <w:r>
              <w:rPr>
                <w:rFonts w:ascii="Arial" w:cs="Arial" w:eastAsia="Arial" w:hAnsi="Arial"/>
                <w:sz w:val="18"/>
                <w:szCs w:val="18"/>
                <w:color w:val="auto"/>
              </w:rPr>
              <w:t>3.1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Treasury stock acquired</w:t>
            </w:r>
          </w:p>
        </w:tc>
        <w:tc>
          <w:tcPr>
            <w:tcW w:w="1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66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Outstanding shares at September 30, 2014</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w:t>
            </w:r>
          </w:p>
        </w:tc>
        <w:tc>
          <w:tcPr>
            <w:tcW w:w="280" w:type="dxa"/>
            <w:vAlign w:val="bottom"/>
            <w:tcBorders>
              <w:bottom w:val="single" w:sz="8" w:color="CCEEFF"/>
            </w:tcBorders>
          </w:tcPr>
          <w:p>
            <w:pPr>
              <w:spacing w:after="0"/>
              <w:rPr>
                <w:sz w:val="21"/>
                <w:szCs w:val="21"/>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280" w:type="dxa"/>
            <w:vAlign w:val="bottom"/>
            <w:tcBorders>
              <w:bottom w:val="single" w:sz="8" w:color="CCEEFF"/>
            </w:tcBorders>
          </w:tcPr>
          <w:p>
            <w:pPr>
              <w:spacing w:after="0"/>
              <w:rPr>
                <w:sz w:val="21"/>
                <w:szCs w:val="21"/>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293.6</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662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620" w:type="dxa"/>
            <w:vAlign w:val="bottom"/>
          </w:tcPr>
          <w:p>
            <w:pPr>
              <w:spacing w:after="0"/>
              <w:rPr>
                <w:sz w:val="20"/>
                <w:szCs w:val="20"/>
                <w:color w:val="auto"/>
              </w:rPr>
            </w:pPr>
            <w:r>
              <w:rPr>
                <w:rFonts w:ascii="Arial" w:cs="Arial" w:eastAsia="Arial" w:hAnsi="Arial"/>
                <w:sz w:val="18"/>
                <w:szCs w:val="18"/>
                <w:color w:val="auto"/>
              </w:rPr>
              <w:t>Outstanding shares at January 1, 2015</w:t>
            </w:r>
          </w:p>
        </w:tc>
        <w:tc>
          <w:tcPr>
            <w:tcW w:w="16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3.0</w:t>
            </w:r>
          </w:p>
        </w:tc>
        <w:tc>
          <w:tcPr>
            <w:tcW w:w="16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10.0</w:t>
            </w:r>
          </w:p>
        </w:tc>
        <w:tc>
          <w:tcPr>
            <w:tcW w:w="14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293.9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Shares issued</w:t>
            </w:r>
          </w:p>
        </w:tc>
        <w:tc>
          <w:tcPr>
            <w:tcW w:w="16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3.3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tcPr>
          <w:p>
            <w:pPr>
              <w:spacing w:after="0"/>
              <w:rPr>
                <w:sz w:val="20"/>
                <w:szCs w:val="20"/>
                <w:color w:val="auto"/>
              </w:rPr>
            </w:pPr>
            <w:r>
              <w:rPr>
                <w:rFonts w:ascii="Arial" w:cs="Arial" w:eastAsia="Arial" w:hAnsi="Arial"/>
                <w:sz w:val="18"/>
                <w:szCs w:val="18"/>
                <w:color w:val="auto"/>
              </w:rPr>
              <w:t>Treasury stock acquired</w:t>
            </w:r>
          </w:p>
        </w:tc>
        <w:tc>
          <w:tcPr>
            <w:tcW w:w="16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6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480" w:type="dxa"/>
            <w:vAlign w:val="bottom"/>
            <w:gridSpan w:val="3"/>
          </w:tcPr>
          <w:p>
            <w:pPr>
              <w:jc w:val="right"/>
              <w:ind w:right="40"/>
              <w:spacing w:after="0"/>
              <w:rPr>
                <w:sz w:val="20"/>
                <w:szCs w:val="20"/>
                <w:color w:val="auto"/>
              </w:rPr>
            </w:pPr>
            <w:r>
              <w:rPr>
                <w:rFonts w:ascii="Arial" w:cs="Arial" w:eastAsia="Arial" w:hAnsi="Arial"/>
                <w:sz w:val="18"/>
                <w:szCs w:val="18"/>
                <w:b w:val="1"/>
                <w:bCs w:val="1"/>
                <w:color w:val="auto"/>
              </w:rPr>
              <w:t>(3.7)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redemption</w:t>
            </w:r>
          </w:p>
        </w:tc>
        <w:tc>
          <w:tcPr>
            <w:tcW w:w="16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(3.0)</w:t>
            </w:r>
          </w:p>
        </w:tc>
        <w:tc>
          <w:tcPr>
            <w:tcW w:w="16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(10.0)</w:t>
            </w:r>
          </w:p>
        </w:tc>
        <w:tc>
          <w:tcPr>
            <w:tcW w:w="14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20" w:type="dxa"/>
            <w:vAlign w:val="bottom"/>
          </w:tcPr>
          <w:p>
            <w:pPr>
              <w:spacing w:after="0"/>
              <w:rPr>
                <w:sz w:val="20"/>
                <w:szCs w:val="20"/>
                <w:color w:val="auto"/>
              </w:rPr>
            </w:pPr>
            <w:r>
              <w:rPr>
                <w:rFonts w:ascii="Arial" w:cs="Arial" w:eastAsia="Arial" w:hAnsi="Arial"/>
                <w:sz w:val="18"/>
                <w:szCs w:val="18"/>
                <w:color w:val="auto"/>
              </w:rPr>
              <w:t>Outstanding shares at September 30, 2015</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293.5</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6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121" w:right="239" w:bottom="157" w:gutter="0" w:footer="0" w:header="0"/>
        </w:sectPr>
      </w:pPr>
    </w:p>
    <w:bookmarkStart w:id="33" w:name="page34"/>
    <w:bookmarkEnd w:id="33"/>
    <w:p>
      <w:pPr>
        <w:spacing w:after="0" w:line="32"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On June 30, 2015 we redeemed our 3.0 million shares of series A preferred stock for $250.0 million and our 10.0 million shares of series B preferred stock for $300.0 million. At redemption, we recognized $8.2 million excess redemption value over carrying value of the preferred shares redeemed as an adjustment to determine net income available to common stockholders.</w:t>
      </w:r>
    </w:p>
    <w:p>
      <w:pPr>
        <w:spacing w:after="0" w:line="181" w:lineRule="exact"/>
        <w:rPr>
          <w:sz w:val="20"/>
          <w:szCs w:val="20"/>
          <w:color w:val="auto"/>
        </w:rPr>
      </w:pPr>
    </w:p>
    <w:p>
      <w:pPr>
        <w:ind w:right="300" w:firstLine="648"/>
        <w:spacing w:after="0" w:line="257" w:lineRule="auto"/>
        <w:rPr>
          <w:sz w:val="20"/>
          <w:szCs w:val="20"/>
          <w:color w:val="auto"/>
        </w:rPr>
      </w:pPr>
      <w:r>
        <w:rPr>
          <w:rFonts w:ascii="Arial" w:cs="Arial" w:eastAsia="Arial" w:hAnsi="Arial"/>
          <w:sz w:val="18"/>
          <w:szCs w:val="18"/>
          <w:color w:val="auto"/>
        </w:rPr>
        <w:t>In February 2013, our Board of Directors authorized a share repurchase program of up to $150.0 million of our outstanding common stock, which was completed in March 2014. In February 2014, our Board of Directors authorized a share repurchase program of up to $200.0 million of our outstanding common stock, which was completed in March 2015. In February 2015, our Board of Directors authorized a share repurchase program of up to $150.0 million of our outstanding common stock. Shares repurchased under these programs are accounted for as treasury stock, carried at cost and reflected as a reduction to stockholders’ equity.</w:t>
      </w:r>
    </w:p>
    <w:p>
      <w:pPr>
        <w:spacing w:after="0" w:line="18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Comprehensive Income (Loss)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380" w:type="dxa"/>
            <w:vAlign w:val="bottom"/>
            <w:gridSpan w:val="8"/>
          </w:tcPr>
          <w:p>
            <w:pPr>
              <w:jc w:val="right"/>
              <w:ind w:right="20"/>
              <w:spacing w:after="0"/>
              <w:rPr>
                <w:sz w:val="20"/>
                <w:szCs w:val="20"/>
                <w:color w:val="auto"/>
              </w:rPr>
            </w:pPr>
            <w:r>
              <w:rPr>
                <w:rFonts w:ascii="Arial" w:cs="Arial" w:eastAsia="Arial" w:hAnsi="Arial"/>
                <w:sz w:val="14"/>
                <w:szCs w:val="14"/>
                <w:b w:val="1"/>
                <w:bCs w:val="1"/>
                <w:color w:val="auto"/>
              </w:rPr>
              <w:t>For the three months ended</w:t>
            </w:r>
          </w:p>
        </w:tc>
        <w:tc>
          <w:tcPr>
            <w:tcW w:w="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80" w:type="dxa"/>
            <w:vAlign w:val="bottom"/>
            <w:gridSpan w:val="7"/>
          </w:tcPr>
          <w:p>
            <w:pPr>
              <w:jc w:val="right"/>
              <w:spacing w:after="0"/>
              <w:rPr>
                <w:sz w:val="20"/>
                <w:szCs w:val="20"/>
                <w:color w:val="auto"/>
              </w:rPr>
            </w:pPr>
            <w:r>
              <w:rPr>
                <w:rFonts w:ascii="Arial" w:cs="Arial" w:eastAsia="Arial" w:hAnsi="Arial"/>
                <w:sz w:val="14"/>
                <w:szCs w:val="14"/>
                <w:b w:val="1"/>
                <w:bCs w:val="1"/>
                <w:color w:val="auto"/>
              </w:rPr>
              <w:t>For the nine months ended</w:t>
            </w: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jc w:val="right"/>
              <w:ind w:right="80"/>
              <w:spacing w:after="0"/>
              <w:rPr>
                <w:sz w:val="20"/>
                <w:szCs w:val="20"/>
                <w:color w:val="auto"/>
              </w:rPr>
            </w:pPr>
            <w:r>
              <w:rPr>
                <w:rFonts w:ascii="Arial" w:cs="Arial" w:eastAsia="Arial" w:hAnsi="Arial"/>
                <w:sz w:val="14"/>
                <w:szCs w:val="14"/>
                <w:b w:val="1"/>
                <w:bCs w:val="1"/>
                <w:color w:val="auto"/>
                <w:w w:val="91"/>
              </w:rPr>
              <w:t>September 30, 2015</w:t>
            </w:r>
          </w:p>
        </w:tc>
        <w:tc>
          <w:tcPr>
            <w:tcW w:w="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4"/>
                <w:szCs w:val="14"/>
                <w:b w:val="1"/>
                <w:bCs w:val="1"/>
                <w:color w:val="auto"/>
                <w:w w:val="93"/>
              </w:rPr>
              <w:t>September 30, 2015</w:t>
            </w: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2"/>
          </w:tcPr>
          <w:p>
            <w:pPr>
              <w:jc w:val="right"/>
              <w:ind w:right="320"/>
              <w:spacing w:after="0" w:line="142" w:lineRule="exact"/>
              <w:rPr>
                <w:sz w:val="20"/>
                <w:szCs w:val="20"/>
                <w:color w:val="auto"/>
              </w:rPr>
            </w:pPr>
            <w:r>
              <w:rPr>
                <w:rFonts w:ascii="Arial" w:cs="Arial" w:eastAsia="Arial" w:hAnsi="Arial"/>
                <w:sz w:val="14"/>
                <w:szCs w:val="14"/>
                <w:b w:val="1"/>
                <w:bCs w:val="1"/>
                <w:color w:val="auto"/>
              </w:rPr>
              <w:t>Pre-Tax</w:t>
            </w:r>
          </w:p>
        </w:tc>
        <w:tc>
          <w:tcPr>
            <w:tcW w:w="20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gridSpan w:val="2"/>
          </w:tcPr>
          <w:p>
            <w:pPr>
              <w:jc w:val="right"/>
              <w:ind w:right="540"/>
              <w:spacing w:after="0" w:line="142" w:lineRule="exact"/>
              <w:rPr>
                <w:sz w:val="20"/>
                <w:szCs w:val="20"/>
                <w:color w:val="auto"/>
              </w:rPr>
            </w:pPr>
            <w:r>
              <w:rPr>
                <w:rFonts w:ascii="Arial" w:cs="Arial" w:eastAsia="Arial" w:hAnsi="Arial"/>
                <w:sz w:val="14"/>
                <w:szCs w:val="14"/>
                <w:b w:val="1"/>
                <w:bCs w:val="1"/>
                <w:color w:val="auto"/>
              </w:rPr>
              <w:t>Tax</w:t>
            </w: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rPr>
              <w:t>After-Tax</w:t>
            </w:r>
          </w:p>
        </w:tc>
        <w:tc>
          <w:tcPr>
            <w:tcW w:w="30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gridSpan w:val="2"/>
          </w:tcPr>
          <w:p>
            <w:pPr>
              <w:jc w:val="right"/>
              <w:ind w:right="320"/>
              <w:spacing w:after="0" w:line="142" w:lineRule="exact"/>
              <w:rPr>
                <w:sz w:val="20"/>
                <w:szCs w:val="20"/>
                <w:color w:val="auto"/>
              </w:rPr>
            </w:pPr>
            <w:r>
              <w:rPr>
                <w:rFonts w:ascii="Arial" w:cs="Arial" w:eastAsia="Arial" w:hAnsi="Arial"/>
                <w:sz w:val="14"/>
                <w:szCs w:val="14"/>
                <w:b w:val="1"/>
                <w:bCs w:val="1"/>
                <w:color w:val="auto"/>
                <w:w w:val="89"/>
              </w:rPr>
              <w:t>Pre-Tax</w:t>
            </w:r>
          </w:p>
        </w:tc>
        <w:tc>
          <w:tcPr>
            <w:tcW w:w="1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gridSpan w:val="2"/>
          </w:tcPr>
          <w:p>
            <w:pPr>
              <w:jc w:val="right"/>
              <w:ind w:right="620"/>
              <w:spacing w:after="0" w:line="142" w:lineRule="exact"/>
              <w:rPr>
                <w:sz w:val="20"/>
                <w:szCs w:val="20"/>
                <w:color w:val="auto"/>
              </w:rPr>
            </w:pPr>
            <w:r>
              <w:rPr>
                <w:rFonts w:ascii="Arial" w:cs="Arial" w:eastAsia="Arial" w:hAnsi="Arial"/>
                <w:sz w:val="14"/>
                <w:szCs w:val="14"/>
                <w:b w:val="1"/>
                <w:bCs w:val="1"/>
                <w:color w:val="auto"/>
              </w:rPr>
              <w:t>Tax</w:t>
            </w:r>
          </w:p>
        </w:tc>
        <w:tc>
          <w:tcPr>
            <w:tcW w:w="1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After-Tax</w:t>
            </w: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Net unrealized losses on available-for-sale securities</w:t>
            </w:r>
          </w:p>
        </w:tc>
        <w:tc>
          <w:tcPr>
            <w:tcW w:w="3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8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(191.9)</w:t>
            </w:r>
          </w:p>
        </w:tc>
        <w:tc>
          <w:tcPr>
            <w:tcW w:w="440" w:type="dxa"/>
            <w:vAlign w:val="bottom"/>
            <w:gridSpan w:val="2"/>
            <w:vMerge w:val="restart"/>
            <w:shd w:val="clear" w:color="auto" w:fill="CCEEFF"/>
          </w:tcPr>
          <w:p>
            <w:pPr>
              <w:jc w:val="center"/>
              <w:spacing w:after="0"/>
              <w:rPr>
                <w:sz w:val="20"/>
                <w:szCs w:val="20"/>
                <w:color w:val="auto"/>
              </w:rPr>
            </w:pPr>
            <w:r>
              <w:rPr>
                <w:rFonts w:ascii="Arial" w:cs="Arial" w:eastAsia="Arial" w:hAnsi="Arial"/>
                <w:sz w:val="18"/>
                <w:szCs w:val="18"/>
                <w:b w:val="1"/>
                <w:bCs w:val="1"/>
                <w:color w:val="auto"/>
                <w:w w:val="79"/>
              </w:rPr>
              <w:t>$</w:t>
            </w:r>
          </w:p>
        </w:tc>
        <w:tc>
          <w:tcPr>
            <w:tcW w:w="8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66.4</w:t>
            </w:r>
          </w:p>
        </w:tc>
        <w:tc>
          <w:tcPr>
            <w:tcW w:w="20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(125.5)</w:t>
            </w:r>
          </w:p>
        </w:tc>
        <w:tc>
          <w:tcPr>
            <w:tcW w:w="200" w:type="dxa"/>
            <w:vAlign w:val="bottom"/>
            <w:vMerge w:val="restart"/>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(999.0)</w:t>
            </w:r>
          </w:p>
        </w:tc>
        <w:tc>
          <w:tcPr>
            <w:tcW w:w="40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960" w:type="dxa"/>
            <w:vAlign w:val="bottom"/>
            <w:tcBorders>
              <w:right w:val="single" w:sz="8" w:color="CCEEFF"/>
            </w:tcBorders>
            <w:gridSpan w:val="2"/>
            <w:vMerge w:val="restart"/>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340.7</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(658.3)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during the period</w:t>
            </w:r>
          </w:p>
        </w:tc>
        <w:tc>
          <w:tcPr>
            <w:tcW w:w="300" w:type="dxa"/>
            <w:vAlign w:val="bottom"/>
            <w:gridSpan w:val="2"/>
            <w:vMerge w:val="continue"/>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440" w:type="dxa"/>
            <w:vAlign w:val="bottom"/>
            <w:gridSpan w:val="2"/>
            <w:vMerge w:val="continue"/>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200" w:type="dxa"/>
            <w:vAlign w:val="bottom"/>
            <w:gridSpan w:val="2"/>
            <w:vMerge w:val="continue"/>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200" w:type="dxa"/>
            <w:vAlign w:val="bottom"/>
            <w:vMerge w:val="continue"/>
            <w:shd w:val="clear" w:color="auto" w:fill="CCEEFF"/>
          </w:tcPr>
          <w:p>
            <w:pPr>
              <w:spacing w:after="0"/>
              <w:rPr>
                <w:sz w:val="20"/>
                <w:szCs w:val="20"/>
                <w:color w:val="auto"/>
              </w:rPr>
            </w:pPr>
          </w:p>
        </w:tc>
        <w:tc>
          <w:tcPr>
            <w:tcW w:w="800" w:type="dxa"/>
            <w:vAlign w:val="bottom"/>
            <w:gridSpan w:val="2"/>
            <w:vMerge w:val="continue"/>
            <w:shd w:val="clear" w:color="auto" w:fill="CCEEFF"/>
          </w:tcPr>
          <w:p>
            <w:pPr>
              <w:spacing w:after="0"/>
              <w:rPr>
                <w:sz w:val="20"/>
                <w:szCs w:val="20"/>
                <w:color w:val="auto"/>
              </w:rPr>
            </w:pPr>
          </w:p>
        </w:tc>
        <w:tc>
          <w:tcPr>
            <w:tcW w:w="400" w:type="dxa"/>
            <w:vAlign w:val="bottom"/>
            <w:gridSpan w:val="2"/>
            <w:vMerge w:val="continue"/>
            <w:shd w:val="clear" w:color="auto" w:fill="CCEEFF"/>
          </w:tcPr>
          <w:p>
            <w:pPr>
              <w:spacing w:after="0"/>
              <w:rPr>
                <w:sz w:val="20"/>
                <w:szCs w:val="20"/>
                <w:color w:val="auto"/>
              </w:rPr>
            </w:pPr>
          </w:p>
        </w:tc>
        <w:tc>
          <w:tcPr>
            <w:tcW w:w="960" w:type="dxa"/>
            <w:vAlign w:val="bottom"/>
            <w:tcBorders>
              <w:right w:val="single" w:sz="8" w:color="CCEEFF"/>
            </w:tcBorders>
            <w:gridSpan w:val="2"/>
            <w:vMerge w:val="continue"/>
            <w:shd w:val="clear" w:color="auto" w:fill="CCEEFF"/>
          </w:tcPr>
          <w:p>
            <w:pPr>
              <w:spacing w:after="0"/>
              <w:rPr>
                <w:sz w:val="20"/>
                <w:szCs w:val="20"/>
                <w:color w:val="auto"/>
              </w:rPr>
            </w:pPr>
          </w:p>
        </w:tc>
        <w:tc>
          <w:tcPr>
            <w:tcW w:w="120" w:type="dxa"/>
            <w:vAlign w:val="bottom"/>
            <w:vMerge w:val="continue"/>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w w:val="93"/>
              </w:rPr>
              <w:t>Reclassification adjustment for (gains) losses included in</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6.8</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(2.5)</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gridSpan w:val="2"/>
            <w:vMerge w:val="restart"/>
          </w:tcPr>
          <w:p>
            <w:pPr>
              <w:jc w:val="right"/>
              <w:ind w:right="300"/>
              <w:spacing w:after="0"/>
              <w:rPr>
                <w:sz w:val="20"/>
                <w:szCs w:val="20"/>
                <w:color w:val="auto"/>
              </w:rPr>
            </w:pPr>
            <w:r>
              <w:rPr>
                <w:rFonts w:ascii="Arial" w:cs="Arial" w:eastAsia="Arial" w:hAnsi="Arial"/>
                <w:sz w:val="18"/>
                <w:szCs w:val="18"/>
                <w:b w:val="1"/>
                <w:bCs w:val="1"/>
                <w:color w:val="auto"/>
              </w:rPr>
              <w:t>4.3</w:t>
            </w:r>
          </w:p>
        </w:tc>
        <w:tc>
          <w:tcPr>
            <w:tcW w:w="200" w:type="dxa"/>
            <w:vAlign w:val="bottom"/>
          </w:tcPr>
          <w:p>
            <w:pPr>
              <w:spacing w:after="0"/>
              <w:rPr>
                <w:sz w:val="17"/>
                <w:szCs w:val="17"/>
                <w:color w:val="auto"/>
              </w:rPr>
            </w:pPr>
          </w:p>
        </w:tc>
        <w:tc>
          <w:tcPr>
            <w:tcW w:w="80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(1.7)</w:t>
            </w: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gridSpan w:val="2"/>
            <w:vMerge w:val="restart"/>
          </w:tcPr>
          <w:p>
            <w:pPr>
              <w:jc w:val="right"/>
              <w:ind w:right="280"/>
              <w:spacing w:after="0"/>
              <w:rPr>
                <w:sz w:val="20"/>
                <w:szCs w:val="20"/>
                <w:color w:val="auto"/>
              </w:rPr>
            </w:pPr>
            <w:r>
              <w:rPr>
                <w:rFonts w:ascii="Arial" w:cs="Arial" w:eastAsia="Arial" w:hAnsi="Arial"/>
                <w:sz w:val="18"/>
                <w:szCs w:val="18"/>
                <w:b w:val="1"/>
                <w:bCs w:val="1"/>
                <w:color w:val="auto"/>
              </w:rPr>
              <w:t>0.5</w:t>
            </w:r>
          </w:p>
        </w:tc>
        <w:tc>
          <w:tcPr>
            <w:tcW w:w="120" w:type="dxa"/>
            <w:vAlign w:val="bottom"/>
          </w:tcPr>
          <w:p>
            <w:pPr>
              <w:spacing w:after="0"/>
              <w:rPr>
                <w:sz w:val="17"/>
                <w:szCs w:val="17"/>
                <w:color w:val="auto"/>
              </w:rPr>
            </w:pPr>
          </w:p>
        </w:tc>
        <w:tc>
          <w:tcPr>
            <w:tcW w:w="90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(1.2)</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net income (1)</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Adjustments for assumed changes in amortization</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35.7</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(12.5)</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23.2</w:t>
            </w:r>
          </w:p>
        </w:tc>
        <w:tc>
          <w:tcPr>
            <w:tcW w:w="200" w:type="dxa"/>
            <w:vAlign w:val="bottom"/>
            <w:shd w:val="clear" w:color="auto" w:fill="CCEEFF"/>
          </w:tcPr>
          <w:p>
            <w:pPr>
              <w:spacing w:after="0"/>
              <w:rPr>
                <w:sz w:val="17"/>
                <w:szCs w:val="17"/>
                <w:color w:val="auto"/>
              </w:rPr>
            </w:pPr>
          </w:p>
        </w:tc>
        <w:tc>
          <w:tcPr>
            <w:tcW w:w="8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118.1</w:t>
            </w: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60" w:type="dxa"/>
            <w:vAlign w:val="bottom"/>
            <w:tcBorders>
              <w:right w:val="single" w:sz="8" w:color="CCEEFF"/>
            </w:tcBorders>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(41.3)</w:t>
            </w:r>
          </w:p>
        </w:tc>
        <w:tc>
          <w:tcPr>
            <w:tcW w:w="12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76.8</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patterns</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0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960" w:type="dxa"/>
            <w:vAlign w:val="bottom"/>
            <w:tcBorders>
              <w:right w:val="single" w:sz="8" w:color="CCEEFF"/>
            </w:tcBorders>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Adjustments for assumed changes in policyholder</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190.5</w:t>
            </w:r>
          </w:p>
        </w:tc>
        <w:tc>
          <w:tcPr>
            <w:tcW w:w="100" w:type="dxa"/>
            <w:vAlign w:val="bottom"/>
            <w:vMerge w:val="restart"/>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(64.2)</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gridSpan w:val="2"/>
            <w:vMerge w:val="restart"/>
          </w:tcPr>
          <w:p>
            <w:pPr>
              <w:jc w:val="right"/>
              <w:ind w:right="300"/>
              <w:spacing w:after="0"/>
              <w:rPr>
                <w:sz w:val="20"/>
                <w:szCs w:val="20"/>
                <w:color w:val="auto"/>
              </w:rPr>
            </w:pPr>
            <w:r>
              <w:rPr>
                <w:rFonts w:ascii="Arial" w:cs="Arial" w:eastAsia="Arial" w:hAnsi="Arial"/>
                <w:sz w:val="18"/>
                <w:szCs w:val="18"/>
                <w:b w:val="1"/>
                <w:bCs w:val="1"/>
                <w:color w:val="auto"/>
              </w:rPr>
              <w:t>126.3</w:t>
            </w:r>
          </w:p>
        </w:tc>
        <w:tc>
          <w:tcPr>
            <w:tcW w:w="200" w:type="dxa"/>
            <w:vAlign w:val="bottom"/>
          </w:tcPr>
          <w:p>
            <w:pPr>
              <w:spacing w:after="0"/>
              <w:rPr>
                <w:sz w:val="17"/>
                <w:szCs w:val="17"/>
                <w:color w:val="auto"/>
              </w:rPr>
            </w:pPr>
          </w:p>
        </w:tc>
        <w:tc>
          <w:tcPr>
            <w:tcW w:w="8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547.8</w:t>
            </w: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(186.1)</w:t>
            </w:r>
          </w:p>
        </w:tc>
        <w:tc>
          <w:tcPr>
            <w:tcW w:w="120" w:type="dxa"/>
            <w:vAlign w:val="bottom"/>
          </w:tcPr>
          <w:p>
            <w:pPr>
              <w:spacing w:after="0"/>
              <w:rPr>
                <w:sz w:val="17"/>
                <w:szCs w:val="17"/>
                <w:color w:val="auto"/>
              </w:rPr>
            </w:pP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361.7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liabilities</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60" w:type="dxa"/>
            <w:vAlign w:val="bottom"/>
            <w:vMerge w:val="restart"/>
            <w:shd w:val="clear" w:color="auto" w:fill="CCEEFF"/>
          </w:tcPr>
          <w:p>
            <w:pPr>
              <w:spacing w:after="0" w:line="201" w:lineRule="exact"/>
              <w:rPr>
                <w:sz w:val="20"/>
                <w:szCs w:val="20"/>
                <w:color w:val="auto"/>
              </w:rPr>
            </w:pPr>
            <w:r>
              <w:rPr>
                <w:rFonts w:ascii="Arial" w:cs="Arial" w:eastAsia="Arial" w:hAnsi="Arial"/>
                <w:sz w:val="18"/>
                <w:szCs w:val="18"/>
                <w:color w:val="auto"/>
              </w:rPr>
              <w:t>Net unrealized gains (losses) on available-for-sale</w:t>
            </w:r>
          </w:p>
        </w:tc>
        <w:tc>
          <w:tcPr>
            <w:tcW w:w="14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20" w:type="dxa"/>
            <w:vAlign w:val="bottom"/>
          </w:tcPr>
          <w:p>
            <w:pPr>
              <w:spacing w:after="0"/>
              <w:rPr>
                <w:sz w:val="15"/>
                <w:szCs w:val="15"/>
                <w:color w:val="auto"/>
              </w:rPr>
            </w:pPr>
          </w:p>
        </w:tc>
        <w:tc>
          <w:tcPr>
            <w:tcW w:w="4260" w:type="dxa"/>
            <w:vAlign w:val="bottom"/>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41.1</w:t>
            </w:r>
          </w:p>
        </w:tc>
        <w:tc>
          <w:tcPr>
            <w:tcW w:w="100" w:type="dxa"/>
            <w:vAlign w:val="bottom"/>
            <w:vMerge w:val="restart"/>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(12.8)</w:t>
            </w: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80" w:type="dxa"/>
            <w:vAlign w:val="bottom"/>
            <w:gridSpan w:val="2"/>
            <w:vMerge w:val="restart"/>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28.3</w:t>
            </w:r>
          </w:p>
        </w:tc>
        <w:tc>
          <w:tcPr>
            <w:tcW w:w="200" w:type="dxa"/>
            <w:vAlign w:val="bottom"/>
            <w:shd w:val="clear" w:color="auto" w:fill="CCEEFF"/>
          </w:tcPr>
          <w:p>
            <w:pPr>
              <w:spacing w:after="0"/>
              <w:rPr>
                <w:sz w:val="15"/>
                <w:szCs w:val="15"/>
                <w:color w:val="auto"/>
              </w:rPr>
            </w:pPr>
          </w:p>
        </w:tc>
        <w:tc>
          <w:tcPr>
            <w:tcW w:w="8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(334.8)</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60" w:type="dxa"/>
            <w:vAlign w:val="bottom"/>
            <w:tcBorders>
              <w:right w:val="single" w:sz="8" w:color="CCEEFF"/>
            </w:tcBorders>
            <w:gridSpan w:val="2"/>
            <w:vMerge w:val="restart"/>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113.8</w:t>
            </w:r>
          </w:p>
        </w:tc>
        <w:tc>
          <w:tcPr>
            <w:tcW w:w="120" w:type="dxa"/>
            <w:vAlign w:val="bottom"/>
            <w:shd w:val="clear" w:color="auto" w:fill="CCEEFF"/>
          </w:tcPr>
          <w:p>
            <w:pPr>
              <w:spacing w:after="0"/>
              <w:rPr>
                <w:sz w:val="15"/>
                <w:szCs w:val="15"/>
                <w:color w:val="auto"/>
              </w:rPr>
            </w:pPr>
          </w:p>
        </w:tc>
        <w:tc>
          <w:tcPr>
            <w:tcW w:w="9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(221.0)</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securities</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vMerge w:val="continue"/>
            <w:shd w:val="clear" w:color="auto" w:fill="CCEEFF"/>
          </w:tcPr>
          <w:p>
            <w:pPr>
              <w:spacing w:after="0"/>
              <w:rPr>
                <w:sz w:val="20"/>
                <w:szCs w:val="20"/>
                <w:color w:val="auto"/>
              </w:rPr>
            </w:pPr>
          </w:p>
        </w:tc>
        <w:tc>
          <w:tcPr>
            <w:tcW w:w="10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0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960" w:type="dxa"/>
            <w:vAlign w:val="bottom"/>
            <w:tcBorders>
              <w:right w:val="single" w:sz="8" w:color="CCEEFF"/>
            </w:tcBorders>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Noncredit component of impairment losses on fixed</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(0.3)</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0.8</w:t>
            </w:r>
          </w:p>
        </w:tc>
        <w:tc>
          <w:tcPr>
            <w:tcW w:w="200" w:type="dxa"/>
            <w:vAlign w:val="bottom"/>
            <w:shd w:val="clear" w:color="auto" w:fill="CCEEFF"/>
          </w:tcPr>
          <w:p>
            <w:pPr>
              <w:spacing w:after="0"/>
              <w:rPr>
                <w:sz w:val="17"/>
                <w:szCs w:val="17"/>
                <w:color w:val="auto"/>
              </w:rPr>
            </w:pPr>
          </w:p>
        </w:tc>
        <w:tc>
          <w:tcPr>
            <w:tcW w:w="8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28.0</w:t>
            </w: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60" w:type="dxa"/>
            <w:vAlign w:val="bottom"/>
            <w:tcBorders>
              <w:right w:val="single" w:sz="8" w:color="CCEEFF"/>
            </w:tcBorders>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(9.7)</w:t>
            </w:r>
          </w:p>
        </w:tc>
        <w:tc>
          <w:tcPr>
            <w:tcW w:w="12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18.3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maturities, available-for-sale during the period</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0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960" w:type="dxa"/>
            <w:vAlign w:val="bottom"/>
            <w:tcBorders>
              <w:right w:val="single" w:sz="8" w:color="CCEEFF"/>
            </w:tcBorders>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Adjustments for assumed changes in amortization</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gridSpan w:val="2"/>
            <w:vMerge w:val="restart"/>
          </w:tcPr>
          <w:p>
            <w:pPr>
              <w:jc w:val="right"/>
              <w:ind w:right="20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gridSpan w:val="2"/>
            <w:vMerge w:val="restart"/>
          </w:tcPr>
          <w:p>
            <w:pPr>
              <w:jc w:val="right"/>
              <w:ind w:right="30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80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(1.3)</w:t>
            </w: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gridSpan w:val="2"/>
            <w:vMerge w:val="restart"/>
          </w:tcPr>
          <w:p>
            <w:pPr>
              <w:jc w:val="right"/>
              <w:ind w:right="280"/>
              <w:spacing w:after="0"/>
              <w:rPr>
                <w:sz w:val="20"/>
                <w:szCs w:val="20"/>
                <w:color w:val="auto"/>
              </w:rPr>
            </w:pPr>
            <w:r>
              <w:rPr>
                <w:rFonts w:ascii="Arial" w:cs="Arial" w:eastAsia="Arial" w:hAnsi="Arial"/>
                <w:sz w:val="18"/>
                <w:szCs w:val="18"/>
                <w:b w:val="1"/>
                <w:bCs w:val="1"/>
                <w:color w:val="auto"/>
              </w:rPr>
              <w:t>0.5</w:t>
            </w:r>
          </w:p>
        </w:tc>
        <w:tc>
          <w:tcPr>
            <w:tcW w:w="120" w:type="dxa"/>
            <w:vAlign w:val="bottom"/>
          </w:tcPr>
          <w:p>
            <w:pPr>
              <w:spacing w:after="0"/>
              <w:rPr>
                <w:sz w:val="17"/>
                <w:szCs w:val="17"/>
                <w:color w:val="auto"/>
              </w:rPr>
            </w:pPr>
          </w:p>
        </w:tc>
        <w:tc>
          <w:tcPr>
            <w:tcW w:w="90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(0.8)</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patterns</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Adjustments for assumed changes in policyholder</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0.3</w:t>
            </w:r>
          </w:p>
        </w:tc>
        <w:tc>
          <w:tcPr>
            <w:tcW w:w="100" w:type="dxa"/>
            <w:vAlign w:val="bottom"/>
            <w:vMerge w:val="restart"/>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(0.1)</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0.2</w:t>
            </w:r>
          </w:p>
        </w:tc>
        <w:tc>
          <w:tcPr>
            <w:tcW w:w="200" w:type="dxa"/>
            <w:vAlign w:val="bottom"/>
            <w:shd w:val="clear" w:color="auto" w:fill="CCEEFF"/>
          </w:tcPr>
          <w:p>
            <w:pPr>
              <w:spacing w:after="0"/>
              <w:rPr>
                <w:sz w:val="17"/>
                <w:szCs w:val="17"/>
                <w:color w:val="auto"/>
              </w:rPr>
            </w:pPr>
          </w:p>
        </w:tc>
        <w:tc>
          <w:tcPr>
            <w:tcW w:w="8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0.5</w:t>
            </w: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60" w:type="dxa"/>
            <w:vAlign w:val="bottom"/>
            <w:tcBorders>
              <w:right w:val="single" w:sz="8" w:color="CCEEFF"/>
            </w:tcBorders>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(0.1)</w:t>
            </w:r>
          </w:p>
        </w:tc>
        <w:tc>
          <w:tcPr>
            <w:tcW w:w="12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liabilities</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vMerge w:val="continue"/>
            <w:shd w:val="clear" w:color="auto" w:fill="CCEEFF"/>
          </w:tcPr>
          <w:p>
            <w:pPr>
              <w:spacing w:after="0"/>
              <w:rPr>
                <w:sz w:val="20"/>
                <w:szCs w:val="20"/>
                <w:color w:val="auto"/>
              </w:rPr>
            </w:pPr>
          </w:p>
        </w:tc>
        <w:tc>
          <w:tcPr>
            <w:tcW w:w="10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0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960" w:type="dxa"/>
            <w:vAlign w:val="bottom"/>
            <w:tcBorders>
              <w:right w:val="single" w:sz="8" w:color="CCEEFF"/>
            </w:tcBorders>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60" w:type="dxa"/>
            <w:vAlign w:val="bottom"/>
            <w:vMerge w:val="restart"/>
          </w:tcPr>
          <w:p>
            <w:pPr>
              <w:spacing w:after="0" w:line="201" w:lineRule="exact"/>
              <w:rPr>
                <w:sz w:val="20"/>
                <w:szCs w:val="20"/>
                <w:color w:val="auto"/>
              </w:rPr>
            </w:pPr>
            <w:r>
              <w:rPr>
                <w:rFonts w:ascii="Arial" w:cs="Arial" w:eastAsia="Arial" w:hAnsi="Arial"/>
                <w:sz w:val="18"/>
                <w:szCs w:val="18"/>
                <w:color w:val="auto"/>
              </w:rPr>
              <w:t>Noncredit component of impairment losses on fixed</w:t>
            </w:r>
          </w:p>
        </w:tc>
        <w:tc>
          <w:tcPr>
            <w:tcW w:w="1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20" w:type="dxa"/>
            <w:vAlign w:val="bottom"/>
          </w:tcPr>
          <w:p>
            <w:pPr>
              <w:spacing w:after="0"/>
              <w:rPr>
                <w:sz w:val="15"/>
                <w:szCs w:val="15"/>
                <w:color w:val="auto"/>
              </w:rPr>
            </w:pPr>
          </w:p>
        </w:tc>
        <w:tc>
          <w:tcPr>
            <w:tcW w:w="426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1.4</w:t>
            </w:r>
          </w:p>
        </w:tc>
        <w:tc>
          <w:tcPr>
            <w:tcW w:w="100" w:type="dxa"/>
            <w:vAlign w:val="bottom"/>
            <w:vMerge w:val="restart"/>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(0.4)</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gridSpan w:val="2"/>
            <w:vMerge w:val="restart"/>
          </w:tcPr>
          <w:p>
            <w:pPr>
              <w:jc w:val="right"/>
              <w:ind w:right="300"/>
              <w:spacing w:after="0"/>
              <w:rPr>
                <w:sz w:val="20"/>
                <w:szCs w:val="20"/>
                <w:color w:val="auto"/>
              </w:rPr>
            </w:pPr>
            <w:r>
              <w:rPr>
                <w:rFonts w:ascii="Arial" w:cs="Arial" w:eastAsia="Arial" w:hAnsi="Arial"/>
                <w:sz w:val="18"/>
                <w:szCs w:val="18"/>
                <w:b w:val="1"/>
                <w:bCs w:val="1"/>
                <w:color w:val="auto"/>
              </w:rPr>
              <w:t>1.0</w:t>
            </w:r>
          </w:p>
        </w:tc>
        <w:tc>
          <w:tcPr>
            <w:tcW w:w="200" w:type="dxa"/>
            <w:vAlign w:val="bottom"/>
          </w:tcPr>
          <w:p>
            <w:pPr>
              <w:spacing w:after="0"/>
              <w:rPr>
                <w:sz w:val="15"/>
                <w:szCs w:val="15"/>
                <w:color w:val="auto"/>
              </w:rPr>
            </w:pPr>
          </w:p>
        </w:tc>
        <w:tc>
          <w:tcPr>
            <w:tcW w:w="8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27.2</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(9.3)</w:t>
            </w:r>
          </w:p>
        </w:tc>
        <w:tc>
          <w:tcPr>
            <w:tcW w:w="120" w:type="dxa"/>
            <w:vAlign w:val="bottom"/>
          </w:tcPr>
          <w:p>
            <w:pPr>
              <w:spacing w:after="0"/>
              <w:rPr>
                <w:sz w:val="15"/>
                <w:szCs w:val="15"/>
                <w:color w:val="auto"/>
              </w:rPr>
            </w:pP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17.9</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maturities, available-for-sale (2)</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w w:val="99"/>
              </w:rPr>
              <w:t>Net unrealized gains on derivative instruments during</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21.7</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(7.6)</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gridSpan w:val="2"/>
            <w:vMerge w:val="restart"/>
          </w:tcPr>
          <w:p>
            <w:pPr>
              <w:jc w:val="right"/>
              <w:ind w:right="300"/>
              <w:spacing w:after="0"/>
              <w:rPr>
                <w:sz w:val="20"/>
                <w:szCs w:val="20"/>
                <w:color w:val="auto"/>
              </w:rPr>
            </w:pPr>
            <w:r>
              <w:rPr>
                <w:rFonts w:ascii="Arial" w:cs="Arial" w:eastAsia="Arial" w:hAnsi="Arial"/>
                <w:sz w:val="18"/>
                <w:szCs w:val="18"/>
                <w:b w:val="1"/>
                <w:bCs w:val="1"/>
                <w:color w:val="auto"/>
              </w:rPr>
              <w:t>14.1</w:t>
            </w:r>
          </w:p>
        </w:tc>
        <w:tc>
          <w:tcPr>
            <w:tcW w:w="200" w:type="dxa"/>
            <w:vAlign w:val="bottom"/>
          </w:tcPr>
          <w:p>
            <w:pPr>
              <w:spacing w:after="0"/>
              <w:rPr>
                <w:sz w:val="17"/>
                <w:szCs w:val="17"/>
                <w:color w:val="auto"/>
              </w:rPr>
            </w:pPr>
          </w:p>
        </w:tc>
        <w:tc>
          <w:tcPr>
            <w:tcW w:w="8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50.1</w:t>
            </w: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(17.5)</w:t>
            </w:r>
          </w:p>
        </w:tc>
        <w:tc>
          <w:tcPr>
            <w:tcW w:w="120" w:type="dxa"/>
            <w:vAlign w:val="bottom"/>
          </w:tcPr>
          <w:p>
            <w:pPr>
              <w:spacing w:after="0"/>
              <w:rPr>
                <w:sz w:val="17"/>
                <w:szCs w:val="17"/>
                <w:color w:val="auto"/>
              </w:rPr>
            </w:pP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32.6</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the period</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Reclassification adjustment for gains included in net</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(4.3)</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1.3</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(3.0)</w:t>
            </w:r>
          </w:p>
        </w:tc>
        <w:tc>
          <w:tcPr>
            <w:tcW w:w="200" w:type="dxa"/>
            <w:vAlign w:val="bottom"/>
            <w:shd w:val="clear" w:color="auto" w:fill="CCEEFF"/>
          </w:tcPr>
          <w:p>
            <w:pPr>
              <w:spacing w:after="0"/>
              <w:rPr>
                <w:sz w:val="17"/>
                <w:szCs w:val="17"/>
                <w:color w:val="auto"/>
              </w:rPr>
            </w:pPr>
          </w:p>
        </w:tc>
        <w:tc>
          <w:tcPr>
            <w:tcW w:w="8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(22.1)</w:t>
            </w: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60" w:type="dxa"/>
            <w:vAlign w:val="bottom"/>
            <w:tcBorders>
              <w:right w:val="single" w:sz="8" w:color="CCEEFF"/>
            </w:tcBorders>
            <w:gridSpan w:val="2"/>
            <w:vMerge w:val="restart"/>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7.3</w:t>
            </w:r>
          </w:p>
        </w:tc>
        <w:tc>
          <w:tcPr>
            <w:tcW w:w="12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(14.8)</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income (3)</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0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960" w:type="dxa"/>
            <w:vAlign w:val="bottom"/>
            <w:tcBorders>
              <w:right w:val="single" w:sz="8" w:color="CCEEFF"/>
            </w:tcBorders>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Adjustments for assumed changes in amortization</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6.0</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(2.1)</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gridSpan w:val="2"/>
            <w:vMerge w:val="restart"/>
          </w:tcPr>
          <w:p>
            <w:pPr>
              <w:jc w:val="right"/>
              <w:ind w:right="300"/>
              <w:spacing w:after="0"/>
              <w:rPr>
                <w:sz w:val="20"/>
                <w:szCs w:val="20"/>
                <w:color w:val="auto"/>
              </w:rPr>
            </w:pPr>
            <w:r>
              <w:rPr>
                <w:rFonts w:ascii="Arial" w:cs="Arial" w:eastAsia="Arial" w:hAnsi="Arial"/>
                <w:sz w:val="18"/>
                <w:szCs w:val="18"/>
                <w:b w:val="1"/>
                <w:bCs w:val="1"/>
                <w:color w:val="auto"/>
              </w:rPr>
              <w:t>3.9</w:t>
            </w:r>
          </w:p>
        </w:tc>
        <w:tc>
          <w:tcPr>
            <w:tcW w:w="200" w:type="dxa"/>
            <w:vAlign w:val="bottom"/>
          </w:tcPr>
          <w:p>
            <w:pPr>
              <w:spacing w:after="0"/>
              <w:rPr>
                <w:sz w:val="17"/>
                <w:szCs w:val="17"/>
                <w:color w:val="auto"/>
              </w:rPr>
            </w:pPr>
          </w:p>
        </w:tc>
        <w:tc>
          <w:tcPr>
            <w:tcW w:w="8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18.5</w:t>
            </w: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(6.5)</w:t>
            </w:r>
          </w:p>
        </w:tc>
        <w:tc>
          <w:tcPr>
            <w:tcW w:w="120" w:type="dxa"/>
            <w:vAlign w:val="bottom"/>
          </w:tcPr>
          <w:p>
            <w:pPr>
              <w:spacing w:after="0"/>
              <w:rPr>
                <w:sz w:val="17"/>
                <w:szCs w:val="17"/>
                <w:color w:val="auto"/>
              </w:rPr>
            </w:pP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12.0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patterns</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Adjustments for assumed changes in policyholder</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(7.2)</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2.5</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(4.7)</w:t>
            </w:r>
          </w:p>
        </w:tc>
        <w:tc>
          <w:tcPr>
            <w:tcW w:w="200" w:type="dxa"/>
            <w:vAlign w:val="bottom"/>
            <w:shd w:val="clear" w:color="auto" w:fill="CCEEFF"/>
          </w:tcPr>
          <w:p>
            <w:pPr>
              <w:spacing w:after="0"/>
              <w:rPr>
                <w:sz w:val="17"/>
                <w:szCs w:val="17"/>
                <w:color w:val="auto"/>
              </w:rPr>
            </w:pPr>
          </w:p>
        </w:tc>
        <w:tc>
          <w:tcPr>
            <w:tcW w:w="8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(12.0)</w:t>
            </w: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60" w:type="dxa"/>
            <w:vAlign w:val="bottom"/>
            <w:tcBorders>
              <w:right w:val="single" w:sz="8" w:color="CCEEFF"/>
            </w:tcBorders>
            <w:gridSpan w:val="2"/>
            <w:vMerge w:val="restart"/>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4.2</w:t>
            </w:r>
          </w:p>
        </w:tc>
        <w:tc>
          <w:tcPr>
            <w:tcW w:w="12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(7.8)</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liabilities</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0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960" w:type="dxa"/>
            <w:vAlign w:val="bottom"/>
            <w:tcBorders>
              <w:right w:val="single" w:sz="8" w:color="CCEEFF"/>
            </w:tcBorders>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60" w:type="dxa"/>
            <w:vAlign w:val="bottom"/>
            <w:vMerge w:val="restart"/>
          </w:tcPr>
          <w:p>
            <w:pPr>
              <w:spacing w:after="0"/>
              <w:rPr>
                <w:sz w:val="20"/>
                <w:szCs w:val="20"/>
                <w:color w:val="auto"/>
              </w:rPr>
            </w:pPr>
            <w:r>
              <w:rPr>
                <w:rFonts w:ascii="Arial" w:cs="Arial" w:eastAsia="Arial" w:hAnsi="Arial"/>
                <w:sz w:val="18"/>
                <w:szCs w:val="18"/>
                <w:color w:val="auto"/>
              </w:rPr>
              <w:t>Net unrealized gains on derivative instruments</w:t>
            </w:r>
          </w:p>
        </w:tc>
        <w:tc>
          <w:tcPr>
            <w:tcW w:w="1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16.2</w:t>
            </w:r>
          </w:p>
        </w:tc>
        <w:tc>
          <w:tcPr>
            <w:tcW w:w="10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10.3</w:t>
            </w:r>
          </w:p>
        </w:tc>
        <w:tc>
          <w:tcPr>
            <w:tcW w:w="30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34.5</w:t>
            </w:r>
          </w:p>
        </w:tc>
        <w:tc>
          <w:tcPr>
            <w:tcW w:w="10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(12.5)</w:t>
            </w: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22.0</w:t>
            </w:r>
          </w:p>
        </w:tc>
        <w:tc>
          <w:tcPr>
            <w:tcW w:w="1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Foreign currency translation adjustment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(306.5)</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43.3</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(263.2)</w:t>
            </w:r>
          </w:p>
        </w:tc>
        <w:tc>
          <w:tcPr>
            <w:tcW w:w="20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(512.6)</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74.3</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(438.3)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Amortization of prior service cost and actuarial loss</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20.3</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(8.4)</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gridSpan w:val="2"/>
            <w:vMerge w:val="restart"/>
          </w:tcPr>
          <w:p>
            <w:pPr>
              <w:jc w:val="right"/>
              <w:ind w:right="300"/>
              <w:spacing w:after="0"/>
              <w:rPr>
                <w:sz w:val="20"/>
                <w:szCs w:val="20"/>
                <w:color w:val="auto"/>
              </w:rPr>
            </w:pPr>
            <w:r>
              <w:rPr>
                <w:rFonts w:ascii="Arial" w:cs="Arial" w:eastAsia="Arial" w:hAnsi="Arial"/>
                <w:sz w:val="18"/>
                <w:szCs w:val="18"/>
                <w:b w:val="1"/>
                <w:bCs w:val="1"/>
                <w:color w:val="auto"/>
              </w:rPr>
              <w:t>11.9</w:t>
            </w:r>
          </w:p>
        </w:tc>
        <w:tc>
          <w:tcPr>
            <w:tcW w:w="200" w:type="dxa"/>
            <w:vAlign w:val="bottom"/>
          </w:tcPr>
          <w:p>
            <w:pPr>
              <w:spacing w:after="0"/>
              <w:rPr>
                <w:sz w:val="17"/>
                <w:szCs w:val="17"/>
                <w:color w:val="auto"/>
              </w:rPr>
            </w:pPr>
          </w:p>
        </w:tc>
        <w:tc>
          <w:tcPr>
            <w:tcW w:w="8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60.9</w:t>
            </w: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(25.0)</w:t>
            </w:r>
          </w:p>
        </w:tc>
        <w:tc>
          <w:tcPr>
            <w:tcW w:w="120" w:type="dxa"/>
            <w:vAlign w:val="bottom"/>
          </w:tcPr>
          <w:p>
            <w:pPr>
              <w:spacing w:after="0"/>
              <w:rPr>
                <w:sz w:val="17"/>
                <w:szCs w:val="17"/>
                <w:color w:val="auto"/>
              </w:rPr>
            </w:pP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35.9</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included in net periodic benefit cost (4)</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unrecognized postretirement benefit obligation</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20.3</w:t>
            </w: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(8.4)</w:t>
            </w:r>
          </w:p>
        </w:tc>
        <w:tc>
          <w:tcPr>
            <w:tcW w:w="2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11.9</w:t>
            </w:r>
          </w:p>
        </w:tc>
        <w:tc>
          <w:tcPr>
            <w:tcW w:w="3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60.9</w:t>
            </w: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(25.0)</w:t>
            </w:r>
          </w:p>
        </w:tc>
        <w:tc>
          <w:tcPr>
            <w:tcW w:w="28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35.9</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Other comprehensive loss</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(227.5)</w:t>
            </w:r>
          </w:p>
        </w:tc>
        <w:tc>
          <w:tcPr>
            <w:tcW w:w="440" w:type="dxa"/>
            <w:vAlign w:val="bottom"/>
            <w:gridSpan w:val="2"/>
            <w:shd w:val="clear" w:color="auto" w:fill="CCEEFF"/>
          </w:tcPr>
          <w:p>
            <w:pPr>
              <w:jc w:val="center"/>
              <w:spacing w:after="0"/>
              <w:rPr>
                <w:sz w:val="20"/>
                <w:szCs w:val="20"/>
                <w:color w:val="auto"/>
              </w:rPr>
            </w:pPr>
            <w:r>
              <w:rPr>
                <w:rFonts w:ascii="Arial" w:cs="Arial" w:eastAsia="Arial" w:hAnsi="Arial"/>
                <w:sz w:val="18"/>
                <w:szCs w:val="18"/>
                <w:b w:val="1"/>
                <w:bCs w:val="1"/>
                <w:color w:val="auto"/>
                <w:w w:val="79"/>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15.8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(211.7)</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(724.8)</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960" w:type="dxa"/>
            <w:vAlign w:val="bottom"/>
            <w:tcBorders>
              <w:right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141.3</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(583.5)</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gridSpan w:val="2"/>
          </w:tcPr>
          <w:p>
            <w:pPr>
              <w:jc w:val="center"/>
              <w:spacing w:after="0"/>
              <w:rPr>
                <w:sz w:val="20"/>
                <w:szCs w:val="20"/>
                <w:color w:val="auto"/>
              </w:rPr>
            </w:pPr>
            <w:r>
              <w:rPr>
                <w:rFonts w:ascii="Arial" w:cs="Arial" w:eastAsia="Arial" w:hAnsi="Arial"/>
                <w:sz w:val="18"/>
                <w:szCs w:val="18"/>
                <w:color w:val="auto"/>
                <w:w w:val="89"/>
              </w:rPr>
              <w:t>46</w:t>
            </w: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42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90" w:lineRule="exact"/>
        <w:rPr>
          <w:sz w:val="20"/>
          <w:szCs w:val="20"/>
          <w:color w:val="auto"/>
        </w:rPr>
      </w:pPr>
    </w:p>
    <w:tbl>
      <w:tblPr>
        <w:tblLayout w:type="fixed"/>
        <w:tblInd w:w="4420" w:type="dxa"/>
        <w:tblCellMar>
          <w:top w:w="0" w:type="dxa"/>
          <w:left w:w="0" w:type="dxa"/>
          <w:bottom w:w="0" w:type="dxa"/>
          <w:right w:w="0" w:type="dxa"/>
        </w:tblCellMar>
      </w:tblPr>
      <w:tr>
        <w:trPr>
          <w:trHeight w:val="161"/>
        </w:trPr>
        <w:tc>
          <w:tcPr>
            <w:tcW w:w="760" w:type="dxa"/>
            <w:vAlign w:val="bottom"/>
          </w:tcPr>
          <w:p>
            <w:pPr>
              <w:spacing w:after="0"/>
              <w:rPr>
                <w:sz w:val="14"/>
                <w:szCs w:val="14"/>
                <w:color w:val="auto"/>
              </w:rPr>
            </w:pPr>
          </w:p>
        </w:tc>
        <w:tc>
          <w:tcPr>
            <w:tcW w:w="1780" w:type="dxa"/>
            <w:vAlign w:val="bottom"/>
          </w:tcPr>
          <w:p>
            <w:pPr>
              <w:jc w:val="center"/>
              <w:spacing w:after="0"/>
              <w:rPr>
                <w:sz w:val="20"/>
                <w:szCs w:val="20"/>
                <w:color w:val="auto"/>
              </w:rPr>
            </w:pPr>
            <w:r>
              <w:rPr>
                <w:rFonts w:ascii="Arial" w:cs="Arial" w:eastAsia="Arial" w:hAnsi="Arial"/>
                <w:sz w:val="14"/>
                <w:szCs w:val="14"/>
                <w:b w:val="1"/>
                <w:bCs w:val="1"/>
                <w:color w:val="auto"/>
                <w:w w:val="91"/>
              </w:rPr>
              <w:t>For the three months ended</w:t>
            </w:r>
          </w:p>
        </w:tc>
        <w:tc>
          <w:tcPr>
            <w:tcW w:w="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740" w:type="dxa"/>
            <w:vAlign w:val="bottom"/>
          </w:tcPr>
          <w:p>
            <w:pPr>
              <w:jc w:val="center"/>
              <w:spacing w:after="0"/>
              <w:rPr>
                <w:sz w:val="20"/>
                <w:szCs w:val="20"/>
                <w:color w:val="auto"/>
              </w:rPr>
            </w:pPr>
            <w:r>
              <w:rPr>
                <w:rFonts w:ascii="Arial" w:cs="Arial" w:eastAsia="Arial" w:hAnsi="Arial"/>
                <w:sz w:val="14"/>
                <w:szCs w:val="14"/>
                <w:b w:val="1"/>
                <w:bCs w:val="1"/>
                <w:color w:val="auto"/>
                <w:w w:val="92"/>
              </w:rPr>
              <w:t>For the nine months ended</w:t>
            </w:r>
          </w:p>
        </w:tc>
        <w:tc>
          <w:tcPr>
            <w:tcW w:w="800" w:type="dxa"/>
            <w:vAlign w:val="bottom"/>
          </w:tcPr>
          <w:p>
            <w:pPr>
              <w:spacing w:after="0"/>
              <w:rPr>
                <w:sz w:val="14"/>
                <w:szCs w:val="14"/>
                <w:color w:val="auto"/>
              </w:rPr>
            </w:pPr>
          </w:p>
        </w:tc>
      </w:tr>
      <w:tr>
        <w:trPr>
          <w:trHeight w:val="171"/>
        </w:trPr>
        <w:tc>
          <w:tcPr>
            <w:tcW w:w="76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September 30, 2014</w:t>
            </w:r>
          </w:p>
        </w:tc>
        <w:tc>
          <w:tcPr>
            <w:tcW w:w="780" w:type="dxa"/>
            <w:vAlign w:val="bottom"/>
            <w:tcBorders>
              <w:bottom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September 30, 2014</w:t>
            </w:r>
          </w:p>
        </w:tc>
        <w:tc>
          <w:tcPr>
            <w:tcW w:w="800" w:type="dxa"/>
            <w:vAlign w:val="bottom"/>
            <w:tcBorders>
              <w:bottom w:val="single" w:sz="8" w:color="auto"/>
            </w:tcBorders>
          </w:tcPr>
          <w:p>
            <w:pPr>
              <w:spacing w:after="0"/>
              <w:rPr>
                <w:sz w:val="14"/>
                <w:szCs w:val="14"/>
                <w:color w:val="auto"/>
              </w:rPr>
            </w:pPr>
          </w:p>
        </w:tc>
      </w:tr>
      <w:tr>
        <w:trPr>
          <w:trHeight w:val="142"/>
        </w:trPr>
        <w:tc>
          <w:tcPr>
            <w:tcW w:w="760" w:type="dxa"/>
            <w:vAlign w:val="bottom"/>
            <w:tcBorders>
              <w:bottom w:val="single" w:sz="8" w:color="auto"/>
            </w:tcBorders>
          </w:tcPr>
          <w:p>
            <w:pPr>
              <w:ind w:left="220"/>
              <w:spacing w:after="0" w:line="142" w:lineRule="exact"/>
              <w:rPr>
                <w:sz w:val="20"/>
                <w:szCs w:val="20"/>
                <w:color w:val="auto"/>
              </w:rPr>
            </w:pPr>
            <w:r>
              <w:rPr>
                <w:rFonts w:ascii="Arial" w:cs="Arial" w:eastAsia="Arial" w:hAnsi="Arial"/>
                <w:sz w:val="14"/>
                <w:szCs w:val="14"/>
                <w:b w:val="1"/>
                <w:bCs w:val="1"/>
                <w:color w:val="auto"/>
              </w:rPr>
              <w:t>Pre-Tax</w:t>
            </w:r>
          </w:p>
        </w:tc>
        <w:tc>
          <w:tcPr>
            <w:tcW w:w="1780" w:type="dxa"/>
            <w:vAlign w:val="bottom"/>
            <w:tcBorders>
              <w:bottom w:val="single" w:sz="8" w:color="auto"/>
            </w:tcBorders>
          </w:tcPr>
          <w:p>
            <w:pPr>
              <w:ind w:left="820"/>
              <w:spacing w:after="0" w:line="142" w:lineRule="exact"/>
              <w:rPr>
                <w:sz w:val="20"/>
                <w:szCs w:val="20"/>
                <w:color w:val="auto"/>
              </w:rPr>
            </w:pPr>
            <w:r>
              <w:rPr>
                <w:rFonts w:ascii="Arial" w:cs="Arial" w:eastAsia="Arial" w:hAnsi="Arial"/>
                <w:sz w:val="14"/>
                <w:szCs w:val="14"/>
                <w:b w:val="1"/>
                <w:bCs w:val="1"/>
                <w:color w:val="auto"/>
              </w:rPr>
              <w:t>Tax</w:t>
            </w:r>
          </w:p>
        </w:tc>
        <w:tc>
          <w:tcPr>
            <w:tcW w:w="780" w:type="dxa"/>
            <w:vAlign w:val="bottom"/>
            <w:tcBorders>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After-Tax</w:t>
            </w:r>
          </w:p>
        </w:tc>
        <w:tc>
          <w:tcPr>
            <w:tcW w:w="30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ind w:left="200"/>
              <w:spacing w:after="0" w:line="142" w:lineRule="exact"/>
              <w:rPr>
                <w:sz w:val="20"/>
                <w:szCs w:val="20"/>
                <w:color w:val="auto"/>
              </w:rPr>
            </w:pPr>
            <w:r>
              <w:rPr>
                <w:rFonts w:ascii="Arial" w:cs="Arial" w:eastAsia="Arial" w:hAnsi="Arial"/>
                <w:sz w:val="14"/>
                <w:szCs w:val="14"/>
                <w:b w:val="1"/>
                <w:bCs w:val="1"/>
                <w:color w:val="auto"/>
              </w:rPr>
              <w:t>Pre-Tax</w:t>
            </w:r>
          </w:p>
        </w:tc>
        <w:tc>
          <w:tcPr>
            <w:tcW w:w="174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0"/>
              </w:rPr>
              <w:t>Tax</w:t>
            </w:r>
          </w:p>
        </w:tc>
        <w:tc>
          <w:tcPr>
            <w:tcW w:w="800" w:type="dxa"/>
            <w:vAlign w:val="bottom"/>
            <w:tcBorders>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After-Tax</w:t>
            </w:r>
          </w:p>
        </w:tc>
      </w:tr>
    </w:tbl>
    <w:p>
      <w:pPr>
        <w:sectPr>
          <w:pgSz w:w="11900" w:h="16870" w:orient="portrait"/>
          <w:cols w:equalWidth="0" w:num="1">
            <w:col w:w="11460"/>
          </w:cols>
          <w:pgMar w:left="240" w:top="125" w:right="199" w:bottom="0" w:gutter="0" w:footer="0" w:header="0"/>
        </w:sectPr>
      </w:pPr>
    </w:p>
    <w:bookmarkStart w:id="34" w:name="page35"/>
    <w:bookmarkEnd w:id="34"/>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20" w:type="dxa"/>
            <w:vAlign w:val="bottom"/>
            <w:gridSpan w:val="3"/>
          </w:tcPr>
          <w:p>
            <w:pPr>
              <w:jc w:val="right"/>
              <w:ind w:right="5"/>
              <w:spacing w:after="0"/>
              <w:rPr>
                <w:sz w:val="20"/>
                <w:szCs w:val="20"/>
                <w:color w:val="auto"/>
              </w:rPr>
            </w:pPr>
            <w:r>
              <w:rPr>
                <w:rFonts w:ascii="Arial" w:cs="Arial" w:eastAsia="Arial" w:hAnsi="Arial"/>
                <w:sz w:val="14"/>
                <w:szCs w:val="14"/>
                <w:b w:val="1"/>
                <w:bCs w:val="1"/>
                <w:color w:val="auto"/>
              </w:rPr>
              <w:t>(in millions)</w:t>
            </w: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Net unrealized gains (losses) on available-for-sale</w:t>
            </w: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securities during the period</w:t>
            </w: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(301.8)</w:t>
            </w: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103.8</w:t>
            </w: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(198.0)</w:t>
            </w:r>
          </w:p>
        </w:tc>
        <w:tc>
          <w:tcPr>
            <w:tcW w:w="28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9"/>
              </w:rPr>
              <w:t>1,009.9</w:t>
            </w:r>
          </w:p>
        </w:tc>
        <w:tc>
          <w:tcPr>
            <w:tcW w:w="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(340.7)</w:t>
            </w:r>
          </w:p>
        </w:tc>
        <w:tc>
          <w:tcPr>
            <w:tcW w:w="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669.2</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w w:val="93"/>
              </w:rPr>
              <w:t>Reclassification adjustment for (gains) losses included in</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net income (1)</w:t>
            </w: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8"/>
                <w:szCs w:val="18"/>
                <w:color w:val="auto"/>
              </w:rPr>
              <w:t>4.3</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2.9</w:t>
            </w: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(57.4)</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18.8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(38.6)</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Adjustments for assumed changes in amortization</w:t>
            </w: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patterns</w:t>
            </w:r>
          </w:p>
        </w:tc>
        <w:tc>
          <w:tcPr>
            <w:tcW w:w="14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28.2</w:t>
            </w: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18.4</w:t>
            </w: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(71.0)</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24.9</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(46.1)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Adjustments for assumed changes in policyholder</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liabilities</w:t>
            </w: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8"/>
                <w:szCs w:val="18"/>
                <w:color w:val="auto"/>
              </w:rPr>
              <w:t>149.8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(47.0)</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102.8</w:t>
            </w: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(434.7)</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146.8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(287.9)</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4260" w:type="dxa"/>
            <w:vAlign w:val="bottom"/>
            <w:tcBorders>
              <w:top w:val="single" w:sz="8" w:color="CCEEFF"/>
            </w:tcBorders>
            <w:shd w:val="clear" w:color="auto" w:fill="CCEEFF"/>
          </w:tcPr>
          <w:p>
            <w:pPr>
              <w:spacing w:after="0" w:line="182" w:lineRule="exact"/>
              <w:rPr>
                <w:sz w:val="20"/>
                <w:szCs w:val="20"/>
                <w:color w:val="auto"/>
              </w:rPr>
            </w:pPr>
            <w:r>
              <w:rPr>
                <w:rFonts w:ascii="Arial" w:cs="Arial" w:eastAsia="Arial" w:hAnsi="Arial"/>
                <w:sz w:val="18"/>
                <w:szCs w:val="18"/>
                <w:color w:val="auto"/>
              </w:rPr>
              <w:t>Net unrealized gains (losses) on available-for-sale</w:t>
            </w:r>
          </w:p>
        </w:tc>
        <w:tc>
          <w:tcPr>
            <w:tcW w:w="14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66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62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spacing w:after="0"/>
              <w:rPr>
                <w:sz w:val="15"/>
                <w:szCs w:val="15"/>
                <w:color w:val="auto"/>
              </w:rPr>
            </w:pPr>
          </w:p>
        </w:tc>
        <w:tc>
          <w:tcPr>
            <w:tcW w:w="64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62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spacing w:after="0"/>
              <w:rPr>
                <w:sz w:val="15"/>
                <w:szCs w:val="15"/>
                <w:color w:val="auto"/>
              </w:rPr>
            </w:pPr>
          </w:p>
        </w:tc>
        <w:tc>
          <w:tcPr>
            <w:tcW w:w="64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6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securities</w:t>
            </w:r>
          </w:p>
        </w:tc>
        <w:tc>
          <w:tcPr>
            <w:tcW w:w="14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(119.5)</w:t>
            </w: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45.6</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(73.9)</w:t>
            </w: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446.8</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(150.2)</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296.6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Noncredit component of impairment losses on fixed</w:t>
            </w: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maturities, available-for-sale during the period</w:t>
            </w:r>
          </w:p>
        </w:tc>
        <w:tc>
          <w:tcPr>
            <w:tcW w:w="14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14.7</w:t>
            </w: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9.7</w:t>
            </w: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82.6</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(29.3)</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Adjustments for assumed changes in amortization</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patterns</w:t>
            </w: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8"/>
                <w:szCs w:val="18"/>
                <w:color w:val="auto"/>
              </w:rPr>
              <w:t>3.1</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1.9</w:t>
            </w: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(5.3)</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Adjustments for assumed changes in policyholder</w:t>
            </w: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liabilities</w:t>
            </w:r>
          </w:p>
        </w:tc>
        <w:tc>
          <w:tcPr>
            <w:tcW w:w="14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(0.9)</w:t>
            </w: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0.3</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(0.6)</w:t>
            </w: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0.5</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4260" w:type="dxa"/>
            <w:vAlign w:val="bottom"/>
          </w:tcPr>
          <w:p>
            <w:pPr>
              <w:spacing w:after="0" w:line="182" w:lineRule="exact"/>
              <w:rPr>
                <w:sz w:val="20"/>
                <w:szCs w:val="20"/>
                <w:color w:val="auto"/>
              </w:rPr>
            </w:pPr>
            <w:r>
              <w:rPr>
                <w:rFonts w:ascii="Arial" w:cs="Arial" w:eastAsia="Arial" w:hAnsi="Arial"/>
                <w:sz w:val="18"/>
                <w:szCs w:val="18"/>
                <w:color w:val="auto"/>
              </w:rPr>
              <w:t>Noncredit component of impairment losses on fixed</w:t>
            </w:r>
          </w:p>
        </w:tc>
        <w:tc>
          <w:tcPr>
            <w:tcW w:w="14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660" w:type="dxa"/>
            <w:vAlign w:val="bottom"/>
            <w:tcBorders>
              <w:top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maturities, available-for-sale (2)</w:t>
            </w: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8"/>
                <w:szCs w:val="18"/>
                <w:color w:val="auto"/>
              </w:rPr>
              <w:t>16.9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(5.9)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11.0</w:t>
            </w:r>
          </w:p>
        </w:tc>
        <w:tc>
          <w:tcPr>
            <w:tcW w:w="280" w:type="dxa"/>
            <w:vAlign w:val="bottom"/>
          </w:tcPr>
          <w:p>
            <w:pPr>
              <w:spacing w:after="0"/>
              <w:rPr>
                <w:sz w:val="20"/>
                <w:szCs w:val="20"/>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75.8</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(26.9)</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48.9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w w:val="99"/>
              </w:rPr>
              <w:t>Net unrealized gains on derivative instruments during</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the period</w:t>
            </w: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8"/>
                <w:szCs w:val="18"/>
                <w:color w:val="auto"/>
              </w:rPr>
              <w:t>48.4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(17.0)</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31.4</w:t>
            </w:r>
          </w:p>
        </w:tc>
        <w:tc>
          <w:tcPr>
            <w:tcW w:w="280" w:type="dxa"/>
            <w:vAlign w:val="bottom"/>
          </w:tcPr>
          <w:p>
            <w:pPr>
              <w:spacing w:after="0"/>
              <w:rPr>
                <w:sz w:val="20"/>
                <w:szCs w:val="20"/>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67.7</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(23.8)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43.9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Reclassification adjustment for (gains) losses included in</w:t>
            </w: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income (3)</w:t>
            </w:r>
          </w:p>
        </w:tc>
        <w:tc>
          <w:tcPr>
            <w:tcW w:w="14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w:t>
            </w: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0.6</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w:t>
            </w: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6.3</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(2.4)</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Adjustments for assumed changes in amortization</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patterns</w:t>
            </w: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rPr>
              <w:t>(8.4)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8"/>
                <w:szCs w:val="18"/>
                <w:color w:val="auto"/>
              </w:rPr>
              <w:t>(5.5)</w:t>
            </w: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(8.9)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Adjustments for assumed changes in policyholder</w:t>
            </w: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liabilities</w:t>
            </w:r>
          </w:p>
        </w:tc>
        <w:tc>
          <w:tcPr>
            <w:tcW w:w="14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1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4.5</w:t>
            </w:r>
          </w:p>
        </w:tc>
        <w:tc>
          <w:tcPr>
            <w:tcW w:w="28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0.4</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60" w:type="dxa"/>
            <w:vAlign w:val="bottom"/>
            <w:vMerge w:val="restart"/>
          </w:tcPr>
          <w:p>
            <w:pPr>
              <w:spacing w:after="0"/>
              <w:rPr>
                <w:sz w:val="20"/>
                <w:szCs w:val="20"/>
                <w:color w:val="auto"/>
              </w:rPr>
            </w:pPr>
            <w:r>
              <w:rPr>
                <w:rFonts w:ascii="Arial" w:cs="Arial" w:eastAsia="Arial" w:hAnsi="Arial"/>
                <w:sz w:val="18"/>
                <w:szCs w:val="18"/>
                <w:color w:val="auto"/>
              </w:rPr>
              <w:t>Net unrealized gains on derivative instruments</w:t>
            </w:r>
          </w:p>
        </w:tc>
        <w:tc>
          <w:tcPr>
            <w:tcW w:w="14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45.1</w:t>
            </w:r>
          </w:p>
        </w:tc>
        <w:tc>
          <w:tcPr>
            <w:tcW w:w="1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(15.9)</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29.2</w:t>
            </w:r>
          </w:p>
        </w:tc>
        <w:tc>
          <w:tcPr>
            <w:tcW w:w="30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65.5</w:t>
            </w:r>
          </w:p>
        </w:tc>
        <w:tc>
          <w:tcPr>
            <w:tcW w:w="1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(23.2)</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42.3</w:t>
            </w:r>
          </w:p>
        </w:tc>
        <w:tc>
          <w:tcPr>
            <w:tcW w:w="1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Foreign currency translation adjustment</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rPr>
              <w:t>(210.3)</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14.5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8"/>
                <w:szCs w:val="18"/>
                <w:color w:val="auto"/>
              </w:rPr>
              <w:t>(195.8)</w:t>
            </w:r>
          </w:p>
        </w:tc>
        <w:tc>
          <w:tcPr>
            <w:tcW w:w="28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(231.2)</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22.8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(208.4)</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260" w:type="dxa"/>
            <w:vAlign w:val="bottom"/>
          </w:tcPr>
          <w:p>
            <w:pPr>
              <w:spacing w:after="0" w:line="201" w:lineRule="exact"/>
              <w:rPr>
                <w:sz w:val="20"/>
                <w:szCs w:val="20"/>
                <w:color w:val="auto"/>
              </w:rPr>
            </w:pPr>
            <w:r>
              <w:rPr>
                <w:rFonts w:ascii="Arial" w:cs="Arial" w:eastAsia="Arial" w:hAnsi="Arial"/>
                <w:sz w:val="18"/>
                <w:szCs w:val="18"/>
                <w:color w:val="auto"/>
              </w:rPr>
              <w:t>Amortization of prior service cost and actuarial loss</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included in net periodic benefit cost (4)</w:t>
            </w: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8"/>
                <w:szCs w:val="18"/>
                <w:color w:val="auto"/>
              </w:rPr>
              <w:t>5.5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3.6</w:t>
            </w:r>
          </w:p>
        </w:tc>
        <w:tc>
          <w:tcPr>
            <w:tcW w:w="280" w:type="dxa"/>
            <w:vAlign w:val="bottom"/>
          </w:tcPr>
          <w:p>
            <w:pPr>
              <w:spacing w:after="0"/>
              <w:rPr>
                <w:sz w:val="20"/>
                <w:szCs w:val="20"/>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16.5</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unrecognized postretirement benefit obligation</w:t>
            </w:r>
          </w:p>
        </w:tc>
        <w:tc>
          <w:tcPr>
            <w:tcW w:w="14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3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16.5</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Other comprehensive income (loss)</w:t>
            </w: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(262.3)</w:t>
            </w: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36.4</w:t>
            </w: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(225.9)</w:t>
            </w:r>
          </w:p>
        </w:tc>
        <w:tc>
          <w:tcPr>
            <w:tcW w:w="28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373.4</w:t>
            </w:r>
          </w:p>
        </w:tc>
        <w:tc>
          <w:tcPr>
            <w:tcW w:w="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(183.3)</w:t>
            </w:r>
          </w:p>
        </w:tc>
        <w:tc>
          <w:tcPr>
            <w:tcW w:w="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40" w:right="760" w:hanging="332"/>
        <w:spacing w:after="0" w:line="258" w:lineRule="auto"/>
        <w:tabs>
          <w:tab w:leader="none" w:pos="347" w:val="left"/>
        </w:tabs>
        <w:numPr>
          <w:ilvl w:val="0"/>
          <w:numId w:val="18"/>
        </w:numPr>
        <w:rPr>
          <w:rFonts w:ascii="Arial" w:cs="Arial" w:eastAsia="Arial" w:hAnsi="Arial"/>
          <w:sz w:val="18"/>
          <w:szCs w:val="18"/>
          <w:color w:val="auto"/>
        </w:rPr>
      </w:pPr>
      <w:r>
        <w:rPr>
          <w:rFonts w:ascii="Arial" w:cs="Arial" w:eastAsia="Arial" w:hAnsi="Arial"/>
          <w:sz w:val="18"/>
          <w:szCs w:val="18"/>
          <w:color w:val="auto"/>
        </w:rPr>
        <w:t>Pre-tax reclassification adjustments relating to available-for-sale securities are reported in net realized capital gains (losses) on the consolidated statements of operations.</w:t>
      </w:r>
    </w:p>
    <w:p>
      <w:pPr>
        <w:spacing w:after="0" w:line="1" w:lineRule="exact"/>
        <w:rPr>
          <w:rFonts w:ascii="Arial" w:cs="Arial" w:eastAsia="Arial" w:hAnsi="Arial"/>
          <w:sz w:val="18"/>
          <w:szCs w:val="18"/>
          <w:color w:val="auto"/>
        </w:rPr>
      </w:pPr>
    </w:p>
    <w:p>
      <w:pPr>
        <w:ind w:left="340" w:right="60" w:hanging="332"/>
        <w:spacing w:after="0" w:line="250" w:lineRule="auto"/>
        <w:tabs>
          <w:tab w:leader="none" w:pos="347"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Represents the net impact of (1) unrealized gains resulting from reclassification of previously recognized noncredit impairment losses from OCI to net realized capital gains (losses) for fixed maturities with bifurcated OTTI that had additional credit losses or fixed maturities that previously had bifurcated OTTI that have now been sold or are intended to be sold and (2) unrealized losses resulting from reclassification of noncredit impairment losses for fixed maturities with bifurcated OTTI from net realized capital gains (losses) to OCI.</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See Note 4, Derivative Financial Instruments — Cash Flow Hedges, for further details.</w:t>
      </w:r>
    </w:p>
    <w:p>
      <w:pPr>
        <w:spacing w:after="0" w:line="9" w:lineRule="exact"/>
        <w:rPr>
          <w:rFonts w:ascii="Arial" w:cs="Arial" w:eastAsia="Arial" w:hAnsi="Arial"/>
          <w:sz w:val="18"/>
          <w:szCs w:val="18"/>
          <w:color w:val="auto"/>
        </w:rPr>
      </w:pPr>
    </w:p>
    <w:p>
      <w:pPr>
        <w:ind w:left="340" w:right="80" w:hanging="332"/>
        <w:spacing w:after="0" w:line="255" w:lineRule="auto"/>
        <w:tabs>
          <w:tab w:leader="none" w:pos="347" w:val="left"/>
        </w:tabs>
        <w:numPr>
          <w:ilvl w:val="0"/>
          <w:numId w:val="18"/>
        </w:numPr>
        <w:rPr>
          <w:rFonts w:ascii="Arial" w:cs="Arial" w:eastAsia="Arial" w:hAnsi="Arial"/>
          <w:sz w:val="18"/>
          <w:szCs w:val="18"/>
          <w:color w:val="auto"/>
        </w:rPr>
      </w:pPr>
      <w:r>
        <w:rPr>
          <w:rFonts w:ascii="Arial" w:cs="Arial" w:eastAsia="Arial" w:hAnsi="Arial"/>
          <w:sz w:val="18"/>
          <w:szCs w:val="18"/>
          <w:color w:val="auto"/>
        </w:rPr>
        <w:t>Pre-tax amortization of prior service cost and actuarial loss included in net periodic benefit cost, which is comprised of amortization of prior service cost (benefit) and recognized net actuarial (gain) loss, is reported in operating expenses on the consolidated statements of operations. See Note 7, Employee and Agent Benefits — Components of Net Periodic Benefit Cost, for further details.</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Accumulated Other Comprehensive Income (Loss)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4"/>
              </w:rPr>
              <w:t>Net unrealized</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Noncredit</w:t>
            </w:r>
          </w:p>
        </w:tc>
        <w:tc>
          <w:tcPr>
            <w:tcW w:w="100" w:type="dxa"/>
            <w:vAlign w:val="bottom"/>
          </w:tcPr>
          <w:p>
            <w:pPr>
              <w:spacing w:after="0"/>
              <w:rPr>
                <w:sz w:val="14"/>
                <w:szCs w:val="14"/>
                <w:color w:val="auto"/>
              </w:rPr>
            </w:pPr>
          </w:p>
        </w:tc>
        <w:tc>
          <w:tcPr>
            <w:tcW w:w="13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4"/>
              </w:rPr>
              <w:t>Net unrealized</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3"/>
              </w:rPr>
              <w:t>Foreign</w:t>
            </w:r>
          </w:p>
        </w:tc>
        <w:tc>
          <w:tcPr>
            <w:tcW w:w="100" w:type="dxa"/>
            <w:vAlign w:val="bottom"/>
          </w:tcPr>
          <w:p>
            <w:pPr>
              <w:spacing w:after="0"/>
              <w:rPr>
                <w:sz w:val="14"/>
                <w:szCs w:val="14"/>
                <w:color w:val="auto"/>
              </w:rPr>
            </w:pPr>
          </w:p>
        </w:tc>
        <w:tc>
          <w:tcPr>
            <w:tcW w:w="11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0"/>
              </w:rPr>
              <w:t>Unrecognized</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3"/>
              </w:rPr>
              <w:t>Accumulated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component of</w:t>
            </w:r>
          </w:p>
        </w:tc>
        <w:tc>
          <w:tcPr>
            <w:tcW w:w="100" w:type="dxa"/>
            <w:vAlign w:val="bottom"/>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gains on</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impairment losses</w:t>
            </w:r>
          </w:p>
        </w:tc>
        <w:tc>
          <w:tcPr>
            <w:tcW w:w="100" w:type="dxa"/>
            <w:vAlign w:val="bottom"/>
          </w:tcPr>
          <w:p>
            <w:pPr>
              <w:spacing w:after="0"/>
              <w:rPr>
                <w:sz w:val="12"/>
                <w:szCs w:val="12"/>
                <w:color w:val="auto"/>
              </w:rPr>
            </w:pPr>
          </w:p>
        </w:tc>
        <w:tc>
          <w:tcPr>
            <w:tcW w:w="13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gains (losses) on</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4"/>
              </w:rPr>
              <w:t>currency</w:t>
            </w:r>
          </w:p>
        </w:tc>
        <w:tc>
          <w:tcPr>
            <w:tcW w:w="100" w:type="dxa"/>
            <w:vAlign w:val="bottom"/>
          </w:tcPr>
          <w:p>
            <w:pPr>
              <w:spacing w:after="0"/>
              <w:rPr>
                <w:sz w:val="12"/>
                <w:szCs w:val="12"/>
                <w:color w:val="auto"/>
              </w:rPr>
            </w:pPr>
          </w:p>
        </w:tc>
        <w:tc>
          <w:tcPr>
            <w:tcW w:w="11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postretirement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1"/>
              </w:rPr>
              <w:t>other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available-for-sale</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on fixed maturities</w:t>
            </w:r>
          </w:p>
        </w:tc>
        <w:tc>
          <w:tcPr>
            <w:tcW w:w="100" w:type="dxa"/>
            <w:vAlign w:val="bottom"/>
          </w:tcPr>
          <w:p>
            <w:pPr>
              <w:spacing w:after="0"/>
              <w:rPr>
                <w:sz w:val="12"/>
                <w:szCs w:val="12"/>
                <w:color w:val="auto"/>
              </w:rPr>
            </w:pPr>
          </w:p>
        </w:tc>
        <w:tc>
          <w:tcPr>
            <w:tcW w:w="13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derivative</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4"/>
              </w:rPr>
              <w:t>translation</w:t>
            </w:r>
          </w:p>
        </w:tc>
        <w:tc>
          <w:tcPr>
            <w:tcW w:w="100" w:type="dxa"/>
            <w:vAlign w:val="bottom"/>
          </w:tcPr>
          <w:p>
            <w:pPr>
              <w:spacing w:after="0"/>
              <w:rPr>
                <w:sz w:val="12"/>
                <w:szCs w:val="12"/>
                <w:color w:val="auto"/>
              </w:rPr>
            </w:pPr>
          </w:p>
        </w:tc>
        <w:tc>
          <w:tcPr>
            <w:tcW w:w="11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benefit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securities</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available-for-sale</w:t>
            </w:r>
          </w:p>
        </w:tc>
        <w:tc>
          <w:tcPr>
            <w:tcW w:w="100" w:type="dxa"/>
            <w:vAlign w:val="bottom"/>
          </w:tcPr>
          <w:p>
            <w:pPr>
              <w:spacing w:after="0"/>
              <w:rPr>
                <w:sz w:val="14"/>
                <w:szCs w:val="14"/>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instruments</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adjustment</w:t>
            </w:r>
          </w:p>
        </w:tc>
        <w:tc>
          <w:tcPr>
            <w:tcW w:w="100" w:type="dxa"/>
            <w:vAlign w:val="bottom"/>
          </w:tcPr>
          <w:p>
            <w:pPr>
              <w:spacing w:after="0"/>
              <w:rPr>
                <w:sz w:val="14"/>
                <w:szCs w:val="14"/>
                <w:color w:val="auto"/>
              </w:rPr>
            </w:pPr>
          </w:p>
        </w:tc>
        <w:tc>
          <w:tcPr>
            <w:tcW w:w="11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obligation</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8"/>
              </w:rPr>
              <w:t>income (loss)</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262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6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38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gridSpan w:val="2"/>
          </w:tcPr>
          <w:p>
            <w:pPr>
              <w:jc w:val="right"/>
              <w:ind w:right="80"/>
              <w:spacing w:after="0"/>
              <w:rPr>
                <w:sz w:val="20"/>
                <w:szCs w:val="20"/>
                <w:color w:val="auto"/>
              </w:rPr>
            </w:pPr>
            <w:r>
              <w:rPr>
                <w:rFonts w:ascii="Arial" w:cs="Arial" w:eastAsia="Arial" w:hAnsi="Arial"/>
                <w:sz w:val="14"/>
                <w:szCs w:val="14"/>
                <w:b w:val="1"/>
                <w:bCs w:val="1"/>
                <w:color w:val="auto"/>
              </w:rPr>
              <w:t>(in millions)</w:t>
            </w:r>
          </w:p>
        </w:tc>
        <w:tc>
          <w:tcPr>
            <w:tcW w:w="6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1"/>
        </w:trPr>
        <w:tc>
          <w:tcPr>
            <w:tcW w:w="20" w:type="dxa"/>
            <w:vAlign w:val="bottom"/>
            <w:vMerge w:val="restart"/>
          </w:tcPr>
          <w:p>
            <w:pPr>
              <w:spacing w:after="0"/>
              <w:rPr>
                <w:sz w:val="9"/>
                <w:szCs w:val="9"/>
                <w:color w:val="auto"/>
              </w:rPr>
            </w:pPr>
          </w:p>
        </w:tc>
        <w:tc>
          <w:tcPr>
            <w:tcW w:w="26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6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Balances at January 1, 2014</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878.1</w:t>
            </w: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(167.0)</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3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(10.5)</w:t>
            </w:r>
          </w:p>
        </w:tc>
        <w:tc>
          <w:tcPr>
            <w:tcW w:w="200" w:type="dxa"/>
            <w:vAlign w:val="bottom"/>
            <w:gridSpan w:val="2"/>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12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(361.5)</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(155.9)</w:t>
            </w: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183.2</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620" w:type="dxa"/>
            <w:vAlign w:val="bottom"/>
          </w:tcPr>
          <w:p>
            <w:pPr>
              <w:spacing w:after="0" w:line="130" w:lineRule="exact"/>
              <w:rPr>
                <w:sz w:val="20"/>
                <w:szCs w:val="20"/>
                <w:color w:val="auto"/>
              </w:rPr>
            </w:pPr>
            <w:r>
              <w:rPr>
                <w:rFonts w:ascii="Arial" w:cs="Arial" w:eastAsia="Arial" w:hAnsi="Arial"/>
                <w:sz w:val="14"/>
                <w:szCs w:val="14"/>
                <w:color w:val="auto"/>
              </w:rPr>
              <w:t>Other comprehensive income during the</w:t>
            </w: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20" w:type="dxa"/>
            <w:vAlign w:val="bottom"/>
          </w:tcPr>
          <w:p>
            <w:pPr>
              <w:ind w:left="160"/>
              <w:spacing w:after="0"/>
              <w:rPr>
                <w:sz w:val="20"/>
                <w:szCs w:val="20"/>
                <w:color w:val="auto"/>
              </w:rPr>
            </w:pPr>
            <w:r>
              <w:rPr>
                <w:rFonts w:ascii="Arial" w:cs="Arial" w:eastAsia="Arial" w:hAnsi="Arial"/>
                <w:sz w:val="14"/>
                <w:szCs w:val="14"/>
                <w:color w:val="auto"/>
              </w:rPr>
              <w:t>period, net of adjustments</w:t>
            </w:r>
          </w:p>
        </w:tc>
        <w:tc>
          <w:tcPr>
            <w:tcW w:w="120" w:type="dxa"/>
            <w:vAlign w:val="bottom"/>
          </w:tcPr>
          <w:p>
            <w:pPr>
              <w:spacing w:after="0"/>
              <w:rPr>
                <w:sz w:val="14"/>
                <w:szCs w:val="14"/>
                <w:color w:val="auto"/>
              </w:rPr>
            </w:pPr>
          </w:p>
        </w:tc>
        <w:tc>
          <w:tcPr>
            <w:tcW w:w="1400" w:type="dxa"/>
            <w:vAlign w:val="bottom"/>
            <w:gridSpan w:val="2"/>
          </w:tcPr>
          <w:p>
            <w:pPr>
              <w:jc w:val="right"/>
              <w:ind w:right="140"/>
              <w:spacing w:after="0"/>
              <w:rPr>
                <w:sz w:val="20"/>
                <w:szCs w:val="20"/>
                <w:color w:val="auto"/>
              </w:rPr>
            </w:pPr>
            <w:r>
              <w:rPr>
                <w:rFonts w:ascii="Arial" w:cs="Arial" w:eastAsia="Arial" w:hAnsi="Arial"/>
                <w:sz w:val="14"/>
                <w:szCs w:val="14"/>
                <w:color w:val="auto"/>
              </w:rPr>
              <w:t>335.2</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4"/>
                <w:szCs w:val="14"/>
                <w:color w:val="auto"/>
              </w:rPr>
              <w:t>38.4</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(201.6)</w:t>
            </w:r>
          </w:p>
        </w:tc>
        <w:tc>
          <w:tcPr>
            <w:tcW w:w="100" w:type="dxa"/>
            <w:vAlign w:val="bottom"/>
          </w:tcPr>
          <w:p>
            <w:pPr>
              <w:spacing w:after="0"/>
              <w:rPr>
                <w:sz w:val="14"/>
                <w:szCs w:val="14"/>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4"/>
                <w:szCs w:val="14"/>
                <w:color w:val="auto"/>
              </w:rPr>
              <w:t>172.0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Amounts reclassified from AOCI</w:t>
            </w:r>
          </w:p>
        </w:tc>
        <w:tc>
          <w:tcPr>
            <w:tcW w:w="12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(38.6)</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48.9</w:t>
            </w:r>
          </w:p>
        </w:tc>
        <w:tc>
          <w:tcPr>
            <w:tcW w:w="10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3.9</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10.7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24.9</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2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color w:val="auto"/>
              </w:rPr>
              <w:t>Other comprehensive income</w:t>
            </w:r>
          </w:p>
        </w:tc>
        <w:tc>
          <w:tcPr>
            <w:tcW w:w="120" w:type="dxa"/>
            <w:vAlign w:val="bottom"/>
            <w:tcBorders>
              <w:top w:val="single" w:sz="8" w:color="auto"/>
              <w:bottom w:val="single" w:sz="8" w:color="auto"/>
            </w:tcBorders>
          </w:tcPr>
          <w:p>
            <w:pPr>
              <w:spacing w:after="0"/>
              <w:rPr>
                <w:sz w:val="12"/>
                <w:szCs w:val="12"/>
                <w:color w:val="auto"/>
              </w:rPr>
            </w:pPr>
          </w:p>
        </w:tc>
        <w:tc>
          <w:tcPr>
            <w:tcW w:w="12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296.6</w:t>
            </w:r>
          </w:p>
        </w:tc>
        <w:tc>
          <w:tcPr>
            <w:tcW w:w="1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3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48.9</w:t>
            </w:r>
          </w:p>
        </w:tc>
        <w:tc>
          <w:tcPr>
            <w:tcW w:w="24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11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42.3</w:t>
            </w:r>
          </w:p>
        </w:tc>
        <w:tc>
          <w:tcPr>
            <w:tcW w:w="18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0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(201.6)</w:t>
            </w:r>
          </w:p>
        </w:tc>
        <w:tc>
          <w:tcPr>
            <w:tcW w:w="20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10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10.7</w:t>
            </w:r>
          </w:p>
        </w:tc>
        <w:tc>
          <w:tcPr>
            <w:tcW w:w="1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196.9</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20" w:type="dxa"/>
            <w:vAlign w:val="bottom"/>
            <w:tcBorders>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Balances at September 30, 2014</w:t>
            </w:r>
          </w:p>
        </w:tc>
        <w:tc>
          <w:tcPr>
            <w:tcW w:w="1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1,174.7</w:t>
            </w:r>
          </w:p>
        </w:tc>
        <w:tc>
          <w:tcPr>
            <w:tcW w:w="14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3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(118.1)</w:t>
            </w:r>
          </w:p>
        </w:tc>
        <w:tc>
          <w:tcPr>
            <w:tcW w:w="24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31.8</w:t>
            </w:r>
          </w:p>
        </w:tc>
        <w:tc>
          <w:tcPr>
            <w:tcW w:w="18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10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(563.1)</w:t>
            </w:r>
          </w:p>
        </w:tc>
        <w:tc>
          <w:tcPr>
            <w:tcW w:w="20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(145.2)</w:t>
            </w:r>
          </w:p>
        </w:tc>
        <w:tc>
          <w:tcPr>
            <w:tcW w:w="14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380.1</w:t>
            </w:r>
          </w:p>
        </w:tc>
        <w:tc>
          <w:tcPr>
            <w:tcW w:w="100" w:type="dxa"/>
            <w:vAlign w:val="bottom"/>
            <w:tcBorders>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vMerge w:val="restart"/>
          </w:tcPr>
          <w:p>
            <w:pPr>
              <w:spacing w:after="0"/>
              <w:rPr>
                <w:sz w:val="11"/>
                <w:szCs w:val="11"/>
                <w:color w:val="auto"/>
              </w:rPr>
            </w:pPr>
          </w:p>
        </w:tc>
        <w:tc>
          <w:tcPr>
            <w:tcW w:w="2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6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Balances at January 1, 2015</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1,202.8</w:t>
            </w:r>
          </w:p>
        </w:tc>
        <w:tc>
          <w:tcPr>
            <w:tcW w:w="2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6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(105.1)</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13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50.6</w:t>
            </w:r>
          </w:p>
        </w:tc>
        <w:tc>
          <w:tcPr>
            <w:tcW w:w="200" w:type="dxa"/>
            <w:vAlign w:val="bottom"/>
            <w:gridSpan w:val="2"/>
            <w:shd w:val="clear" w:color="auto" w:fill="CCEEFF"/>
          </w:tcPr>
          <w:p>
            <w:pPr>
              <w:jc w:val="right"/>
              <w:ind w:right="29"/>
              <w:spacing w:after="0" w:line="149" w:lineRule="exact"/>
              <w:rPr>
                <w:sz w:val="20"/>
                <w:szCs w:val="20"/>
                <w:color w:val="auto"/>
              </w:rPr>
            </w:pPr>
            <w:r>
              <w:rPr>
                <w:rFonts w:ascii="Arial" w:cs="Arial" w:eastAsia="Arial" w:hAnsi="Arial"/>
                <w:sz w:val="14"/>
                <w:szCs w:val="14"/>
                <w:b w:val="1"/>
                <w:bCs w:val="1"/>
                <w:color w:val="auto"/>
              </w:rPr>
              <w:t>$</w:t>
            </w:r>
          </w:p>
        </w:tc>
        <w:tc>
          <w:tcPr>
            <w:tcW w:w="12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b w:val="1"/>
                <w:bCs w:val="1"/>
                <w:color w:val="auto"/>
              </w:rPr>
              <w:t>(686.8)</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1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(411.1)</w:t>
            </w:r>
          </w:p>
        </w:tc>
        <w:tc>
          <w:tcPr>
            <w:tcW w:w="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50.4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620" w:type="dxa"/>
            <w:vAlign w:val="bottom"/>
          </w:tcPr>
          <w:p>
            <w:pPr>
              <w:spacing w:after="0" w:line="130" w:lineRule="exact"/>
              <w:rPr>
                <w:sz w:val="20"/>
                <w:szCs w:val="20"/>
                <w:color w:val="auto"/>
              </w:rPr>
            </w:pPr>
            <w:r>
              <w:rPr>
                <w:rFonts w:ascii="Arial" w:cs="Arial" w:eastAsia="Arial" w:hAnsi="Arial"/>
                <w:sz w:val="14"/>
                <w:szCs w:val="14"/>
                <w:color w:val="auto"/>
              </w:rPr>
              <w:t>Other comprehensive loss during the</w:t>
            </w:r>
          </w:p>
        </w:tc>
        <w:tc>
          <w:tcPr>
            <w:tcW w:w="120" w:type="dxa"/>
            <w:vAlign w:val="bottom"/>
          </w:tcPr>
          <w:p>
            <w:pPr>
              <w:spacing w:after="0"/>
              <w:rPr>
                <w:sz w:val="11"/>
                <w:szCs w:val="11"/>
                <w:color w:val="auto"/>
              </w:rPr>
            </w:pPr>
          </w:p>
        </w:tc>
        <w:tc>
          <w:tcPr>
            <w:tcW w:w="140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(219.8)</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2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1"/>
                <w:szCs w:val="11"/>
                <w:color w:val="auto"/>
              </w:rPr>
            </w:pPr>
          </w:p>
        </w:tc>
        <w:tc>
          <w:tcPr>
            <w:tcW w:w="134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rPr>
              <w:t>36.8</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vMerge w:val="restart"/>
          </w:tcPr>
          <w:p>
            <w:pPr>
              <w:jc w:val="right"/>
              <w:ind w:right="160"/>
              <w:spacing w:after="0"/>
              <w:rPr>
                <w:sz w:val="20"/>
                <w:szCs w:val="20"/>
                <w:color w:val="auto"/>
              </w:rPr>
            </w:pPr>
            <w:r>
              <w:rPr>
                <w:rFonts w:ascii="Arial" w:cs="Arial" w:eastAsia="Arial" w:hAnsi="Arial"/>
                <w:sz w:val="14"/>
                <w:szCs w:val="14"/>
                <w:b w:val="1"/>
                <w:bCs w:val="1"/>
                <w:color w:val="auto"/>
              </w:rPr>
              <w:t>(419.3)</w:t>
            </w:r>
          </w:p>
        </w:tc>
        <w:tc>
          <w:tcPr>
            <w:tcW w:w="100" w:type="dxa"/>
            <w:vAlign w:val="bottom"/>
          </w:tcPr>
          <w:p>
            <w:pPr>
              <w:spacing w:after="0"/>
              <w:rPr>
                <w:sz w:val="11"/>
                <w:szCs w:val="11"/>
                <w:color w:val="auto"/>
              </w:rPr>
            </w:pPr>
          </w:p>
        </w:tc>
        <w:tc>
          <w:tcPr>
            <w:tcW w:w="118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6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(602.3)</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20" w:type="dxa"/>
            <w:vAlign w:val="bottom"/>
          </w:tcPr>
          <w:p>
            <w:pPr>
              <w:ind w:left="160"/>
              <w:spacing w:after="0"/>
              <w:rPr>
                <w:sz w:val="20"/>
                <w:szCs w:val="20"/>
                <w:color w:val="auto"/>
              </w:rPr>
            </w:pPr>
            <w:r>
              <w:rPr>
                <w:rFonts w:ascii="Arial" w:cs="Arial" w:eastAsia="Arial" w:hAnsi="Arial"/>
                <w:sz w:val="14"/>
                <w:szCs w:val="14"/>
                <w:color w:val="auto"/>
              </w:rPr>
              <w:t>period, net of adjustments</w:t>
            </w:r>
          </w:p>
        </w:tc>
        <w:tc>
          <w:tcPr>
            <w:tcW w:w="120" w:type="dxa"/>
            <w:vAlign w:val="bottom"/>
          </w:tcPr>
          <w:p>
            <w:pPr>
              <w:spacing w:after="0"/>
              <w:rPr>
                <w:sz w:val="14"/>
                <w:szCs w:val="14"/>
                <w:color w:val="auto"/>
              </w:rPr>
            </w:pPr>
          </w:p>
        </w:tc>
        <w:tc>
          <w:tcPr>
            <w:tcW w:w="14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Amounts reclassified from AOCI</w:t>
            </w:r>
          </w:p>
        </w:tc>
        <w:tc>
          <w:tcPr>
            <w:tcW w:w="12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(1.2)</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17.9</w:t>
            </w:r>
          </w:p>
        </w:tc>
        <w:tc>
          <w:tcPr>
            <w:tcW w:w="10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b w:val="1"/>
                <w:bCs w:val="1"/>
                <w:color w:val="auto"/>
              </w:rPr>
              <w:t>(14.8)</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0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35.9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37.8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900" w:orient="portrait"/>
          <w:cols w:equalWidth="0" w:num="1">
            <w:col w:w="11420"/>
          </w:cols>
          <w:pgMar w:left="240" w:top="118" w:right="239" w:bottom="0" w:gutter="0" w:footer="0" w:header="0"/>
        </w:sectPr>
      </w:pPr>
    </w:p>
    <w:bookmarkStart w:id="35" w:name="page36"/>
    <w:bookmarkEnd w:id="3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640" w:type="dxa"/>
            <w:vAlign w:val="bottom"/>
          </w:tcPr>
          <w:p>
            <w:pPr>
              <w:spacing w:after="0"/>
              <w:rPr>
                <w:sz w:val="20"/>
                <w:szCs w:val="20"/>
                <w:color w:val="auto"/>
              </w:rPr>
            </w:pPr>
            <w:r>
              <w:rPr>
                <w:rFonts w:ascii="Arial" w:cs="Arial" w:eastAsia="Arial" w:hAnsi="Arial"/>
                <w:sz w:val="14"/>
                <w:szCs w:val="14"/>
                <w:color w:val="auto"/>
              </w:rPr>
              <w:t>Other comprehensive loss</w:t>
            </w:r>
          </w:p>
        </w:tc>
        <w:tc>
          <w:tcPr>
            <w:tcW w:w="540" w:type="dxa"/>
            <w:vAlign w:val="bottom"/>
          </w:tcPr>
          <w:p>
            <w:pPr>
              <w:spacing w:after="0"/>
              <w:rPr>
                <w:sz w:val="14"/>
                <w:szCs w:val="14"/>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(221.0)</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100" w:type="dxa"/>
            <w:vAlign w:val="bottom"/>
            <w:gridSpan w:val="2"/>
          </w:tcPr>
          <w:p>
            <w:pPr>
              <w:jc w:val="right"/>
              <w:ind w:right="168"/>
              <w:spacing w:after="0"/>
              <w:rPr>
                <w:sz w:val="20"/>
                <w:szCs w:val="20"/>
                <w:color w:val="auto"/>
              </w:rPr>
            </w:pPr>
            <w:r>
              <w:rPr>
                <w:rFonts w:ascii="Arial" w:cs="Arial" w:eastAsia="Arial" w:hAnsi="Arial"/>
                <w:sz w:val="14"/>
                <w:szCs w:val="14"/>
                <w:b w:val="1"/>
                <w:bCs w:val="1"/>
                <w:color w:val="auto"/>
              </w:rPr>
              <w:t>17.9</w:t>
            </w:r>
          </w:p>
        </w:tc>
        <w:tc>
          <w:tcPr>
            <w:tcW w:w="540" w:type="dxa"/>
            <w:vAlign w:val="bottom"/>
          </w:tcPr>
          <w:p>
            <w:pPr>
              <w:spacing w:after="0"/>
              <w:rPr>
                <w:sz w:val="14"/>
                <w:szCs w:val="14"/>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rPr>
              <w:t>22.0</w:t>
            </w: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gridSpan w:val="2"/>
          </w:tcPr>
          <w:p>
            <w:pPr>
              <w:jc w:val="right"/>
              <w:ind w:right="119"/>
              <w:spacing w:after="0"/>
              <w:rPr>
                <w:sz w:val="20"/>
                <w:szCs w:val="20"/>
                <w:color w:val="auto"/>
              </w:rPr>
            </w:pPr>
            <w:r>
              <w:rPr>
                <w:rFonts w:ascii="Arial" w:cs="Arial" w:eastAsia="Arial" w:hAnsi="Arial"/>
                <w:sz w:val="14"/>
                <w:szCs w:val="14"/>
                <w:b w:val="1"/>
                <w:bCs w:val="1"/>
                <w:color w:val="auto"/>
              </w:rPr>
              <w:t>(419.3)</w:t>
            </w:r>
          </w:p>
        </w:tc>
        <w:tc>
          <w:tcPr>
            <w:tcW w:w="420" w:type="dxa"/>
            <w:vAlign w:val="bottom"/>
          </w:tcPr>
          <w:p>
            <w:pPr>
              <w:spacing w:after="0"/>
              <w:rPr>
                <w:sz w:val="14"/>
                <w:szCs w:val="14"/>
                <w:color w:val="auto"/>
              </w:rPr>
            </w:pPr>
          </w:p>
        </w:tc>
        <w:tc>
          <w:tcPr>
            <w:tcW w:w="940" w:type="dxa"/>
            <w:vAlign w:val="bottom"/>
            <w:gridSpan w:val="2"/>
          </w:tcPr>
          <w:p>
            <w:pPr>
              <w:jc w:val="right"/>
              <w:ind w:right="179"/>
              <w:spacing w:after="0"/>
              <w:rPr>
                <w:sz w:val="20"/>
                <w:szCs w:val="20"/>
                <w:color w:val="auto"/>
              </w:rPr>
            </w:pPr>
            <w:r>
              <w:rPr>
                <w:rFonts w:ascii="Arial" w:cs="Arial" w:eastAsia="Arial" w:hAnsi="Arial"/>
                <w:sz w:val="14"/>
                <w:szCs w:val="14"/>
                <w:b w:val="1"/>
                <w:bCs w:val="1"/>
                <w:color w:val="auto"/>
              </w:rPr>
              <w:t>35.9</w:t>
            </w: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3"/>
          </w:tcPr>
          <w:p>
            <w:pPr>
              <w:jc w:val="right"/>
              <w:ind w:right="60"/>
              <w:spacing w:after="0"/>
              <w:rPr>
                <w:sz w:val="20"/>
                <w:szCs w:val="20"/>
                <w:color w:val="auto"/>
              </w:rPr>
            </w:pPr>
            <w:r>
              <w:rPr>
                <w:rFonts w:ascii="Arial" w:cs="Arial" w:eastAsia="Arial" w:hAnsi="Arial"/>
                <w:sz w:val="14"/>
                <w:szCs w:val="14"/>
                <w:b w:val="1"/>
                <w:bCs w:val="1"/>
                <w:color w:val="auto"/>
              </w:rPr>
              <w:t>(564.5)</w:t>
            </w:r>
          </w:p>
        </w:tc>
        <w:tc>
          <w:tcPr>
            <w:tcW w:w="0" w:type="dxa"/>
            <w:vAlign w:val="bottom"/>
          </w:tcPr>
          <w:p>
            <w:pPr>
              <w:spacing w:after="0"/>
              <w:rPr>
                <w:sz w:val="1"/>
                <w:szCs w:val="1"/>
                <w:color w:val="auto"/>
              </w:rPr>
            </w:pPr>
          </w:p>
        </w:tc>
      </w:tr>
      <w:tr>
        <w:trPr>
          <w:trHeight w:val="130"/>
        </w:trPr>
        <w:tc>
          <w:tcPr>
            <w:tcW w:w="264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Purchase of subsidiary shares from</w:t>
            </w:r>
          </w:p>
        </w:tc>
        <w:tc>
          <w:tcPr>
            <w:tcW w:w="540" w:type="dxa"/>
            <w:vAlign w:val="bottom"/>
            <w:shd w:val="clear" w:color="auto" w:fill="CCEEFF"/>
          </w:tcPr>
          <w:p>
            <w:pPr>
              <w:spacing w:after="0"/>
              <w:rPr>
                <w:sz w:val="11"/>
                <w:szCs w:val="11"/>
                <w:color w:val="auto"/>
              </w:rPr>
            </w:pPr>
          </w:p>
        </w:tc>
        <w:tc>
          <w:tcPr>
            <w:tcW w:w="9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40" w:type="dxa"/>
            <w:vAlign w:val="bottom"/>
            <w:gridSpan w:val="3"/>
            <w:vMerge w:val="restart"/>
            <w:shd w:val="clear" w:color="auto" w:fill="CCEEFF"/>
          </w:tcPr>
          <w:p>
            <w:pPr>
              <w:jc w:val="right"/>
              <w:ind w:right="729"/>
              <w:spacing w:after="0"/>
              <w:rPr>
                <w:sz w:val="20"/>
                <w:szCs w:val="20"/>
                <w:color w:val="auto"/>
              </w:rPr>
            </w:pPr>
            <w:r>
              <w:rPr>
                <w:rFonts w:ascii="Arial" w:cs="Arial" w:eastAsia="Arial" w:hAnsi="Arial"/>
                <w:sz w:val="14"/>
                <w:szCs w:val="14"/>
                <w:b w:val="1"/>
                <w:bCs w:val="1"/>
                <w:color w:val="auto"/>
              </w:rPr>
              <w:t>—</w:t>
            </w:r>
          </w:p>
        </w:tc>
        <w:tc>
          <w:tcPr>
            <w:tcW w:w="84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b w:val="1"/>
                <w:bCs w:val="1"/>
                <w:color w:val="auto"/>
              </w:rPr>
              <w:t>—</w:t>
            </w: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980" w:type="dxa"/>
            <w:vAlign w:val="bottom"/>
            <w:gridSpan w:val="2"/>
            <w:vMerge w:val="restart"/>
            <w:shd w:val="clear" w:color="auto" w:fill="CCEEFF"/>
          </w:tcPr>
          <w:p>
            <w:pPr>
              <w:jc w:val="right"/>
              <w:ind w:right="119"/>
              <w:spacing w:after="0"/>
              <w:rPr>
                <w:sz w:val="20"/>
                <w:szCs w:val="20"/>
                <w:color w:val="auto"/>
              </w:rPr>
            </w:pPr>
            <w:r>
              <w:rPr>
                <w:rFonts w:ascii="Arial" w:cs="Arial" w:eastAsia="Arial" w:hAnsi="Arial"/>
                <w:sz w:val="14"/>
                <w:szCs w:val="14"/>
                <w:b w:val="1"/>
                <w:bCs w:val="1"/>
                <w:color w:val="auto"/>
              </w:rPr>
              <w:t>(10.3)</w:t>
            </w:r>
          </w:p>
        </w:tc>
        <w:tc>
          <w:tcPr>
            <w:tcW w:w="420" w:type="dxa"/>
            <w:vAlign w:val="bottom"/>
            <w:shd w:val="clear" w:color="auto" w:fill="CCEEFF"/>
          </w:tcPr>
          <w:p>
            <w:pPr>
              <w:spacing w:after="0"/>
              <w:rPr>
                <w:sz w:val="11"/>
                <w:szCs w:val="11"/>
                <w:color w:val="auto"/>
              </w:rPr>
            </w:pPr>
          </w:p>
        </w:tc>
        <w:tc>
          <w:tcPr>
            <w:tcW w:w="1360" w:type="dxa"/>
            <w:vAlign w:val="bottom"/>
            <w:gridSpan w:val="4"/>
            <w:vMerge w:val="restart"/>
            <w:shd w:val="clear" w:color="auto" w:fill="CCEEFF"/>
          </w:tcPr>
          <w:p>
            <w:pPr>
              <w:jc w:val="right"/>
              <w:ind w:right="614"/>
              <w:spacing w:after="0"/>
              <w:rPr>
                <w:sz w:val="20"/>
                <w:szCs w:val="20"/>
                <w:color w:val="auto"/>
              </w:rPr>
            </w:pPr>
            <w:r>
              <w:rPr>
                <w:rFonts w:ascii="Arial" w:cs="Arial" w:eastAsia="Arial" w:hAnsi="Arial"/>
                <w:sz w:val="14"/>
                <w:szCs w:val="14"/>
                <w:b w:val="1"/>
                <w:bCs w:val="1"/>
                <w:color w:val="auto"/>
              </w:rPr>
              <w:t>—</w:t>
            </w:r>
          </w:p>
        </w:tc>
        <w:tc>
          <w:tcPr>
            <w:tcW w:w="820" w:type="dxa"/>
            <w:vAlign w:val="bottom"/>
            <w:gridSpan w:val="3"/>
            <w:vMerge w:val="restart"/>
            <w:shd w:val="clear" w:color="auto" w:fill="CCEEFF"/>
          </w:tcPr>
          <w:p>
            <w:pPr>
              <w:jc w:val="right"/>
              <w:ind w:right="60"/>
              <w:spacing w:after="0"/>
              <w:rPr>
                <w:sz w:val="20"/>
                <w:szCs w:val="20"/>
                <w:color w:val="auto"/>
              </w:rPr>
            </w:pPr>
            <w:r>
              <w:rPr>
                <w:rFonts w:ascii="Arial" w:cs="Arial" w:eastAsia="Arial" w:hAnsi="Arial"/>
                <w:sz w:val="14"/>
                <w:szCs w:val="14"/>
                <w:b w:val="1"/>
                <w:bCs w:val="1"/>
                <w:color w:val="auto"/>
              </w:rPr>
              <w:t>(10.3)</w:t>
            </w:r>
          </w:p>
        </w:tc>
        <w:tc>
          <w:tcPr>
            <w:tcW w:w="0" w:type="dxa"/>
            <w:vAlign w:val="bottom"/>
          </w:tcPr>
          <w:p>
            <w:pPr>
              <w:spacing w:after="0"/>
              <w:rPr>
                <w:sz w:val="1"/>
                <w:szCs w:val="1"/>
                <w:color w:val="auto"/>
              </w:rPr>
            </w:pPr>
          </w:p>
        </w:tc>
      </w:tr>
      <w:tr>
        <w:trPr>
          <w:trHeight w:val="167"/>
        </w:trPr>
        <w:tc>
          <w:tcPr>
            <w:tcW w:w="26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noncontrolling interest</w:t>
            </w:r>
          </w:p>
        </w:tc>
        <w:tc>
          <w:tcPr>
            <w:tcW w:w="540" w:type="dxa"/>
            <w:vAlign w:val="bottom"/>
            <w:shd w:val="clear" w:color="auto" w:fill="CCEEFF"/>
          </w:tcPr>
          <w:p>
            <w:pPr>
              <w:spacing w:after="0"/>
              <w:rPr>
                <w:sz w:val="14"/>
                <w:szCs w:val="14"/>
                <w:color w:val="auto"/>
              </w:rPr>
            </w:pPr>
          </w:p>
        </w:tc>
        <w:tc>
          <w:tcPr>
            <w:tcW w:w="9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640" w:type="dxa"/>
            <w:vAlign w:val="bottom"/>
            <w:gridSpan w:val="3"/>
            <w:vMerge w:val="continue"/>
            <w:shd w:val="clear" w:color="auto" w:fill="CCEEFF"/>
          </w:tcPr>
          <w:p>
            <w:pPr>
              <w:spacing w:after="0"/>
              <w:rPr>
                <w:sz w:val="14"/>
                <w:szCs w:val="14"/>
                <w:color w:val="auto"/>
              </w:rPr>
            </w:pPr>
          </w:p>
        </w:tc>
        <w:tc>
          <w:tcPr>
            <w:tcW w:w="84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980" w:type="dxa"/>
            <w:vAlign w:val="bottom"/>
            <w:gridSpan w:val="2"/>
            <w:vMerge w:val="continue"/>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360" w:type="dxa"/>
            <w:vAlign w:val="bottom"/>
            <w:gridSpan w:val="4"/>
            <w:vMerge w:val="continue"/>
            <w:shd w:val="clear" w:color="auto" w:fill="CCEEFF"/>
          </w:tcPr>
          <w:p>
            <w:pPr>
              <w:spacing w:after="0"/>
              <w:rPr>
                <w:sz w:val="14"/>
                <w:szCs w:val="14"/>
                <w:color w:val="auto"/>
              </w:rPr>
            </w:pPr>
          </w:p>
        </w:tc>
        <w:tc>
          <w:tcPr>
            <w:tcW w:w="820" w:type="dxa"/>
            <w:vAlign w:val="bottom"/>
            <w:gridSpan w:val="3"/>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640" w:type="dxa"/>
            <w:vAlign w:val="bottom"/>
          </w:tcPr>
          <w:p>
            <w:pPr>
              <w:spacing w:after="0" w:line="155" w:lineRule="exact"/>
              <w:rPr>
                <w:sz w:val="20"/>
                <w:szCs w:val="20"/>
                <w:color w:val="auto"/>
              </w:rPr>
            </w:pPr>
            <w:r>
              <w:rPr>
                <w:rFonts w:ascii="Arial" w:cs="Arial" w:eastAsia="Arial" w:hAnsi="Arial"/>
                <w:sz w:val="14"/>
                <w:szCs w:val="14"/>
                <w:b w:val="1"/>
                <w:bCs w:val="1"/>
                <w:color w:val="auto"/>
              </w:rPr>
              <w:t>Balances at September 30, 2015</w:t>
            </w:r>
          </w:p>
        </w:tc>
        <w:tc>
          <w:tcPr>
            <w:tcW w:w="540" w:type="dxa"/>
            <w:vAlign w:val="bottom"/>
            <w:tcBorders>
              <w:top w:val="single" w:sz="8" w:color="auto"/>
            </w:tcBorders>
          </w:tcPr>
          <w:p>
            <w:pPr>
              <w:jc w:val="right"/>
              <w:ind w:right="388"/>
              <w:spacing w:after="0" w:line="155" w:lineRule="exact"/>
              <w:rPr>
                <w:sz w:val="20"/>
                <w:szCs w:val="20"/>
                <w:color w:val="auto"/>
              </w:rPr>
            </w:pPr>
            <w:r>
              <w:rPr>
                <w:rFonts w:ascii="Arial" w:cs="Arial" w:eastAsia="Arial" w:hAnsi="Arial"/>
                <w:sz w:val="14"/>
                <w:szCs w:val="14"/>
                <w:b w:val="1"/>
                <w:bCs w:val="1"/>
                <w:color w:val="auto"/>
                <w:w w:val="76"/>
              </w:rPr>
              <w:t>$</w:t>
            </w:r>
          </w:p>
        </w:tc>
        <w:tc>
          <w:tcPr>
            <w:tcW w:w="8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981.8</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Borders>
              <w:top w:val="single" w:sz="8" w:color="auto"/>
            </w:tcBorders>
          </w:tcPr>
          <w:p>
            <w:pPr>
              <w:jc w:val="right"/>
              <w:ind w:right="488"/>
              <w:spacing w:after="0" w:line="155" w:lineRule="exact"/>
              <w:rPr>
                <w:sz w:val="20"/>
                <w:szCs w:val="20"/>
                <w:color w:val="auto"/>
              </w:rPr>
            </w:pPr>
            <w:r>
              <w:rPr>
                <w:rFonts w:ascii="Arial" w:cs="Arial" w:eastAsia="Arial" w:hAnsi="Arial"/>
                <w:sz w:val="14"/>
                <w:szCs w:val="14"/>
                <w:b w:val="1"/>
                <w:bCs w:val="1"/>
                <w:color w:val="auto"/>
                <w:w w:val="76"/>
              </w:rPr>
              <w:t>$</w:t>
            </w:r>
          </w:p>
        </w:tc>
        <w:tc>
          <w:tcPr>
            <w:tcW w:w="8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(87.2</w:t>
            </w:r>
          </w:p>
        </w:tc>
        <w:tc>
          <w:tcPr>
            <w:tcW w:w="240" w:type="dxa"/>
            <w:vAlign w:val="bottom"/>
          </w:tcPr>
          <w:p>
            <w:pPr>
              <w:jc w:val="right"/>
              <w:ind w:right="108"/>
              <w:spacing w:after="0" w:line="155" w:lineRule="exact"/>
              <w:rPr>
                <w:sz w:val="20"/>
                <w:szCs w:val="20"/>
                <w:color w:val="auto"/>
              </w:rPr>
            </w:pPr>
            <w:r>
              <w:rPr>
                <w:rFonts w:ascii="Arial" w:cs="Arial" w:eastAsia="Arial" w:hAnsi="Arial"/>
                <w:sz w:val="14"/>
                <w:szCs w:val="14"/>
                <w:b w:val="1"/>
                <w:bCs w:val="1"/>
                <w:color w:val="auto"/>
                <w:w w:val="84"/>
              </w:rPr>
              <w:t>)</w:t>
            </w:r>
          </w:p>
        </w:tc>
        <w:tc>
          <w:tcPr>
            <w:tcW w:w="540" w:type="dxa"/>
            <w:vAlign w:val="bottom"/>
            <w:tcBorders>
              <w:top w:val="single" w:sz="8" w:color="auto"/>
            </w:tcBorders>
          </w:tcPr>
          <w:p>
            <w:pPr>
              <w:jc w:val="right"/>
              <w:ind w:right="429"/>
              <w:spacing w:after="0"/>
              <w:rPr>
                <w:sz w:val="20"/>
                <w:szCs w:val="20"/>
                <w:color w:val="auto"/>
              </w:rPr>
            </w:pPr>
            <w:r>
              <w:rPr>
                <w:rFonts w:ascii="Arial" w:cs="Arial" w:eastAsia="Arial" w:hAnsi="Arial"/>
                <w:sz w:val="10"/>
                <w:szCs w:val="10"/>
                <w:b w:val="1"/>
                <w:bCs w:val="1"/>
                <w:color w:val="auto"/>
                <w:w w:val="71"/>
              </w:rPr>
              <w:t>$</w:t>
            </w:r>
          </w:p>
        </w:tc>
        <w:tc>
          <w:tcPr>
            <w:tcW w:w="7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72.6</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60" w:type="dxa"/>
            <w:vAlign w:val="bottom"/>
            <w:tcBorders>
              <w:top w:val="single" w:sz="8" w:color="auto"/>
            </w:tcBorders>
          </w:tcPr>
          <w:p>
            <w:pPr>
              <w:jc w:val="right"/>
              <w:ind w:right="249"/>
              <w:spacing w:after="0"/>
              <w:rPr>
                <w:sz w:val="20"/>
                <w:szCs w:val="20"/>
                <w:color w:val="auto"/>
              </w:rPr>
            </w:pPr>
            <w:r>
              <w:rPr>
                <w:rFonts w:ascii="Arial" w:cs="Arial" w:eastAsia="Arial" w:hAnsi="Arial"/>
                <w:sz w:val="10"/>
                <w:szCs w:val="10"/>
                <w:b w:val="1"/>
                <w:bCs w:val="1"/>
                <w:color w:val="auto"/>
                <w:w w:val="71"/>
              </w:rPr>
              <w:t>$</w:t>
            </w:r>
          </w:p>
        </w:tc>
        <w:tc>
          <w:tcPr>
            <w:tcW w:w="7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(1,116.4</w:t>
            </w:r>
          </w:p>
        </w:tc>
        <w:tc>
          <w:tcPr>
            <w:tcW w:w="200" w:type="dxa"/>
            <w:vAlign w:val="bottom"/>
          </w:tcPr>
          <w:p>
            <w:pPr>
              <w:jc w:val="right"/>
              <w:ind w:right="119"/>
              <w:spacing w:after="0"/>
              <w:rPr>
                <w:sz w:val="20"/>
                <w:szCs w:val="20"/>
                <w:color w:val="auto"/>
              </w:rPr>
            </w:pPr>
            <w:r>
              <w:rPr>
                <w:rFonts w:ascii="Arial" w:cs="Arial" w:eastAsia="Arial" w:hAnsi="Arial"/>
                <w:sz w:val="8"/>
                <w:szCs w:val="8"/>
                <w:b w:val="1"/>
                <w:bCs w:val="1"/>
                <w:color w:val="auto"/>
                <w:w w:val="73"/>
              </w:rPr>
              <w:t>)</w:t>
            </w:r>
          </w:p>
        </w:tc>
        <w:tc>
          <w:tcPr>
            <w:tcW w:w="420" w:type="dxa"/>
            <w:vAlign w:val="bottom"/>
            <w:tcBorders>
              <w:top w:val="single" w:sz="8" w:color="auto"/>
            </w:tcBorders>
          </w:tcPr>
          <w:p>
            <w:pPr>
              <w:jc w:val="right"/>
              <w:ind w:right="268"/>
              <w:spacing w:after="0" w:line="155"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(375.2</w:t>
            </w:r>
          </w:p>
        </w:tc>
        <w:tc>
          <w:tcPr>
            <w:tcW w:w="240" w:type="dxa"/>
            <w:vAlign w:val="bottom"/>
            <w:gridSpan w:val="2"/>
          </w:tcPr>
          <w:p>
            <w:pPr>
              <w:jc w:val="right"/>
              <w:ind w:right="200"/>
              <w:spacing w:after="0"/>
              <w:rPr>
                <w:sz w:val="20"/>
                <w:szCs w:val="20"/>
                <w:color w:val="auto"/>
              </w:rPr>
            </w:pPr>
            <w:r>
              <w:rPr>
                <w:rFonts w:ascii="Arial" w:cs="Arial" w:eastAsia="Arial" w:hAnsi="Arial"/>
                <w:sz w:val="8"/>
                <w:szCs w:val="8"/>
                <w:b w:val="1"/>
                <w:bCs w:val="1"/>
                <w:color w:val="auto"/>
                <w:w w:val="73"/>
              </w:rPr>
              <w:t>)</w:t>
            </w:r>
          </w:p>
        </w:tc>
        <w:tc>
          <w:tcPr>
            <w:tcW w:w="400" w:type="dxa"/>
            <w:vAlign w:val="bottom"/>
            <w:tcBorders>
              <w:top w:val="single" w:sz="8" w:color="auto"/>
            </w:tcBorders>
          </w:tcPr>
          <w:p>
            <w:pPr>
              <w:jc w:val="right"/>
              <w:ind w:right="334"/>
              <w:spacing w:after="0"/>
              <w:rPr>
                <w:sz w:val="20"/>
                <w:szCs w:val="20"/>
                <w:color w:val="auto"/>
              </w:rPr>
            </w:pPr>
            <w:r>
              <w:rPr>
                <w:rFonts w:ascii="Arial" w:cs="Arial" w:eastAsia="Arial" w:hAnsi="Arial"/>
                <w:sz w:val="5"/>
                <w:szCs w:val="5"/>
                <w:b w:val="1"/>
                <w:bCs w:val="1"/>
                <w:color w:val="auto"/>
                <w:w w:val="70"/>
              </w:rPr>
              <w:t>$</w:t>
            </w:r>
          </w:p>
        </w:tc>
        <w:tc>
          <w:tcPr>
            <w:tcW w:w="7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(524.4</w:t>
            </w:r>
          </w:p>
        </w:tc>
        <w:tc>
          <w:tcPr>
            <w:tcW w:w="100" w:type="dxa"/>
            <w:vAlign w:val="bottom"/>
            <w:gridSpan w:val="2"/>
          </w:tcPr>
          <w:p>
            <w:pPr>
              <w:jc w:val="right"/>
              <w:ind w:right="60"/>
              <w:spacing w:after="0"/>
              <w:rPr>
                <w:sz w:val="20"/>
                <w:szCs w:val="20"/>
                <w:color w:val="auto"/>
              </w:rPr>
            </w:pPr>
            <w:r>
              <w:rPr>
                <w:rFonts w:ascii="Arial" w:cs="Arial" w:eastAsia="Arial" w:hAnsi="Arial"/>
                <w:sz w:val="8"/>
                <w:szCs w:val="8"/>
                <w:b w:val="1"/>
                <w:bCs w:val="1"/>
                <w:color w:val="auto"/>
                <w:w w:val="73"/>
              </w:rPr>
              <w:t>)</w:t>
            </w:r>
          </w:p>
        </w:tc>
        <w:tc>
          <w:tcPr>
            <w:tcW w:w="0" w:type="dxa"/>
            <w:vAlign w:val="bottom"/>
          </w:tcPr>
          <w:p>
            <w:pPr>
              <w:spacing w:after="0"/>
              <w:rPr>
                <w:sz w:val="1"/>
                <w:szCs w:val="1"/>
                <w:color w:val="auto"/>
              </w:rPr>
            </w:pPr>
          </w:p>
        </w:tc>
      </w:tr>
      <w:tr>
        <w:trPr>
          <w:trHeight w:val="20"/>
        </w:trPr>
        <w:tc>
          <w:tcPr>
            <w:tcW w:w="26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Noncontrolling Interest</w:t>
      </w:r>
    </w:p>
    <w:p>
      <w:pPr>
        <w:spacing w:after="0" w:line="229" w:lineRule="exact"/>
        <w:rPr>
          <w:sz w:val="20"/>
          <w:szCs w:val="20"/>
          <w:color w:val="auto"/>
        </w:rPr>
      </w:pPr>
    </w:p>
    <w:p>
      <w:pPr>
        <w:ind w:right="320" w:firstLine="648"/>
        <w:spacing w:after="0" w:line="264" w:lineRule="auto"/>
        <w:rPr>
          <w:sz w:val="20"/>
          <w:szCs w:val="20"/>
          <w:color w:val="auto"/>
        </w:rPr>
      </w:pPr>
      <w:r>
        <w:rPr>
          <w:rFonts w:ascii="Arial" w:cs="Arial" w:eastAsia="Arial" w:hAnsi="Arial"/>
          <w:sz w:val="18"/>
          <w:szCs w:val="18"/>
          <w:color w:val="auto"/>
        </w:rPr>
        <w:t>Interests held by unaffiliated parties in consolidated entities are reflected in noncontrolling interest, which represents the noncontrolling partners’ share of the underlying net assets of our consolidated subsidiaries. Noncontrolling interest that is not redeemable is reported in the equity section of the consolidated statements of financial position.</w:t>
      </w:r>
    </w:p>
    <w:p>
      <w:pPr>
        <w:spacing w:after="0" w:line="181" w:lineRule="exact"/>
        <w:rPr>
          <w:sz w:val="20"/>
          <w:szCs w:val="20"/>
          <w:color w:val="auto"/>
        </w:rPr>
      </w:pPr>
    </w:p>
    <w:p>
      <w:pPr>
        <w:ind w:right="20" w:firstLine="648"/>
        <w:spacing w:after="0" w:line="269" w:lineRule="auto"/>
        <w:rPr>
          <w:sz w:val="20"/>
          <w:szCs w:val="20"/>
          <w:color w:val="auto"/>
        </w:rPr>
      </w:pPr>
      <w:r>
        <w:rPr>
          <w:rFonts w:ascii="Arial" w:cs="Arial" w:eastAsia="Arial" w:hAnsi="Arial"/>
          <w:sz w:val="17"/>
          <w:szCs w:val="17"/>
          <w:color w:val="auto"/>
        </w:rPr>
        <w:t>The noncontrolling interest holders in certain of our consolidated entities maintain an equity interest that is redeemable at the option of the holder, which may be exercised on varying dates. Since redemption of the noncontrolling interest is outside of our control, this interest is presented on the consolidated statements of financial position line item titled “Redeemable noncontrolling interest.” If the interest were to be redeemed, we would be required to purchase such interest at a redemption value based on fair value or a formula that management intended to reasonably approximate fair value based on a fixed multiple of earnings over a measurement period. As such, the carrying value of the redeemable noncontrolling interest is compared to the redemption value at each reporting period. Any adjustments to the carrying amount of the redeemable noncontrolling interest for changes in redemption value prior to exercise of the redemption option are determined after the attribution of net income or loss of the subsidiary and are recognized in the redemption value as they occur. Adjustments to the carrying value of redeemable noncontrolling interest result in adjustments to additional paid-in capital and/or retained earnings. Adjustments are recorded in retained earnings to the extent the redemption value of the redeemable noncontrolling interest exceeds its fair value and will impact the numerator in our earnings per share calculations. All other adjustments to the redeemable noncontrolling interest are recorded in additional paid-in capital.</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96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4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8680" w:type="dxa"/>
            <w:vAlign w:val="bottom"/>
          </w:tcPr>
          <w:p>
            <w:pPr>
              <w:jc w:val="center"/>
              <w:ind w:left="90"/>
              <w:spacing w:after="0"/>
              <w:rPr>
                <w:sz w:val="20"/>
                <w:szCs w:val="20"/>
                <w:color w:val="auto"/>
              </w:rPr>
            </w:pPr>
            <w:r>
              <w:rPr>
                <w:rFonts w:ascii="Arial" w:cs="Arial" w:eastAsia="Arial" w:hAnsi="Arial"/>
                <w:sz w:val="18"/>
                <w:szCs w:val="18"/>
                <w:b w:val="1"/>
                <w:bCs w:val="1"/>
                <w:color w:val="auto"/>
                <w:w w:val="93"/>
              </w:rPr>
              <w:t>Principal Financial Group, Inc.</w:t>
            </w:r>
          </w:p>
        </w:tc>
        <w:tc>
          <w:tcPr>
            <w:tcW w:w="4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8680" w:type="dxa"/>
            <w:vAlign w:val="bottom"/>
          </w:tcPr>
          <w:p>
            <w:pPr>
              <w:jc w:val="center"/>
              <w:ind w:left="9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4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8680" w:type="dxa"/>
            <w:vAlign w:val="bottom"/>
          </w:tcPr>
          <w:p>
            <w:pPr>
              <w:jc w:val="center"/>
              <w:ind w:left="90"/>
              <w:spacing w:after="0"/>
              <w:rPr>
                <w:sz w:val="20"/>
                <w:szCs w:val="20"/>
                <w:color w:val="auto"/>
              </w:rPr>
            </w:pPr>
            <w:r>
              <w:rPr>
                <w:rFonts w:ascii="Arial" w:cs="Arial" w:eastAsia="Arial" w:hAnsi="Arial"/>
                <w:sz w:val="18"/>
                <w:szCs w:val="18"/>
                <w:b w:val="1"/>
                <w:bCs w:val="1"/>
                <w:color w:val="auto"/>
                <w:w w:val="89"/>
              </w:rPr>
              <w:t>September 30, 2015</w:t>
            </w:r>
          </w:p>
        </w:tc>
        <w:tc>
          <w:tcPr>
            <w:tcW w:w="4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8680" w:type="dxa"/>
            <w:vAlign w:val="bottom"/>
          </w:tcPr>
          <w:p>
            <w:pPr>
              <w:jc w:val="center"/>
              <w:ind w:left="90"/>
              <w:spacing w:after="0"/>
              <w:rPr>
                <w:sz w:val="20"/>
                <w:szCs w:val="20"/>
                <w:color w:val="auto"/>
              </w:rPr>
            </w:pPr>
            <w:r>
              <w:rPr>
                <w:rFonts w:ascii="Arial" w:cs="Arial" w:eastAsia="Arial" w:hAnsi="Arial"/>
                <w:sz w:val="18"/>
                <w:szCs w:val="18"/>
                <w:b w:val="1"/>
                <w:bCs w:val="1"/>
                <w:color w:val="auto"/>
                <w:w w:val="93"/>
              </w:rPr>
              <w:t>(Unaudited)</w:t>
            </w:r>
          </w:p>
        </w:tc>
        <w:tc>
          <w:tcPr>
            <w:tcW w:w="4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9940" w:type="dxa"/>
            <w:vAlign w:val="bottom"/>
            <w:gridSpan w:val="2"/>
          </w:tcPr>
          <w:p>
            <w:pPr>
              <w:ind w:left="640"/>
              <w:spacing w:after="0"/>
              <w:rPr>
                <w:sz w:val="20"/>
                <w:szCs w:val="20"/>
                <w:color w:val="auto"/>
              </w:rPr>
            </w:pPr>
            <w:r>
              <w:rPr>
                <w:rFonts w:ascii="Arial" w:cs="Arial" w:eastAsia="Arial" w:hAnsi="Arial"/>
                <w:sz w:val="18"/>
                <w:szCs w:val="18"/>
                <w:color w:val="auto"/>
              </w:rPr>
              <w:t>Following is a reconciliation of the changes in the redeemable noncontrolling interest (in millions):</w:t>
            </w:r>
          </w:p>
        </w:tc>
        <w:tc>
          <w:tcPr>
            <w:tcW w:w="4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86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9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at January 1, 2014</w:t>
            </w: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tcPr>
          <w:p>
            <w:pPr>
              <w:spacing w:after="0"/>
              <w:rPr>
                <w:sz w:val="20"/>
                <w:szCs w:val="20"/>
                <w:color w:val="auto"/>
              </w:rPr>
            </w:pPr>
            <w:r>
              <w:rPr>
                <w:rFonts w:ascii="Arial" w:cs="Arial" w:eastAsia="Arial" w:hAnsi="Arial"/>
                <w:sz w:val="18"/>
                <w:szCs w:val="18"/>
                <w:color w:val="auto"/>
              </w:rPr>
              <w:t>Net income attributable to redeemable noncontrolling interest</w:t>
            </w:r>
          </w:p>
        </w:tc>
        <w:tc>
          <w:tcPr>
            <w:tcW w:w="4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Contributions from redeemable noncontrolling interest</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tcPr>
          <w:p>
            <w:pPr>
              <w:spacing w:after="0"/>
              <w:rPr>
                <w:sz w:val="20"/>
                <w:szCs w:val="20"/>
                <w:color w:val="auto"/>
              </w:rPr>
            </w:pPr>
            <w:r>
              <w:rPr>
                <w:rFonts w:ascii="Arial" w:cs="Arial" w:eastAsia="Arial" w:hAnsi="Arial"/>
                <w:sz w:val="18"/>
                <w:szCs w:val="18"/>
                <w:color w:val="auto"/>
              </w:rPr>
              <w:t>Distributions to redeemable noncontrolling interest</w:t>
            </w:r>
          </w:p>
        </w:tc>
        <w:tc>
          <w:tcPr>
            <w:tcW w:w="4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 of subsidiary shares from redeemable noncontrolling interest (1)</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tcPr>
          <w:p>
            <w:pPr>
              <w:spacing w:after="0"/>
              <w:rPr>
                <w:sz w:val="20"/>
                <w:szCs w:val="20"/>
                <w:color w:val="auto"/>
              </w:rPr>
            </w:pPr>
            <w:r>
              <w:rPr>
                <w:rFonts w:ascii="Arial" w:cs="Arial" w:eastAsia="Arial" w:hAnsi="Arial"/>
                <w:sz w:val="18"/>
                <w:szCs w:val="18"/>
                <w:color w:val="auto"/>
              </w:rPr>
              <w:t>Change in redemption value of redeemable noncontrolling interest</w:t>
            </w:r>
          </w:p>
        </w:tc>
        <w:tc>
          <w:tcPr>
            <w:tcW w:w="4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33.2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 translation adjustment</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99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b w:val="1"/>
                <w:bCs w:val="1"/>
                <w:color w:val="auto"/>
              </w:rPr>
              <w:t>Balance at September 30, 2014</w:t>
            </w: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56.1</w:t>
            </w:r>
          </w:p>
        </w:tc>
        <w:tc>
          <w:tcPr>
            <w:tcW w:w="1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86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940" w:type="dxa"/>
            <w:vAlign w:val="bottom"/>
            <w:gridSpan w:val="2"/>
          </w:tcPr>
          <w:p>
            <w:pPr>
              <w:spacing w:after="0"/>
              <w:rPr>
                <w:sz w:val="20"/>
                <w:szCs w:val="20"/>
                <w:color w:val="auto"/>
              </w:rPr>
            </w:pPr>
            <w:r>
              <w:rPr>
                <w:rFonts w:ascii="Arial" w:cs="Arial" w:eastAsia="Arial" w:hAnsi="Arial"/>
                <w:sz w:val="18"/>
                <w:szCs w:val="18"/>
                <w:b w:val="1"/>
                <w:bCs w:val="1"/>
                <w:color w:val="auto"/>
              </w:rPr>
              <w:t>Balance at January 1, 2015</w:t>
            </w:r>
          </w:p>
        </w:tc>
        <w:tc>
          <w:tcPr>
            <w:tcW w:w="480" w:type="dxa"/>
            <w:vAlign w:val="bottom"/>
          </w:tcPr>
          <w:p>
            <w:pPr>
              <w:jc w:val="right"/>
              <w:ind w:right="290"/>
              <w:spacing w:after="0"/>
              <w:rPr>
                <w:sz w:val="20"/>
                <w:szCs w:val="20"/>
                <w:color w:val="auto"/>
              </w:rPr>
            </w:pPr>
            <w:r>
              <w:rPr>
                <w:rFonts w:ascii="Arial" w:cs="Arial" w:eastAsia="Arial" w:hAnsi="Arial"/>
                <w:sz w:val="18"/>
                <w:szCs w:val="18"/>
                <w:b w:val="1"/>
                <w:bCs w:val="1"/>
                <w:color w:val="auto"/>
                <w:w w:val="79"/>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attributable to redeemable noncontrolling interest</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tcPr>
          <w:p>
            <w:pPr>
              <w:spacing w:after="0"/>
              <w:rPr>
                <w:sz w:val="20"/>
                <w:szCs w:val="20"/>
                <w:color w:val="auto"/>
              </w:rPr>
            </w:pPr>
            <w:r>
              <w:rPr>
                <w:rFonts w:ascii="Arial" w:cs="Arial" w:eastAsia="Arial" w:hAnsi="Arial"/>
                <w:sz w:val="18"/>
                <w:szCs w:val="18"/>
                <w:color w:val="auto"/>
              </w:rPr>
              <w:t>Contributions from redeemable noncontrolling interest</w:t>
            </w:r>
          </w:p>
        </w:tc>
        <w:tc>
          <w:tcPr>
            <w:tcW w:w="4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Distributions to redeemable noncontrolling interest</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tcPr>
          <w:p>
            <w:pPr>
              <w:spacing w:after="0"/>
              <w:rPr>
                <w:sz w:val="20"/>
                <w:szCs w:val="20"/>
                <w:color w:val="auto"/>
              </w:rPr>
            </w:pPr>
            <w:r>
              <w:rPr>
                <w:rFonts w:ascii="Arial" w:cs="Arial" w:eastAsia="Arial" w:hAnsi="Arial"/>
                <w:sz w:val="18"/>
                <w:szCs w:val="18"/>
                <w:color w:val="auto"/>
              </w:rPr>
              <w:t>Purchase of subsidiary shares from redeemable noncontrolling interest</w:t>
            </w:r>
          </w:p>
        </w:tc>
        <w:tc>
          <w:tcPr>
            <w:tcW w:w="4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redemption value of redeemable noncontrolling interest</w:t>
            </w:r>
          </w:p>
        </w:tc>
        <w:tc>
          <w:tcPr>
            <w:tcW w:w="4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2"/>
          </w:tcPr>
          <w:p>
            <w:pPr>
              <w:spacing w:after="0"/>
              <w:rPr>
                <w:sz w:val="20"/>
                <w:szCs w:val="20"/>
                <w:color w:val="auto"/>
              </w:rPr>
            </w:pPr>
            <w:r>
              <w:rPr>
                <w:rFonts w:ascii="Arial" w:cs="Arial" w:eastAsia="Arial" w:hAnsi="Arial"/>
                <w:sz w:val="18"/>
                <w:szCs w:val="18"/>
                <w:color w:val="auto"/>
              </w:rPr>
              <w:t>Foreign currency translation adjustment</w:t>
            </w:r>
          </w:p>
        </w:tc>
        <w:tc>
          <w:tcPr>
            <w:tcW w:w="4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(17.7)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94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at September 30, 2015</w:t>
            </w:r>
          </w:p>
        </w:tc>
        <w:tc>
          <w:tcPr>
            <w:tcW w:w="480" w:type="dxa"/>
            <w:vAlign w:val="bottom"/>
            <w:tcBorders>
              <w:top w:val="single" w:sz="8" w:color="auto"/>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78.0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86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During the third quarter of 2014, we increased our ownership stake in Columbus Circle Investors.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Fair Value Measurements</w:t>
      </w:r>
    </w:p>
    <w:p>
      <w:pPr>
        <w:spacing w:after="0" w:line="229"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We use fair value measurements to record fair value of certain assets and liabilities and to estimate fair value of financial instruments not recorded at fair value but required to be disclosed at fair value. Certain financial instruments, particularly policyholder liabilities other than investment-type insurance contracts, are excluded from these fair value disclosure requirements.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Valuation Hierarchy</w:t>
      </w:r>
    </w:p>
    <w:p>
      <w:pPr>
        <w:spacing w:after="0" w:line="229"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Fair value is defined as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The level in the fair value hierarchy within which the fair value measurement in its entirety falls is determined based on the lowest level input that is significant to the fair value measurement in its entirety considering factors specific to the asset or liability.</w:t>
      </w:r>
    </w:p>
    <w:p>
      <w:pPr>
        <w:spacing w:after="0" w:line="167" w:lineRule="exact"/>
        <w:rPr>
          <w:sz w:val="20"/>
          <w:szCs w:val="20"/>
          <w:color w:val="auto"/>
        </w:rPr>
      </w:pPr>
    </w:p>
    <w:p>
      <w:pPr>
        <w:ind w:left="340" w:right="720" w:hanging="332"/>
        <w:spacing w:after="0" w:line="282" w:lineRule="auto"/>
        <w:tabs>
          <w:tab w:leader="none" w:pos="304"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Level 1 </w:t>
      </w:r>
      <w:r>
        <w:rPr>
          <w:rFonts w:ascii="Arial" w:cs="Arial" w:eastAsia="Arial" w:hAnsi="Arial"/>
          <w:sz w:val="18"/>
          <w:szCs w:val="18"/>
          <w:color w:val="auto"/>
        </w:rPr>
        <w:t>— Fair values are based on unadjusted quoted prices in active markets for identical assets or liabilities. Our Level 1 assets and liabilities</w:t>
      </w:r>
      <w:r>
        <w:rPr>
          <w:rFonts w:ascii="Arial" w:cs="Arial" w:eastAsia="Arial" w:hAnsi="Arial"/>
          <w:sz w:val="18"/>
          <w:szCs w:val="18"/>
          <w:b w:val="1"/>
          <w:bCs w:val="1"/>
          <w:color w:val="auto"/>
        </w:rPr>
        <w:t xml:space="preserve"> </w:t>
      </w:r>
      <w:r>
        <w:rPr>
          <w:rFonts w:ascii="Arial" w:cs="Arial" w:eastAsia="Arial" w:hAnsi="Arial"/>
          <w:sz w:val="18"/>
          <w:szCs w:val="18"/>
          <w:color w:val="auto"/>
        </w:rPr>
        <w:t>primarily include exchange traded equity securities, mutual funds and U.S. Treasury bonds.</w:t>
      </w:r>
    </w:p>
    <w:p>
      <w:pPr>
        <w:spacing w:after="0" w:line="161" w:lineRule="exact"/>
        <w:rPr>
          <w:rFonts w:ascii="Arial" w:cs="Arial" w:eastAsia="Arial" w:hAnsi="Arial"/>
          <w:sz w:val="18"/>
          <w:szCs w:val="18"/>
          <w:color w:val="auto"/>
        </w:rPr>
      </w:pPr>
    </w:p>
    <w:p>
      <w:pPr>
        <w:ind w:left="340" w:right="40" w:hanging="332"/>
        <w:spacing w:after="0" w:line="314" w:lineRule="auto"/>
        <w:tabs>
          <w:tab w:leader="none" w:pos="304" w:val="left"/>
        </w:tabs>
        <w:numPr>
          <w:ilvl w:val="0"/>
          <w:numId w:val="19"/>
        </w:numPr>
        <w:rPr>
          <w:rFonts w:ascii="Arial" w:cs="Arial" w:eastAsia="Arial" w:hAnsi="Arial"/>
          <w:sz w:val="16"/>
          <w:szCs w:val="16"/>
          <w:color w:val="auto"/>
        </w:rPr>
      </w:pPr>
      <w:r>
        <w:rPr>
          <w:rFonts w:ascii="Arial" w:cs="Arial" w:eastAsia="Arial" w:hAnsi="Arial"/>
          <w:sz w:val="16"/>
          <w:szCs w:val="16"/>
          <w:b w:val="1"/>
          <w:bCs w:val="1"/>
          <w:color w:val="auto"/>
        </w:rPr>
        <w:t xml:space="preserve">Level 2 </w:t>
      </w:r>
      <w:r>
        <w:rPr>
          <w:rFonts w:ascii="Arial" w:cs="Arial" w:eastAsia="Arial" w:hAnsi="Arial"/>
          <w:sz w:val="16"/>
          <w:szCs w:val="16"/>
          <w:color w:val="auto"/>
        </w:rPr>
        <w:t>— Fair values are based on inputs other than quoted prices within Level 1 that are observable for the asset or liability, either directly or indirectly.</w:t>
      </w:r>
      <w:r>
        <w:rPr>
          <w:rFonts w:ascii="Arial" w:cs="Arial" w:eastAsia="Arial" w:hAnsi="Arial"/>
          <w:sz w:val="16"/>
          <w:szCs w:val="16"/>
          <w:b w:val="1"/>
          <w:bCs w:val="1"/>
          <w:color w:val="auto"/>
        </w:rPr>
        <w:t xml:space="preserve"> </w:t>
      </w:r>
      <w:r>
        <w:rPr>
          <w:rFonts w:ascii="Arial" w:cs="Arial" w:eastAsia="Arial" w:hAnsi="Arial"/>
          <w:sz w:val="16"/>
          <w:szCs w:val="16"/>
          <w:color w:val="auto"/>
        </w:rPr>
        <w:t>Our Level 2 assets and liabilities primarily include fixed maturities (including public and private bonds), equity securities, derivatives and other investments for which public quotations are not available but that are priced by third party pricing services or internal models using substantially all</w:t>
      </w:r>
    </w:p>
    <w:p>
      <w:pPr>
        <w:spacing w:after="0" w:line="20" w:lineRule="exact"/>
        <w:rPr>
          <w:sz w:val="20"/>
          <w:szCs w:val="20"/>
          <w:color w:val="auto"/>
        </w:rPr>
      </w:pPr>
    </w:p>
    <w:p>
      <w:pPr>
        <w:sectPr>
          <w:pgSz w:w="11900" w:h="16838" w:orient="portrait"/>
          <w:cols w:equalWidth="0" w:num="1">
            <w:col w:w="11420"/>
          </w:cols>
          <w:pgMar w:left="240" w:top="118" w:right="239" w:bottom="0" w:gutter="0" w:footer="0" w:header="0"/>
        </w:sectPr>
      </w:pPr>
    </w:p>
    <w:bookmarkStart w:id="36" w:name="page37"/>
    <w:bookmarkEnd w:id="36"/>
    <w:p>
      <w:pPr>
        <w:ind w:left="340" w:right="520"/>
        <w:spacing w:after="0" w:line="277" w:lineRule="auto"/>
        <w:rPr>
          <w:sz w:val="20"/>
          <w:szCs w:val="20"/>
          <w:color w:val="auto"/>
        </w:rPr>
      </w:pPr>
      <w:r>
        <w:rPr>
          <w:rFonts w:ascii="Arial" w:cs="Arial" w:eastAsia="Arial" w:hAnsi="Arial"/>
          <w:sz w:val="18"/>
          <w:szCs w:val="18"/>
          <w:color w:val="auto"/>
        </w:rPr>
        <w:t>observable inputs. Our level 2 assets also include commercial mortgage loan investments of consolidated VIEs for which the fair value option was elected.</w:t>
      </w:r>
    </w:p>
    <w:p>
      <w:pPr>
        <w:spacing w:after="0" w:line="166" w:lineRule="exact"/>
        <w:rPr>
          <w:sz w:val="20"/>
          <w:szCs w:val="20"/>
          <w:color w:val="auto"/>
        </w:rPr>
      </w:pPr>
    </w:p>
    <w:p>
      <w:pPr>
        <w:ind w:left="340" w:right="40" w:hanging="332"/>
        <w:spacing w:after="0" w:line="258" w:lineRule="auto"/>
        <w:tabs>
          <w:tab w:leader="none" w:pos="304" w:val="left"/>
        </w:tabs>
        <w:numPr>
          <w:ilvl w:val="0"/>
          <w:numId w:val="20"/>
        </w:numPr>
        <w:rPr>
          <w:rFonts w:ascii="Arial" w:cs="Arial" w:eastAsia="Arial" w:hAnsi="Arial"/>
          <w:sz w:val="18"/>
          <w:szCs w:val="18"/>
          <w:color w:val="auto"/>
        </w:rPr>
      </w:pPr>
      <w:r>
        <w:rPr>
          <w:rFonts w:ascii="Arial" w:cs="Arial" w:eastAsia="Arial" w:hAnsi="Arial"/>
          <w:sz w:val="18"/>
          <w:szCs w:val="18"/>
          <w:b w:val="1"/>
          <w:bCs w:val="1"/>
          <w:color w:val="auto"/>
        </w:rPr>
        <w:t xml:space="preserve">Level 3 </w:t>
      </w:r>
      <w:r>
        <w:rPr>
          <w:rFonts w:ascii="Arial" w:cs="Arial" w:eastAsia="Arial" w:hAnsi="Arial"/>
          <w:sz w:val="18"/>
          <w:szCs w:val="18"/>
          <w:color w:val="auto"/>
        </w:rPr>
        <w:t>— Fair values are based on at least one significant unobservable input for the asset or liability. Our Level 3 assets and liabilities include certain</w:t>
      </w:r>
      <w:r>
        <w:rPr>
          <w:rFonts w:ascii="Arial" w:cs="Arial" w:eastAsia="Arial" w:hAnsi="Arial"/>
          <w:sz w:val="18"/>
          <w:szCs w:val="18"/>
          <w:b w:val="1"/>
          <w:bCs w:val="1"/>
          <w:color w:val="auto"/>
        </w:rPr>
        <w:t xml:space="preserve"> </w:t>
      </w:r>
      <w:r>
        <w:rPr>
          <w:rFonts w:ascii="Arial" w:cs="Arial" w:eastAsia="Arial" w:hAnsi="Arial"/>
          <w:sz w:val="18"/>
          <w:szCs w:val="18"/>
          <w:color w:val="auto"/>
        </w:rPr>
        <w:t>assets and liabilities priced using broker quotes or other valuation methods that utilize at least one significant unobservable input. These include fixed maturities, private equity securities, real estate and commercial mortgage loan investments of our separate accounts, obligations of consolidated VIEs for which the fair value option was elected, complex derivatives, embedded derivatives and equity method real estate investments for which the fair value option was elected.</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Determination of Fair Value</w:t>
      </w:r>
    </w:p>
    <w:p>
      <w:pPr>
        <w:spacing w:after="0" w:line="229"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The following discussion describes the valuation methodologies and inputs used for assets and liabilities measured at fair value on a recurring basis or disclosed at fair value. The techniques utilized in estimating the fair values of financial instruments are reliant on the assumptions used. Care should be exercised in deriving conclusions about our business, its value or financial position based on the fair value information of financial instruments presented below.</w:t>
      </w:r>
    </w:p>
    <w:p>
      <w:pPr>
        <w:spacing w:after="0" w:line="187"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Fair value estimates are made based on available market information and judgments about the financial instrument at a specific point in time. Such estimates do not consider the tax impact of the realization of unrealized gains or losses. In addition, the disclosed fair value may not be realized in the immediate settlement of the financial instrument. We validate prices through an investment analyst review process, which includes validation through direct interaction with external sources, review of recent trade activity or use of internal models. In circumstances where broker quotes are used to value an instrument, we generally receive one non-binding quote. Broker quotes are validated through an investment analyst review process, which includes validation through direct interaction with external sources and use of internal models or other relevant information. Beginning in 2015 a measurement alternative is used for consolidated collateralized financing entities (“CCFEs”) utilizing the more observable of the fair value of the financial assets or the financial liabilities for both the financial assets and financial liabilities. We did not make any other significant changes to our valuation processes during 2015.</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w:t>
      </w:r>
    </w:p>
    <w:p>
      <w:pPr>
        <w:spacing w:after="0" w:line="225" w:lineRule="exact"/>
        <w:rPr>
          <w:sz w:val="20"/>
          <w:szCs w:val="20"/>
          <w:color w:val="auto"/>
        </w:rPr>
      </w:pPr>
    </w:p>
    <w:p>
      <w:pPr>
        <w:jc w:val="both"/>
        <w:ind w:right="160" w:firstLine="648"/>
        <w:spacing w:after="0" w:line="264" w:lineRule="auto"/>
        <w:rPr>
          <w:sz w:val="20"/>
          <w:szCs w:val="20"/>
          <w:color w:val="auto"/>
        </w:rPr>
      </w:pPr>
      <w:r>
        <w:rPr>
          <w:rFonts w:ascii="Arial" w:cs="Arial" w:eastAsia="Arial" w:hAnsi="Arial"/>
          <w:sz w:val="18"/>
          <w:szCs w:val="18"/>
          <w:color w:val="auto"/>
        </w:rPr>
        <w:t>Fixed maturities include bonds, ABS, redeemable preferred stock and certain nonredeemable preferred securities. When available, the fair value of fixed maturities is based on quoted prices of identical assets in active markets. These are reflected in Level 1 and primarily include U.S. Treasury bonds and actively traded redeemable corporate preferred securities.</w:t>
      </w:r>
    </w:p>
    <w:p>
      <w:pPr>
        <w:spacing w:after="0" w:line="181"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color w:val="auto"/>
        </w:rPr>
        <w:t>When quoted prices of identical assets in active markets are not available, our first priority is to obtain prices from third party pricing vendors. We have regular interaction with these vendors to ensure we understand their pricing methodologies and to confirm they are utilizing observable market information. Their methodologies vary by asset class and include inputs such as estimated cash flows, benchmark yields, reported trades, broker quotes, credit quality, industry events and economic events. Fixed maturities with validated prices from pricing services, which includes the majority of our public fixed maturities in all asset classes, are generally reflected in Level 2. Also included in Level 2 are corporate bonds where quoted market prices are not available, for which an internal model using substantially all observable inputs or a matrix pricing valuation approach is used. In the matrix approach, securities are grouped into pricing categories that vary by sector, rating and average life. Each pricing category is assigned a risk spread based on studies of observable public market data from the investment professionals assigned to specific security classes. The expected cash flows of the security are then discounted back at the current Treasury curve plus the appropriate risk spread. Although the matrix valuation approach provides a fair valuation of each pricing category, the valuation of an individual security within each pricing category may actually be impacted by company specific factors.</w:t>
      </w:r>
    </w:p>
    <w:p>
      <w:pPr>
        <w:spacing w:after="0" w:line="169" w:lineRule="exact"/>
        <w:rPr>
          <w:sz w:val="20"/>
          <w:szCs w:val="20"/>
          <w:color w:val="auto"/>
        </w:rPr>
      </w:pPr>
    </w:p>
    <w:p>
      <w:pPr>
        <w:ind w:right="140" w:firstLine="648"/>
        <w:spacing w:after="0" w:line="302" w:lineRule="auto"/>
        <w:rPr>
          <w:sz w:val="20"/>
          <w:szCs w:val="20"/>
          <w:color w:val="auto"/>
        </w:rPr>
      </w:pPr>
      <w:r>
        <w:rPr>
          <w:rFonts w:ascii="Arial" w:cs="Arial" w:eastAsia="Arial" w:hAnsi="Arial"/>
          <w:sz w:val="16"/>
          <w:szCs w:val="16"/>
          <w:color w:val="auto"/>
        </w:rPr>
        <w:t>If we are unable to price a fixed maturity security using prices from third party pricing vendors or other sources specific to the asset class, we may obtain a broker quote or utilize an internal pricing model specific to the asset utilizing relevant market information, to the extent available and where at least one significant unobservable input is utilized, which are reflected in Level 3 and can include fixed maturities across all asset classes. As of September 30, 2015, less than 1% of our fixed maturities were valued using internal pricing models, which were classified as Level 3 assets accordingly.</w:t>
      </w:r>
    </w:p>
    <w:p>
      <w:pPr>
        <w:spacing w:after="0" w:line="154" w:lineRule="exact"/>
        <w:rPr>
          <w:sz w:val="20"/>
          <w:szCs w:val="20"/>
          <w:color w:val="auto"/>
        </w:rPr>
      </w:pPr>
    </w:p>
    <w:p>
      <w:pPr>
        <w:ind w:right="120" w:firstLine="667"/>
        <w:spacing w:after="0" w:line="277" w:lineRule="auto"/>
        <w:rPr>
          <w:sz w:val="20"/>
          <w:szCs w:val="20"/>
          <w:color w:val="auto"/>
        </w:rPr>
      </w:pPr>
      <w:r>
        <w:rPr>
          <w:rFonts w:ascii="Arial" w:cs="Arial" w:eastAsia="Arial" w:hAnsi="Arial"/>
          <w:sz w:val="18"/>
          <w:szCs w:val="18"/>
          <w:color w:val="auto"/>
        </w:rPr>
        <w:t>The primary inputs, by asset class, for valuations of the majority of our Level 2 investments from third party pricing vendors or our internal pricing valuation approach are described below.</w:t>
      </w:r>
    </w:p>
    <w:p>
      <w:pPr>
        <w:spacing w:after="0" w:line="170"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b w:val="1"/>
          <w:bCs w:val="1"/>
          <w:i w:val="1"/>
          <w:iCs w:val="1"/>
          <w:color w:val="auto"/>
        </w:rPr>
        <w:t>U.S. Government and Agencies/Non-U.S. Governments</w:t>
      </w:r>
      <w:r>
        <w:rPr>
          <w:rFonts w:ascii="Arial" w:cs="Arial" w:eastAsia="Arial" w:hAnsi="Arial"/>
          <w:sz w:val="18"/>
          <w:szCs w:val="18"/>
          <w:color w:val="auto"/>
        </w:rPr>
        <w:t>. Inputs include recently executed market transactions, interest rate yield curves, maturity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dates, market price quotations and credit spreads relating to similar instruments.</w:t>
      </w:r>
    </w:p>
    <w:p>
      <w:pPr>
        <w:spacing w:after="0" w:line="170"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b w:val="1"/>
          <w:bCs w:val="1"/>
          <w:i w:val="1"/>
          <w:iCs w:val="1"/>
          <w:color w:val="auto"/>
        </w:rPr>
        <w:t>States and Political Subdivisions</w:t>
      </w:r>
      <w:r>
        <w:rPr>
          <w:rFonts w:ascii="Arial" w:cs="Arial" w:eastAsia="Arial" w:hAnsi="Arial"/>
          <w:sz w:val="18"/>
          <w:szCs w:val="18"/>
          <w:color w:val="auto"/>
        </w:rPr>
        <w:t>. Inputs include Municipal Securities Rulemaking Board reported trades, U.S. Treasury and other benchmark</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curves, material event notices, new issue data and obligor credit ratings.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ectPr>
          <w:pgSz w:w="11900" w:h="16838" w:orient="portrait"/>
          <w:cols w:equalWidth="0" w:num="1">
            <w:col w:w="11400"/>
          </w:cols>
          <w:pgMar w:left="240" w:top="125" w:right="259" w:bottom="0" w:gutter="0" w:footer="0" w:header="0"/>
        </w:sectPr>
      </w:pPr>
    </w:p>
    <w:bookmarkStart w:id="37" w:name="page38"/>
    <w:bookmarkEnd w:id="37"/>
    <w:p>
      <w:pPr>
        <w:ind w:right="160" w:firstLine="648"/>
        <w:spacing w:after="0" w:line="286" w:lineRule="auto"/>
        <w:rPr>
          <w:sz w:val="20"/>
          <w:szCs w:val="20"/>
          <w:color w:val="auto"/>
        </w:rPr>
      </w:pPr>
      <w:r>
        <w:rPr>
          <w:rFonts w:ascii="Arial" w:cs="Arial" w:eastAsia="Arial" w:hAnsi="Arial"/>
          <w:sz w:val="17"/>
          <w:szCs w:val="17"/>
          <w:b w:val="1"/>
          <w:bCs w:val="1"/>
          <w:i w:val="1"/>
          <w:iCs w:val="1"/>
          <w:color w:val="auto"/>
        </w:rPr>
        <w:t>Corporate</w:t>
      </w:r>
      <w:r>
        <w:rPr>
          <w:rFonts w:ascii="Arial" w:cs="Arial" w:eastAsia="Arial" w:hAnsi="Arial"/>
          <w:sz w:val="17"/>
          <w:szCs w:val="17"/>
          <w:color w:val="auto"/>
        </w:rPr>
        <w:t>. Inputs include recently executed transactions, market price quotations, benchmark yields, issuer spreads and observations of equity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credit default swap curves related to the issuer. For private placement corporate securities valued through the matrix valuation approach inputs include the current Treasury curve and risk spreads based on sector, rating and average life of the issuance.</w:t>
      </w:r>
    </w:p>
    <w:p>
      <w:pPr>
        <w:spacing w:after="0" w:line="166"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b w:val="1"/>
          <w:bCs w:val="1"/>
          <w:i w:val="1"/>
          <w:iCs w:val="1"/>
          <w:color w:val="auto"/>
        </w:rPr>
        <w:t>RMBS, CMBS, Collateralized Debt Obligations and Other Debt Obligations</w:t>
      </w:r>
      <w:r>
        <w:rPr>
          <w:rFonts w:ascii="Arial" w:cs="Arial" w:eastAsia="Arial" w:hAnsi="Arial"/>
          <w:sz w:val="18"/>
          <w:szCs w:val="18"/>
          <w:color w:val="auto"/>
        </w:rPr>
        <w:t>. Inputs include cash flows, priority of the tranche in the capital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structure, expected time to maturity for the specific tranche, reinvestment period remaining and performance of the underlying collateral including prepayments, defaults, deferrals, loss severity of defaulted collateral and, for RMBS, prepayment speed assumptions. Other inputs include market indices and recently executed market transactions.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Securities</w:t>
      </w:r>
    </w:p>
    <w:p>
      <w:pPr>
        <w:spacing w:after="0" w:line="225"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Equity securities include mutual funds, common stock, nonredeemable preferred stock and regulatory required investments. Fair values of equity securities are determined using quoted prices in active markets for identical assets when available, which are reflected in Level 1. When quoted prices are not available, we may utilize internal valuation methodologies appropriate for the specific asset that use observable inputs such as underlying share prices or the net asset value (“NAV”), which are reflected in Level 2. Fair values might also be determined using broker quotes or through the use of internal models or analysis that incorporate significant assumptions deemed appropriate given the circumstances and consistent with what other market participants would use when pricing such securities, which are reflected in Level 3.</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w:t>
      </w:r>
    </w:p>
    <w:p>
      <w:pPr>
        <w:spacing w:after="0" w:line="225"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The fair values of exchange-traded derivatives are determined through quoted market prices, which are reflected in Level 1. Exchange-traded derivatives include futures that are settled daily such that their fair value is not reflected in the consolidated statements of financial position. The fair values of derivative instruments cleared through centralized clearinghouses are determined through market prices published by the clearinghouses, which are reflected in Level 2. The clearinghouses may utilize the overnight indexed swap (“OIS”) curve in their valuation. The fair values of bilateral OTC derivative instruments are determined using either pricing valuation models that utilize market observable inputs or broker quotes. The majority of our bilateral OTC derivatives are valued with models that use market observable inputs, which are reflected in Level 2. Significant inputs include contractual terms, interest rates, currency exchange rates, credit spread curves, equity prices and volatilities. These valuation models consider projected discounted cash flows, relevant swap curves and appropriate implied volatilities. Certain bilateral OTC derivatives utilize unobservable market data, primarily independent broker quotes that are nonbinding quotes based on models that do not reflect the result of market transactions, which are reflected in Level 3.</w:t>
      </w:r>
    </w:p>
    <w:p>
      <w:pPr>
        <w:spacing w:after="0" w:line="167"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Our non-cleared derivative contracts are generally documented under ISDA Master Agreements, which provide for legally enforceable set-off and close-out netting of exposures to specific counterparties. Collateral arrangements are bilateral and based on current ratings of each entity. We utilize the LIBOR interest rate curve to value our positions, which includes a credit spread. This credit spread incorporates an appropriate level of nonperformance risk into our valuations given the current ratings of our counterparties, as well as the collateral agreements in place. Counterparty credit risk is routinely monitored to ensure our adjustment for non-performance risk is appropriate. Our centrally cleared derivative contracts are conducted with regulated centralized clearinghouses, which provide for daily exchange of cash collateral equal to the difference in the daily market values of those contracts that eliminates the non-performance risk on these trades.</w:t>
      </w:r>
    </w:p>
    <w:p>
      <w:pPr>
        <w:spacing w:after="0" w:line="18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Interest Rate Contracts. </w:t>
      </w:r>
      <w:r>
        <w:rPr>
          <w:rFonts w:ascii="Arial" w:cs="Arial" w:eastAsia="Arial" w:hAnsi="Arial"/>
          <w:sz w:val="18"/>
          <w:szCs w:val="18"/>
          <w:color w:val="auto"/>
        </w:rPr>
        <w:t>For non-cleared contracts we use discounted cash flow valuation techniques to determine the fair value of interest rate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swaps using observable swap curves as the inputs. These are reflected in Level 2. For centrally cleared contracts we use published prices from clearinghouses. These are reflected in Level 2. In addition, we have a limited number of complex inflation-linked interest rate swaps, interest rate collars and swaptions that are valued using broker quotes. These are reflected in Level 3.</w:t>
      </w:r>
    </w:p>
    <w:p>
      <w:pPr>
        <w:spacing w:after="0" w:line="187" w:lineRule="exact"/>
        <w:rPr>
          <w:sz w:val="20"/>
          <w:szCs w:val="20"/>
          <w:color w:val="auto"/>
        </w:rPr>
      </w:pPr>
    </w:p>
    <w:p>
      <w:pPr>
        <w:ind w:right="280" w:firstLine="648"/>
        <w:spacing w:after="0" w:line="259" w:lineRule="auto"/>
        <w:rPr>
          <w:sz w:val="20"/>
          <w:szCs w:val="20"/>
          <w:color w:val="auto"/>
        </w:rPr>
      </w:pPr>
      <w:r>
        <w:rPr>
          <w:rFonts w:ascii="Arial" w:cs="Arial" w:eastAsia="Arial" w:hAnsi="Arial"/>
          <w:sz w:val="18"/>
          <w:szCs w:val="18"/>
          <w:b w:val="1"/>
          <w:bCs w:val="1"/>
          <w:i w:val="1"/>
          <w:iCs w:val="1"/>
          <w:color w:val="auto"/>
        </w:rPr>
        <w:t xml:space="preserve">Foreign Exchange Contracts. </w:t>
      </w:r>
      <w:r>
        <w:rPr>
          <w:rFonts w:ascii="Arial" w:cs="Arial" w:eastAsia="Arial" w:hAnsi="Arial"/>
          <w:sz w:val="18"/>
          <w:szCs w:val="18"/>
          <w:color w:val="auto"/>
        </w:rPr>
        <w:t>We use discounted cash flow valuation techniques that utilize observable swap curves and exchange rates as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inputs to determine the fair value of foreign currency swaps. These are reflected in Level 2. Currency forwards are valued using observable market inputs, including forward currency exchange rates. These are reflected in Level 2. In addition, we have a limited number of non-standard currency swaps that are valued using broker quotes. These are reflected within Level 3.</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b w:val="1"/>
          <w:bCs w:val="1"/>
          <w:i w:val="1"/>
          <w:iCs w:val="1"/>
          <w:color w:val="auto"/>
        </w:rPr>
        <w:t xml:space="preserve">Equity Contracts. </w:t>
      </w:r>
      <w:r>
        <w:rPr>
          <w:rFonts w:ascii="Arial" w:cs="Arial" w:eastAsia="Arial" w:hAnsi="Arial"/>
          <w:sz w:val="18"/>
          <w:szCs w:val="18"/>
          <w:color w:val="auto"/>
        </w:rPr>
        <w:t>We use an option pricing model using observable implied volatilities, dividend yields, index prices and swap curves as the inputs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 determine the fair value of equity options. These are reflected in Level 2.</w:t>
      </w:r>
    </w:p>
    <w:p>
      <w:pPr>
        <w:spacing w:after="0" w:line="170" w:lineRule="exact"/>
        <w:rPr>
          <w:sz w:val="20"/>
          <w:szCs w:val="20"/>
          <w:color w:val="auto"/>
        </w:rPr>
      </w:pPr>
    </w:p>
    <w:p>
      <w:pPr>
        <w:ind w:right="120" w:firstLine="648"/>
        <w:spacing w:after="0" w:line="312" w:lineRule="auto"/>
        <w:rPr>
          <w:sz w:val="20"/>
          <w:szCs w:val="20"/>
          <w:color w:val="auto"/>
        </w:rPr>
      </w:pPr>
      <w:r>
        <w:rPr>
          <w:rFonts w:ascii="Arial" w:cs="Arial" w:eastAsia="Arial" w:hAnsi="Arial"/>
          <w:sz w:val="16"/>
          <w:szCs w:val="16"/>
          <w:b w:val="1"/>
          <w:bCs w:val="1"/>
          <w:i w:val="1"/>
          <w:iCs w:val="1"/>
          <w:color w:val="auto"/>
        </w:rPr>
        <w:t xml:space="preserve">Credit Contracts. </w:t>
      </w:r>
      <w:r>
        <w:rPr>
          <w:rFonts w:ascii="Arial" w:cs="Arial" w:eastAsia="Arial" w:hAnsi="Arial"/>
          <w:sz w:val="16"/>
          <w:szCs w:val="16"/>
          <w:color w:val="auto"/>
        </w:rPr>
        <w:t>We use either the ISDA Credit Default Swap Standard discounted cash flow model that utilizes observable default probabilities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recovery rates as inputs or broker prices to determine the fair value of credit default swaps. These are reflected in Level 3. In addition, we have a limited number of total return swaps that are valued based on the observable quoted price of underlying equity indices. These are reflected in Level 2.</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Investments</w:t>
      </w:r>
    </w:p>
    <w:p>
      <w:pPr>
        <w:spacing w:after="0" w:line="225"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Other investments reported at fair value include seed money investments, other investment funds, commercial mortgage loans of consolidated VIEs and equity method real estate investments for which the fair value option was elected.</w:t>
      </w:r>
    </w:p>
    <w:p>
      <w:pPr>
        <w:spacing w:after="0" w:line="170"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The fair value of seed money and other investment funds is determined using the NAV of the fund. The NAV of the fund represents the price at which we feel we would be able to initiate a transaction. Seed money investments in mutual funds for which the NAV represents a quoted price in an active market for identical assets are reflected in Level 1. Seed money investments in mutual funds that do not have a quoted price in an active market and other investment funds, which are relatively illiquid due to restrictions on sale, are reflected in Level 2.</w:t>
      </w:r>
    </w:p>
    <w:p>
      <w:pPr>
        <w:sectPr>
          <w:pgSz w:w="11900" w:h="16838" w:orient="portrait"/>
          <w:cols w:equalWidth="0" w:num="1">
            <w:col w:w="11400"/>
          </w:cols>
          <w:pgMar w:left="240" w:top="125" w:right="259" w:bottom="61" w:gutter="0" w:footer="0" w:header="0"/>
        </w:sectPr>
      </w:pPr>
    </w:p>
    <w:bookmarkStart w:id="38" w:name="page39"/>
    <w:bookmarkEnd w:id="38"/>
    <w:p>
      <w:pPr>
        <w:spacing w:after="0" w:line="62"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Commercial mortgage loans of consolidated VIEs valued using the measurement alternative for CCFEs are reflected in Level 2. These investments are based on the more observable fair value of the liabilities of the consolidated VIEs.</w:t>
      </w:r>
    </w:p>
    <w:p>
      <w:pPr>
        <w:spacing w:after="0" w:line="170"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Prior to 2015, commercial mortgage loans of consolidated VIEs for which the fair value option was elected were reflected in Level 3. The fair value of the commercial mortgage loans was computed utilizing a discount rate based on the current market. The market discount rate was then adjusted based on various factors that differentiate it from our pool of loans. Equity method real estate investments for which the fair value option was elected are reflected in Level 3. The equity method real estate investments consist of underlying real estate and debt. The real estate fair value is estimated using a discounted cash flow valuation model that utilizes public real estate market data inputs such as transaction prices, market rents, vacancy levels, leasing absorption, market cap rates and discount rates. The debt fair value is estimated using a discounted cash flow analysis based on our incremental borrowing rate for similar borrowing arrangements.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Certain cash equivalents are reported at fair value on a recurring basis and include money market instruments and other short-term investments with maturities of less than three months. Fair values of these cash equivalents may be determined using public quotations, when available, which are reflected in Level 1. When public quotations are not available, because of the highly liquid nature of these assets, carrying amounts may be used to approximate fair values, which are reflected in Level 2.</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Separate Account Assets</w:t>
      </w:r>
    </w:p>
    <w:p>
      <w:pPr>
        <w:spacing w:after="0" w:line="225" w:lineRule="exact"/>
        <w:rPr>
          <w:sz w:val="20"/>
          <w:szCs w:val="20"/>
          <w:color w:val="auto"/>
        </w:rPr>
      </w:pPr>
    </w:p>
    <w:p>
      <w:pPr>
        <w:ind w:right="80" w:firstLine="648"/>
        <w:spacing w:after="0" w:line="271" w:lineRule="auto"/>
        <w:rPr>
          <w:sz w:val="20"/>
          <w:szCs w:val="20"/>
          <w:color w:val="auto"/>
        </w:rPr>
      </w:pPr>
      <w:r>
        <w:rPr>
          <w:rFonts w:ascii="Arial" w:cs="Arial" w:eastAsia="Arial" w:hAnsi="Arial"/>
          <w:sz w:val="17"/>
          <w:szCs w:val="17"/>
          <w:color w:val="auto"/>
        </w:rPr>
        <w:t>Separate account assets include equity securities, debt securities and derivative instruments, for which fair values are determined as previously described, and are reflected in Level 1, Level 2 and Level 3. Separate account assets also include commercial mortgage loans, for which the fair value is estimated by discounting the expected total cash flows using market rates that are applicable to the yield, credit quality and maturity of the loans. The market clearing spreads vary based on mortgage type, weighted average life, rating and liquidity. These are reflected in Level 3. Finally, separate account assets include real estate, for which the fair value is estimated using discounted cash flow valuation models that utilize various public real estate market data inputs. In addition, each property is appraised annually by an independent appraiser. The real estate included in separate account assets is recorded net of related mortgage encumbrances for which the fair value is estimated using discounted cash flow analysis based on our incremental borrowing rate for similar borrowing arrangements. The real estate within the separate accounts is reflected in Level 3.</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Investment-Type Insurance Contracts</w:t>
      </w:r>
    </w:p>
    <w:p>
      <w:pPr>
        <w:spacing w:after="0" w:line="225"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Certain annuity contracts and other investment-type insurance contracts include embedded derivatives that have been bifurcated from the host contract and that are measured at fair value on a recurring basis, which are reflected in Level 3. The key assumptions for calculating the fair value of the embedded derivative liabilities are market assumptions (such as equity market returns, interest rate levels, market volatility and correlations) and policyholder behavior assumptions (such as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lapse, mortality, utilization and withdrawal patterns). Risk margins are included in the policyholder behavior assumptions. The assumptions are based on a combination of historical data and actuarial judgment. The embedded derivative liabilities are valued using stochastic models that incorporate a spread reflecting our own creditworthiness.</w:t>
      </w:r>
    </w:p>
    <w:p>
      <w:pPr>
        <w:spacing w:after="0" w:line="181"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The assumption for our own non-performance risk for investment-type insurance contracts and any embedded derivatives bifurcated from certain annuity and investment-type insurance contracts is based on the current market credit spreads for debt-like instruments that we have issued and are available in the market.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Liabilities</w:t>
      </w:r>
    </w:p>
    <w:p>
      <w:pPr>
        <w:spacing w:after="0" w:line="225" w:lineRule="exact"/>
        <w:rPr>
          <w:sz w:val="20"/>
          <w:szCs w:val="20"/>
          <w:color w:val="auto"/>
        </w:rPr>
      </w:pPr>
    </w:p>
    <w:p>
      <w:pPr>
        <w:ind w:right="100" w:firstLine="648"/>
        <w:spacing w:after="0" w:line="312" w:lineRule="auto"/>
        <w:rPr>
          <w:sz w:val="20"/>
          <w:szCs w:val="20"/>
          <w:color w:val="auto"/>
        </w:rPr>
      </w:pPr>
      <w:r>
        <w:rPr>
          <w:rFonts w:ascii="Arial" w:cs="Arial" w:eastAsia="Arial" w:hAnsi="Arial"/>
          <w:sz w:val="16"/>
          <w:szCs w:val="16"/>
          <w:color w:val="auto"/>
        </w:rPr>
        <w:t>Certain obligations reported in other liabilities include embedded derivatives to deliver underlying securities of structured investments to third parties. The fair value of the embedded derivatives is calculated based on the value of the underlying securities that are valued based on prices obtained from third party pricing vendors as utilized and described in our discussion of how fair value is determined for fixed maturities, which are reflected in Level 2.</w:t>
      </w:r>
    </w:p>
    <w:p>
      <w:pPr>
        <w:spacing w:after="0" w:line="147" w:lineRule="exact"/>
        <w:rPr>
          <w:sz w:val="20"/>
          <w:szCs w:val="20"/>
          <w:color w:val="auto"/>
        </w:rPr>
      </w:pPr>
    </w:p>
    <w:p>
      <w:pPr>
        <w:jc w:val="both"/>
        <w:ind w:right="40" w:firstLine="648"/>
        <w:spacing w:after="0" w:line="264" w:lineRule="auto"/>
        <w:rPr>
          <w:sz w:val="20"/>
          <w:szCs w:val="20"/>
          <w:color w:val="auto"/>
        </w:rPr>
      </w:pPr>
      <w:r>
        <w:rPr>
          <w:rFonts w:ascii="Arial" w:cs="Arial" w:eastAsia="Arial" w:hAnsi="Arial"/>
          <w:sz w:val="18"/>
          <w:szCs w:val="18"/>
          <w:color w:val="auto"/>
        </w:rPr>
        <w:t>Additionally, obligations of consolidated VIEs for which the fair value option was elected are included in other liabilities. The VIEs’ obligations are valued either based on prices obtained from third party pricing vendors which are reflected in Level 2, or internal pricing models, which are reflected in Level 3.</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and Liabilities Measured at Fair Value on a Recurring Basis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Assets and liabilities measured at fair value on a recurring basis are summarized below.</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7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2"/>
          </w:tcPr>
          <w:p>
            <w:pPr>
              <w:jc w:val="center"/>
              <w:ind w:left="541"/>
              <w:spacing w:after="0"/>
              <w:rPr>
                <w:sz w:val="20"/>
                <w:szCs w:val="20"/>
                <w:color w:val="auto"/>
              </w:rPr>
            </w:pPr>
            <w:r>
              <w:rPr>
                <w:rFonts w:ascii="Arial" w:cs="Arial" w:eastAsia="Arial" w:hAnsi="Arial"/>
                <w:sz w:val="14"/>
                <w:szCs w:val="14"/>
                <w:b w:val="1"/>
                <w:bCs w:val="1"/>
                <w:color w:val="auto"/>
                <w:w w:val="91"/>
              </w:rPr>
              <w:t>September 30, 2015</w:t>
            </w:r>
          </w:p>
        </w:tc>
        <w:tc>
          <w:tcPr>
            <w:tcW w:w="11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78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60" w:type="dxa"/>
            <w:vAlign w:val="bottom"/>
          </w:tcPr>
          <w:p>
            <w:pPr>
              <w:jc w:val="center"/>
              <w:ind w:right="423"/>
              <w:spacing w:after="0" w:line="119" w:lineRule="exact"/>
              <w:rPr>
                <w:sz w:val="20"/>
                <w:szCs w:val="20"/>
                <w:color w:val="auto"/>
              </w:rPr>
            </w:pPr>
            <w:r>
              <w:rPr>
                <w:rFonts w:ascii="Arial" w:cs="Arial" w:eastAsia="Arial" w:hAnsi="Arial"/>
                <w:sz w:val="13"/>
                <w:szCs w:val="13"/>
                <w:b w:val="1"/>
                <w:bCs w:val="1"/>
                <w:color w:val="auto"/>
                <w:w w:val="95"/>
              </w:rPr>
              <w:t>Assets/</w:t>
            </w:r>
          </w:p>
        </w:tc>
        <w:tc>
          <w:tcPr>
            <w:tcW w:w="28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74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7"/>
              </w:rPr>
              <w:t>Fair value hierarchy level</w:t>
            </w:r>
          </w:p>
        </w:tc>
        <w:tc>
          <w:tcPr>
            <w:tcW w:w="3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jc w:val="center"/>
              <w:ind w:right="423"/>
              <w:spacing w:after="0" w:line="149" w:lineRule="exact"/>
              <w:rPr>
                <w:sz w:val="20"/>
                <w:szCs w:val="20"/>
                <w:color w:val="auto"/>
              </w:rPr>
            </w:pPr>
            <w:r>
              <w:rPr>
                <w:rFonts w:ascii="Arial" w:cs="Arial" w:eastAsia="Arial" w:hAnsi="Arial"/>
                <w:sz w:val="14"/>
                <w:szCs w:val="14"/>
                <w:b w:val="1"/>
                <w:bCs w:val="1"/>
                <w:color w:val="auto"/>
                <w:w w:val="92"/>
              </w:rPr>
              <w:t>(liabilities)</w:t>
            </w:r>
          </w:p>
        </w:tc>
        <w:tc>
          <w:tcPr>
            <w:tcW w:w="2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740" w:type="dxa"/>
            <w:vAlign w:val="bottom"/>
            <w:gridSpan w:val="2"/>
            <w:vMerge w:val="continue"/>
          </w:tcPr>
          <w:p>
            <w:pPr>
              <w:spacing w:after="0"/>
              <w:rPr>
                <w:sz w:val="12"/>
                <w:szCs w:val="12"/>
                <w:color w:val="auto"/>
              </w:rPr>
            </w:pPr>
          </w:p>
        </w:tc>
        <w:tc>
          <w:tcPr>
            <w:tcW w:w="3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
        </w:trPr>
        <w:tc>
          <w:tcPr>
            <w:tcW w:w="37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vMerge w:val="restart"/>
          </w:tcPr>
          <w:p>
            <w:pPr>
              <w:jc w:val="center"/>
              <w:ind w:right="423"/>
              <w:spacing w:after="0" w:line="149" w:lineRule="exact"/>
              <w:rPr>
                <w:sz w:val="20"/>
                <w:szCs w:val="20"/>
                <w:color w:val="auto"/>
              </w:rPr>
            </w:pPr>
            <w:r>
              <w:rPr>
                <w:rFonts w:ascii="Arial" w:cs="Arial" w:eastAsia="Arial" w:hAnsi="Arial"/>
                <w:sz w:val="14"/>
                <w:szCs w:val="14"/>
                <w:b w:val="1"/>
                <w:bCs w:val="1"/>
                <w:color w:val="auto"/>
                <w:w w:val="92"/>
              </w:rPr>
              <w:t>measured at</w:t>
            </w:r>
          </w:p>
        </w:tc>
        <w:tc>
          <w:tcPr>
            <w:tcW w:w="2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6"/>
        </w:trPr>
        <w:tc>
          <w:tcPr>
            <w:tcW w:w="378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6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1180" w:type="dxa"/>
            <w:vAlign w:val="bottom"/>
            <w:vMerge w:val="restart"/>
          </w:tcPr>
          <w:p>
            <w:pPr>
              <w:jc w:val="right"/>
              <w:ind w:right="461"/>
              <w:spacing w:after="0"/>
              <w:rPr>
                <w:sz w:val="20"/>
                <w:szCs w:val="20"/>
                <w:color w:val="auto"/>
              </w:rPr>
            </w:pPr>
            <w:r>
              <w:rPr>
                <w:rFonts w:ascii="Arial" w:cs="Arial" w:eastAsia="Arial" w:hAnsi="Arial"/>
                <w:sz w:val="14"/>
                <w:szCs w:val="14"/>
                <w:b w:val="1"/>
                <w:bCs w:val="1"/>
                <w:color w:val="auto"/>
              </w:rPr>
              <w:t>Level 1</w:t>
            </w:r>
          </w:p>
        </w:tc>
        <w:tc>
          <w:tcPr>
            <w:tcW w:w="640" w:type="dxa"/>
            <w:vAlign w:val="bottom"/>
          </w:tcPr>
          <w:p>
            <w:pPr>
              <w:spacing w:after="0"/>
              <w:rPr>
                <w:sz w:val="9"/>
                <w:szCs w:val="9"/>
                <w:color w:val="auto"/>
              </w:rPr>
            </w:pPr>
          </w:p>
        </w:tc>
        <w:tc>
          <w:tcPr>
            <w:tcW w:w="1100" w:type="dxa"/>
            <w:vAlign w:val="bottom"/>
            <w:vMerge w:val="restart"/>
          </w:tcPr>
          <w:p>
            <w:pPr>
              <w:jc w:val="right"/>
              <w:ind w:right="556"/>
              <w:spacing w:after="0"/>
              <w:rPr>
                <w:sz w:val="20"/>
                <w:szCs w:val="20"/>
                <w:color w:val="auto"/>
              </w:rPr>
            </w:pPr>
            <w:r>
              <w:rPr>
                <w:rFonts w:ascii="Arial" w:cs="Arial" w:eastAsia="Arial" w:hAnsi="Arial"/>
                <w:sz w:val="14"/>
                <w:szCs w:val="14"/>
                <w:b w:val="1"/>
                <w:bCs w:val="1"/>
                <w:color w:val="auto"/>
                <w:w w:val="92"/>
              </w:rPr>
              <w:t>Level 2</w:t>
            </w:r>
          </w:p>
        </w:tc>
        <w:tc>
          <w:tcPr>
            <w:tcW w:w="380" w:type="dxa"/>
            <w:vAlign w:val="bottom"/>
          </w:tcPr>
          <w:p>
            <w:pPr>
              <w:spacing w:after="0"/>
              <w:rPr>
                <w:sz w:val="9"/>
                <w:szCs w:val="9"/>
                <w:color w:val="auto"/>
              </w:rPr>
            </w:pPr>
          </w:p>
        </w:tc>
        <w:tc>
          <w:tcPr>
            <w:tcW w:w="118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171"/>
        </w:trPr>
        <w:tc>
          <w:tcPr>
            <w:tcW w:w="37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60" w:type="dxa"/>
            <w:vAlign w:val="bottom"/>
          </w:tcPr>
          <w:p>
            <w:pPr>
              <w:jc w:val="center"/>
              <w:ind w:right="423"/>
              <w:spacing w:after="0"/>
              <w:rPr>
                <w:sz w:val="20"/>
                <w:szCs w:val="20"/>
                <w:color w:val="auto"/>
              </w:rPr>
            </w:pPr>
            <w:r>
              <w:rPr>
                <w:rFonts w:ascii="Arial" w:cs="Arial" w:eastAsia="Arial" w:hAnsi="Arial"/>
                <w:sz w:val="14"/>
                <w:szCs w:val="14"/>
                <w:b w:val="1"/>
                <w:bCs w:val="1"/>
                <w:color w:val="auto"/>
                <w:w w:val="97"/>
              </w:rPr>
              <w:t>fair value</w:t>
            </w:r>
          </w:p>
        </w:tc>
        <w:tc>
          <w:tcPr>
            <w:tcW w:w="280" w:type="dxa"/>
            <w:vAlign w:val="bottom"/>
          </w:tcPr>
          <w:p>
            <w:pPr>
              <w:spacing w:after="0"/>
              <w:rPr>
                <w:sz w:val="14"/>
                <w:szCs w:val="14"/>
                <w:color w:val="auto"/>
              </w:rPr>
            </w:pPr>
          </w:p>
        </w:tc>
        <w:tc>
          <w:tcPr>
            <w:tcW w:w="1180" w:type="dxa"/>
            <w:vAlign w:val="bottom"/>
            <w:vMerge w:val="continue"/>
          </w:tcPr>
          <w:p>
            <w:pPr>
              <w:spacing w:after="0"/>
              <w:rPr>
                <w:sz w:val="14"/>
                <w:szCs w:val="14"/>
                <w:color w:val="auto"/>
              </w:rPr>
            </w:pPr>
          </w:p>
        </w:tc>
        <w:tc>
          <w:tcPr>
            <w:tcW w:w="640" w:type="dxa"/>
            <w:vAlign w:val="bottom"/>
          </w:tcPr>
          <w:p>
            <w:pPr>
              <w:spacing w:after="0"/>
              <w:rPr>
                <w:sz w:val="14"/>
                <w:szCs w:val="14"/>
                <w:color w:val="auto"/>
              </w:rPr>
            </w:pPr>
          </w:p>
        </w:tc>
        <w:tc>
          <w:tcPr>
            <w:tcW w:w="1100" w:type="dxa"/>
            <w:vAlign w:val="bottom"/>
            <w:vMerge w:val="continue"/>
          </w:tcPr>
          <w:p>
            <w:pPr>
              <w:spacing w:after="0"/>
              <w:rPr>
                <w:sz w:val="14"/>
                <w:szCs w:val="14"/>
                <w:color w:val="auto"/>
              </w:rPr>
            </w:pPr>
          </w:p>
        </w:tc>
        <w:tc>
          <w:tcPr>
            <w:tcW w:w="380" w:type="dxa"/>
            <w:vAlign w:val="bottom"/>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78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46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820" w:type="dxa"/>
            <w:vAlign w:val="bottom"/>
            <w:tcBorders>
              <w:top w:val="single" w:sz="8" w:color="auto"/>
            </w:tcBorders>
            <w:gridSpan w:val="2"/>
          </w:tcPr>
          <w:p>
            <w:pPr>
              <w:jc w:val="center"/>
              <w:ind w:left="521"/>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10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U.S. government and agencies</w:t>
            </w: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460" w:type="dxa"/>
            <w:vAlign w:val="bottom"/>
            <w:shd w:val="clear" w:color="auto" w:fill="CCEEFF"/>
          </w:tcPr>
          <w:p>
            <w:pPr>
              <w:jc w:val="right"/>
              <w:ind w:right="223"/>
              <w:spacing w:after="0"/>
              <w:rPr>
                <w:sz w:val="20"/>
                <w:szCs w:val="20"/>
                <w:color w:val="auto"/>
              </w:rPr>
            </w:pPr>
            <w:r>
              <w:rPr>
                <w:rFonts w:ascii="Arial" w:cs="Arial" w:eastAsia="Arial" w:hAnsi="Arial"/>
                <w:sz w:val="18"/>
                <w:szCs w:val="18"/>
                <w:b w:val="1"/>
                <w:bCs w:val="1"/>
                <w:color w:val="auto"/>
              </w:rPr>
              <w:t>1,543.6</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180" w:type="dxa"/>
            <w:vAlign w:val="bottom"/>
            <w:shd w:val="clear" w:color="auto" w:fill="CCEEFF"/>
          </w:tcPr>
          <w:p>
            <w:pPr>
              <w:jc w:val="right"/>
              <w:ind w:right="1"/>
              <w:spacing w:after="0"/>
              <w:rPr>
                <w:sz w:val="20"/>
                <w:szCs w:val="20"/>
                <w:color w:val="auto"/>
              </w:rPr>
            </w:pPr>
            <w:r>
              <w:rPr>
                <w:rFonts w:ascii="Arial" w:cs="Arial" w:eastAsia="Arial" w:hAnsi="Arial"/>
                <w:sz w:val="18"/>
                <w:szCs w:val="18"/>
                <w:b w:val="1"/>
                <w:bCs w:val="1"/>
                <w:color w:val="auto"/>
              </w:rPr>
              <w:t>895.7</w:t>
            </w:r>
          </w:p>
        </w:tc>
        <w:tc>
          <w:tcPr>
            <w:tcW w:w="640" w:type="dxa"/>
            <w:vAlign w:val="bottom"/>
            <w:shd w:val="clear" w:color="auto" w:fill="CCEEFF"/>
          </w:tcPr>
          <w:p>
            <w:pPr>
              <w:jc w:val="right"/>
              <w:ind w:right="259"/>
              <w:spacing w:after="0"/>
              <w:rPr>
                <w:sz w:val="20"/>
                <w:szCs w:val="20"/>
                <w:color w:val="auto"/>
              </w:rPr>
            </w:pPr>
            <w:r>
              <w:rPr>
                <w:rFonts w:ascii="Arial" w:cs="Arial" w:eastAsia="Arial" w:hAnsi="Arial"/>
                <w:sz w:val="18"/>
                <w:szCs w:val="18"/>
                <w:b w:val="1"/>
                <w:bCs w:val="1"/>
                <w:color w:val="auto"/>
              </w:rPr>
              <w:t>$</w:t>
            </w:r>
          </w:p>
        </w:tc>
        <w:tc>
          <w:tcPr>
            <w:tcW w:w="1100" w:type="dxa"/>
            <w:vAlign w:val="bottom"/>
            <w:shd w:val="clear" w:color="auto" w:fill="CCEEFF"/>
          </w:tcPr>
          <w:p>
            <w:pPr>
              <w:jc w:val="right"/>
              <w:ind w:right="96"/>
              <w:spacing w:after="0"/>
              <w:rPr>
                <w:sz w:val="20"/>
                <w:szCs w:val="20"/>
                <w:color w:val="auto"/>
              </w:rPr>
            </w:pPr>
            <w:r>
              <w:rPr>
                <w:rFonts w:ascii="Arial" w:cs="Arial" w:eastAsia="Arial" w:hAnsi="Arial"/>
                <w:sz w:val="18"/>
                <w:szCs w:val="18"/>
                <w:b w:val="1"/>
                <w:bCs w:val="1"/>
                <w:color w:val="auto"/>
              </w:rPr>
              <w:t>647.9</w:t>
            </w:r>
          </w:p>
        </w:tc>
        <w:tc>
          <w:tcPr>
            <w:tcW w:w="38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378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Non-U.S. governments</w:t>
            </w:r>
          </w:p>
        </w:tc>
        <w:tc>
          <w:tcPr>
            <w:tcW w:w="122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1460" w:type="dxa"/>
            <w:vAlign w:val="bottom"/>
            <w:tcBorders>
              <w:bottom w:val="single" w:sz="8" w:color="CCEEFF"/>
            </w:tcBorders>
          </w:tcPr>
          <w:p>
            <w:pPr>
              <w:jc w:val="right"/>
              <w:ind w:right="223"/>
              <w:spacing w:after="0"/>
              <w:rPr>
                <w:sz w:val="20"/>
                <w:szCs w:val="20"/>
                <w:color w:val="auto"/>
              </w:rPr>
            </w:pPr>
            <w:r>
              <w:rPr>
                <w:rFonts w:ascii="Arial" w:cs="Arial" w:eastAsia="Arial" w:hAnsi="Arial"/>
                <w:sz w:val="18"/>
                <w:szCs w:val="18"/>
                <w:b w:val="1"/>
                <w:bCs w:val="1"/>
                <w:color w:val="auto"/>
              </w:rPr>
              <w:t>787.7</w:t>
            </w:r>
          </w:p>
        </w:tc>
        <w:tc>
          <w:tcPr>
            <w:tcW w:w="280" w:type="dxa"/>
            <w:vAlign w:val="bottom"/>
            <w:tcBorders>
              <w:bottom w:val="single" w:sz="8" w:color="CCEEFF"/>
            </w:tcBorders>
          </w:tcPr>
          <w:p>
            <w:pPr>
              <w:spacing w:after="0"/>
              <w:rPr>
                <w:sz w:val="18"/>
                <w:szCs w:val="18"/>
                <w:color w:val="auto"/>
              </w:rPr>
            </w:pPr>
          </w:p>
        </w:tc>
        <w:tc>
          <w:tcPr>
            <w:tcW w:w="1180" w:type="dxa"/>
            <w:vAlign w:val="bottom"/>
            <w:tcBorders>
              <w:bottom w:val="single" w:sz="8" w:color="CCEEFF"/>
            </w:tcBorders>
          </w:tcPr>
          <w:p>
            <w:pPr>
              <w:jc w:val="right"/>
              <w:ind w:right="1"/>
              <w:spacing w:after="0"/>
              <w:rPr>
                <w:sz w:val="20"/>
                <w:szCs w:val="20"/>
                <w:color w:val="auto"/>
              </w:rPr>
            </w:pPr>
            <w:r>
              <w:rPr>
                <w:rFonts w:ascii="Arial" w:cs="Arial" w:eastAsia="Arial" w:hAnsi="Arial"/>
                <w:sz w:val="18"/>
                <w:szCs w:val="18"/>
                <w:b w:val="1"/>
                <w:bCs w:val="1"/>
                <w:color w:val="auto"/>
              </w:rPr>
              <w:t>2.8</w:t>
            </w:r>
          </w:p>
        </w:tc>
        <w:tc>
          <w:tcPr>
            <w:tcW w:w="640" w:type="dxa"/>
            <w:vAlign w:val="bottom"/>
            <w:tcBorders>
              <w:bottom w:val="single" w:sz="8" w:color="CCEEFF"/>
            </w:tcBorders>
          </w:tcPr>
          <w:p>
            <w:pPr>
              <w:spacing w:after="0"/>
              <w:rPr>
                <w:sz w:val="18"/>
                <w:szCs w:val="18"/>
                <w:color w:val="auto"/>
              </w:rPr>
            </w:pPr>
          </w:p>
        </w:tc>
        <w:tc>
          <w:tcPr>
            <w:tcW w:w="1100" w:type="dxa"/>
            <w:vAlign w:val="bottom"/>
            <w:tcBorders>
              <w:bottom w:val="single" w:sz="8" w:color="CCEEFF"/>
            </w:tcBorders>
          </w:tcPr>
          <w:p>
            <w:pPr>
              <w:jc w:val="right"/>
              <w:ind w:right="96"/>
              <w:spacing w:after="0"/>
              <w:rPr>
                <w:sz w:val="20"/>
                <w:szCs w:val="20"/>
                <w:color w:val="auto"/>
              </w:rPr>
            </w:pPr>
            <w:r>
              <w:rPr>
                <w:rFonts w:ascii="Arial" w:cs="Arial" w:eastAsia="Arial" w:hAnsi="Arial"/>
                <w:sz w:val="18"/>
                <w:szCs w:val="18"/>
                <w:b w:val="1"/>
                <w:bCs w:val="1"/>
                <w:color w:val="auto"/>
              </w:rPr>
              <w:t>736.0</w:t>
            </w:r>
          </w:p>
        </w:tc>
        <w:tc>
          <w:tcPr>
            <w:tcW w:w="380" w:type="dxa"/>
            <w:vAlign w:val="bottom"/>
            <w:tcBorders>
              <w:bottom w:val="single" w:sz="8" w:color="CCEEFF"/>
            </w:tcBorders>
          </w:tcPr>
          <w:p>
            <w:pPr>
              <w:spacing w:after="0"/>
              <w:rPr>
                <w:sz w:val="18"/>
                <w:szCs w:val="18"/>
                <w:color w:val="auto"/>
              </w:rPr>
            </w:pPr>
          </w:p>
        </w:tc>
        <w:tc>
          <w:tcPr>
            <w:tcW w:w="118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b w:val="1"/>
                <w:bCs w:val="1"/>
                <w:color w:val="auto"/>
              </w:rPr>
              <w:t>48.9</w:t>
            </w:r>
          </w:p>
        </w:tc>
        <w:tc>
          <w:tcPr>
            <w:tcW w:w="0" w:type="dxa"/>
            <w:vAlign w:val="bottom"/>
          </w:tcPr>
          <w:p>
            <w:pPr>
              <w:spacing w:after="0"/>
              <w:rPr>
                <w:sz w:val="1"/>
                <w:szCs w:val="1"/>
                <w:color w:val="auto"/>
              </w:rPr>
            </w:pPr>
          </w:p>
        </w:tc>
      </w:tr>
    </w:tbl>
    <w:p>
      <w:pPr>
        <w:sectPr>
          <w:pgSz w:w="11900" w:h="16900" w:orient="portrait"/>
          <w:cols w:equalWidth="0" w:num="1">
            <w:col w:w="11420"/>
          </w:cols>
          <w:pgMar w:left="240" w:top="125" w:right="239" w:bottom="0" w:gutter="0" w:footer="0" w:header="0"/>
        </w:sectPr>
      </w:pPr>
    </w:p>
    <w:bookmarkStart w:id="39" w:name="page40"/>
    <w:bookmarkEnd w:id="3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States and political subdivisions</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4,455.7</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4,455.7</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ind w:left="180"/>
              <w:spacing w:after="0"/>
              <w:rPr>
                <w:sz w:val="20"/>
                <w:szCs w:val="20"/>
                <w:color w:val="auto"/>
              </w:rPr>
            </w:pPr>
            <w:r>
              <w:rPr>
                <w:rFonts w:ascii="Arial" w:cs="Arial" w:eastAsia="Arial" w:hAnsi="Arial"/>
                <w:sz w:val="18"/>
                <w:szCs w:val="18"/>
                <w:color w:val="auto"/>
              </w:rPr>
              <w:t>Corporate</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31,278.7</w:t>
            </w: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38.6</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31,003.3</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236.8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Residential mortgage-backed securities</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2,680.2</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2,680.2</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ind w:left="180"/>
              <w:spacing w:after="0"/>
              <w:rPr>
                <w:sz w:val="20"/>
                <w:szCs w:val="20"/>
                <w:color w:val="auto"/>
              </w:rPr>
            </w:pPr>
            <w:r>
              <w:rPr>
                <w:rFonts w:ascii="Arial" w:cs="Arial" w:eastAsia="Arial" w:hAnsi="Arial"/>
                <w:sz w:val="18"/>
                <w:szCs w:val="18"/>
                <w:color w:val="auto"/>
              </w:rPr>
              <w:t>Commercial mortgage-backed securities</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3,861.2</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3,845.9</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Collateralized debt obligations</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633.0</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569.8</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ind w:left="180"/>
              <w:spacing w:after="0"/>
              <w:rPr>
                <w:sz w:val="20"/>
                <w:szCs w:val="20"/>
                <w:color w:val="auto"/>
              </w:rPr>
            </w:pPr>
            <w:r>
              <w:rPr>
                <w:rFonts w:ascii="Arial" w:cs="Arial" w:eastAsia="Arial" w:hAnsi="Arial"/>
                <w:sz w:val="18"/>
                <w:szCs w:val="18"/>
                <w:color w:val="auto"/>
              </w:rPr>
              <w:t>Other debt obligations</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4,540.5</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4,527.0</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13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49,780.6</w:t>
            </w:r>
          </w:p>
        </w:tc>
        <w:tc>
          <w:tcPr>
            <w:tcW w:w="30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937.1</w:t>
            </w:r>
          </w:p>
        </w:tc>
        <w:tc>
          <w:tcPr>
            <w:tcW w:w="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48,465.8</w:t>
            </w:r>
          </w:p>
        </w:tc>
        <w:tc>
          <w:tcPr>
            <w:tcW w:w="2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377.7</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Fixed maturities, trading</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710.2</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101.7</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469.5</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139.0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 available-for-sale</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465.3</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105.8</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355.4</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Equity securities, trading</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869.1</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101.8</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767.3</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assets (1)</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821.3</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768.8</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Other investments (2)</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425.4</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177.8</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216.1</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equivalents (3)</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1,153.6</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1,153.6</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60" w:type="dxa"/>
            <w:vAlign w:val="bottom"/>
            <w:gridSpan w:val="2"/>
          </w:tcPr>
          <w:p>
            <w:pPr>
              <w:ind w:left="180"/>
              <w:spacing w:after="0"/>
              <w:rPr>
                <w:sz w:val="20"/>
                <w:szCs w:val="20"/>
                <w:color w:val="auto"/>
              </w:rPr>
            </w:pPr>
            <w:r>
              <w:rPr>
                <w:rFonts w:ascii="Arial" w:cs="Arial" w:eastAsia="Arial" w:hAnsi="Arial"/>
                <w:sz w:val="18"/>
                <w:szCs w:val="18"/>
                <w:color w:val="auto"/>
                <w:w w:val="97"/>
              </w:rPr>
              <w:t>Sub-total excluding separate account assets</w:t>
            </w:r>
          </w:p>
        </w:tc>
        <w:tc>
          <w:tcPr>
            <w:tcW w:w="13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54,225.5</w:t>
            </w:r>
          </w:p>
        </w:tc>
        <w:tc>
          <w:tcPr>
            <w:tcW w:w="3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1,424.2</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52,196.5</w:t>
            </w:r>
          </w:p>
        </w:tc>
        <w:tc>
          <w:tcPr>
            <w:tcW w:w="2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604.8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4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Separate account assets</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134,045.8</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69,860.6</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57,449.1</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6,736.1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6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132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188,271.3</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71,284.8</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109,645.6</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7,340.9</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126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Investment-type insurance contracts (4)</w:t>
            </w:r>
          </w:p>
        </w:tc>
        <w:tc>
          <w:tcPr>
            <w:tcW w:w="148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15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(210.3)</w:t>
            </w:r>
          </w:p>
        </w:tc>
        <w:tc>
          <w:tcPr>
            <w:tcW w:w="360" w:type="dxa"/>
            <w:vAlign w:val="bottom"/>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11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64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w:t>
            </w: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(210.3)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liabilities (1)</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(816.9)</w:t>
            </w: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(771.2)</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(45.7)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Other liabilities (4)</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(301.4)</w:t>
            </w: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(236.7)</w:t>
            </w:r>
          </w:p>
        </w:tc>
        <w:tc>
          <w:tcPr>
            <w:tcW w:w="28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(64.7)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6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32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(1,328.6)</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(1,007.9)</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(320.7)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126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assets</w:t>
            </w:r>
          </w:p>
        </w:tc>
        <w:tc>
          <w:tcPr>
            <w:tcW w:w="148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b w:val="1"/>
                <w:bCs w:val="1"/>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186,942.7</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71,284.8</w:t>
            </w:r>
          </w:p>
        </w:tc>
        <w:tc>
          <w:tcPr>
            <w:tcW w:w="64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w:t>
            </w: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108,637.7</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7,020.2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24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jc w:val="center"/>
              <w:ind w:right="12"/>
              <w:spacing w:after="0"/>
              <w:rPr>
                <w:sz w:val="20"/>
                <w:szCs w:val="20"/>
                <w:color w:val="auto"/>
              </w:rPr>
            </w:pPr>
            <w:r>
              <w:rPr>
                <w:rFonts w:ascii="Arial" w:cs="Arial" w:eastAsia="Arial" w:hAnsi="Arial"/>
                <w:sz w:val="18"/>
                <w:szCs w:val="18"/>
                <w:color w:val="auto"/>
                <w:w w:val="89"/>
              </w:rPr>
              <w:t>53</w:t>
            </w: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2400" w:type="dxa"/>
            <w:vAlign w:val="bottom"/>
            <w:tcBorders>
              <w:bottom w:val="single" w:sz="8" w:color="808080"/>
            </w:tcBorders>
          </w:tcPr>
          <w:p>
            <w:pPr>
              <w:spacing w:after="0"/>
              <w:rPr>
                <w:sz w:val="11"/>
                <w:szCs w:val="11"/>
                <w:color w:val="auto"/>
              </w:rPr>
            </w:pPr>
          </w:p>
        </w:tc>
        <w:tc>
          <w:tcPr>
            <w:tcW w:w="13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2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44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0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368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1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2400" w:type="dxa"/>
            <w:vAlign w:val="bottom"/>
          </w:tcPr>
          <w:p>
            <w:pPr>
              <w:spacing w:after="0"/>
              <w:rPr>
                <w:sz w:val="24"/>
                <w:szCs w:val="24"/>
                <w:color w:val="auto"/>
              </w:rPr>
            </w:pPr>
          </w:p>
        </w:tc>
        <w:tc>
          <w:tcPr>
            <w:tcW w:w="3340" w:type="dxa"/>
            <w:vAlign w:val="bottom"/>
            <w:gridSpan w:val="5"/>
          </w:tcPr>
          <w:p>
            <w:pPr>
              <w:jc w:val="center"/>
              <w:ind w:left="630"/>
              <w:spacing w:after="0"/>
              <w:rPr>
                <w:sz w:val="20"/>
                <w:szCs w:val="20"/>
                <w:color w:val="auto"/>
              </w:rPr>
            </w:pPr>
            <w:r>
              <w:rPr>
                <w:rFonts w:ascii="Arial" w:cs="Arial" w:eastAsia="Arial" w:hAnsi="Arial"/>
                <w:sz w:val="18"/>
                <w:szCs w:val="18"/>
                <w:b w:val="1"/>
                <w:bCs w:val="1"/>
                <w:color w:val="auto"/>
                <w:w w:val="93"/>
              </w:rPr>
              <w:t>Principal Financial Group, Inc.</w:t>
            </w:r>
          </w:p>
        </w:tc>
        <w:tc>
          <w:tcPr>
            <w:tcW w:w="10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4440" w:type="dxa"/>
            <w:vAlign w:val="bottom"/>
            <w:gridSpan w:val="7"/>
          </w:tcPr>
          <w:p>
            <w:pPr>
              <w:jc w:val="center"/>
              <w:ind w:right="38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2980" w:type="dxa"/>
            <w:vAlign w:val="bottom"/>
            <w:gridSpan w:val="4"/>
          </w:tcPr>
          <w:p>
            <w:pPr>
              <w:jc w:val="center"/>
              <w:ind w:left="990"/>
              <w:spacing w:after="0"/>
              <w:rPr>
                <w:sz w:val="20"/>
                <w:szCs w:val="20"/>
                <w:color w:val="auto"/>
              </w:rPr>
            </w:pPr>
            <w:r>
              <w:rPr>
                <w:rFonts w:ascii="Arial" w:cs="Arial" w:eastAsia="Arial" w:hAnsi="Arial"/>
                <w:sz w:val="18"/>
                <w:szCs w:val="18"/>
                <w:b w:val="1"/>
                <w:bCs w:val="1"/>
                <w:color w:val="auto"/>
                <w:w w:val="89"/>
              </w:rPr>
              <w:t>September 30, 2015</w:t>
            </w:r>
          </w:p>
        </w:tc>
        <w:tc>
          <w:tcPr>
            <w:tcW w:w="3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0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3"/>
              </w:rPr>
              <w:t>(Unaudited)</w:t>
            </w:r>
          </w:p>
        </w:tc>
        <w:tc>
          <w:tcPr>
            <w:tcW w:w="3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December 31, 2014</w:t>
            </w:r>
          </w:p>
        </w:tc>
        <w:tc>
          <w:tcPr>
            <w:tcW w:w="9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500" w:type="dxa"/>
            <w:vAlign w:val="bottom"/>
            <w:gridSpan w:val="2"/>
          </w:tcPr>
          <w:p>
            <w:pPr>
              <w:jc w:val="center"/>
              <w:ind w:right="460"/>
              <w:spacing w:after="0" w:line="119" w:lineRule="exact"/>
              <w:rPr>
                <w:sz w:val="20"/>
                <w:szCs w:val="20"/>
                <w:color w:val="auto"/>
              </w:rPr>
            </w:pPr>
            <w:r>
              <w:rPr>
                <w:rFonts w:ascii="Arial" w:cs="Arial" w:eastAsia="Arial" w:hAnsi="Arial"/>
                <w:sz w:val="13"/>
                <w:szCs w:val="13"/>
                <w:b w:val="1"/>
                <w:bCs w:val="1"/>
                <w:color w:val="auto"/>
                <w:w w:val="95"/>
              </w:rPr>
              <w:t>Assets/</w:t>
            </w:r>
          </w:p>
        </w:tc>
        <w:tc>
          <w:tcPr>
            <w:tcW w:w="3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40" w:type="dxa"/>
            <w:vAlign w:val="bottom"/>
            <w:gridSpan w:val="4"/>
            <w:vMerge w:val="restart"/>
          </w:tcPr>
          <w:p>
            <w:pPr>
              <w:jc w:val="right"/>
              <w:ind w:right="180"/>
              <w:spacing w:after="0"/>
              <w:rPr>
                <w:sz w:val="20"/>
                <w:szCs w:val="20"/>
                <w:color w:val="auto"/>
              </w:rPr>
            </w:pPr>
            <w:r>
              <w:rPr>
                <w:rFonts w:ascii="Arial" w:cs="Arial" w:eastAsia="Arial" w:hAnsi="Arial"/>
                <w:sz w:val="14"/>
                <w:szCs w:val="14"/>
                <w:b w:val="1"/>
                <w:bCs w:val="1"/>
                <w:color w:val="auto"/>
                <w:w w:val="97"/>
              </w:rPr>
              <w:t>Fair value hierarchy level</w:t>
            </w:r>
          </w:p>
        </w:tc>
        <w:tc>
          <w:tcPr>
            <w:tcW w:w="2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0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2"/>
              </w:rPr>
              <w:t>(liabilities)</w:t>
            </w:r>
          </w:p>
        </w:tc>
        <w:tc>
          <w:tcPr>
            <w:tcW w:w="3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40" w:type="dxa"/>
            <w:vAlign w:val="bottom"/>
            <w:gridSpan w:val="4"/>
            <w:vMerge w:val="continue"/>
          </w:tcPr>
          <w:p>
            <w:pPr>
              <w:spacing w:after="0"/>
              <w:rPr>
                <w:sz w:val="12"/>
                <w:szCs w:val="12"/>
                <w:color w:val="auto"/>
              </w:rPr>
            </w:pPr>
          </w:p>
        </w:tc>
        <w:tc>
          <w:tcPr>
            <w:tcW w:w="2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00" w:type="dxa"/>
            <w:vAlign w:val="bottom"/>
            <w:gridSpan w:val="2"/>
            <w:vMerge w:val="restart"/>
          </w:tcPr>
          <w:p>
            <w:pPr>
              <w:jc w:val="center"/>
              <w:ind w:right="460"/>
              <w:spacing w:after="0" w:line="149" w:lineRule="exact"/>
              <w:rPr>
                <w:sz w:val="20"/>
                <w:szCs w:val="20"/>
                <w:color w:val="auto"/>
              </w:rPr>
            </w:pPr>
            <w:r>
              <w:rPr>
                <w:rFonts w:ascii="Arial" w:cs="Arial" w:eastAsia="Arial" w:hAnsi="Arial"/>
                <w:sz w:val="14"/>
                <w:szCs w:val="14"/>
                <w:b w:val="1"/>
                <w:bCs w:val="1"/>
                <w:color w:val="auto"/>
                <w:w w:val="92"/>
              </w:rPr>
              <w:t>measured at</w:t>
            </w:r>
          </w:p>
        </w:tc>
        <w:tc>
          <w:tcPr>
            <w:tcW w:w="3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40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500" w:type="dxa"/>
            <w:vAlign w:val="bottom"/>
            <w:gridSpan w:val="2"/>
            <w:vMerge w:val="continue"/>
          </w:tcPr>
          <w:p>
            <w:pPr>
              <w:spacing w:after="0"/>
              <w:rPr>
                <w:sz w:val="9"/>
                <w:szCs w:val="9"/>
                <w:color w:val="auto"/>
              </w:rPr>
            </w:pPr>
          </w:p>
        </w:tc>
        <w:tc>
          <w:tcPr>
            <w:tcW w:w="360" w:type="dxa"/>
            <w:vAlign w:val="bottom"/>
          </w:tcPr>
          <w:p>
            <w:pPr>
              <w:spacing w:after="0"/>
              <w:rPr>
                <w:sz w:val="9"/>
                <w:szCs w:val="9"/>
                <w:color w:val="auto"/>
              </w:rPr>
            </w:pPr>
          </w:p>
        </w:tc>
        <w:tc>
          <w:tcPr>
            <w:tcW w:w="1100" w:type="dxa"/>
            <w:vAlign w:val="bottom"/>
            <w:gridSpan w:val="2"/>
            <w:vMerge w:val="restart"/>
          </w:tcPr>
          <w:p>
            <w:pPr>
              <w:jc w:val="right"/>
              <w:ind w:right="540"/>
              <w:spacing w:after="0"/>
              <w:rPr>
                <w:sz w:val="20"/>
                <w:szCs w:val="20"/>
                <w:color w:val="auto"/>
              </w:rPr>
            </w:pPr>
            <w:r>
              <w:rPr>
                <w:rFonts w:ascii="Arial" w:cs="Arial" w:eastAsia="Arial" w:hAnsi="Arial"/>
                <w:sz w:val="14"/>
                <w:szCs w:val="14"/>
                <w:b w:val="1"/>
                <w:bCs w:val="1"/>
                <w:color w:val="auto"/>
              </w:rPr>
              <w:t>Level 1</w:t>
            </w: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1200" w:type="dxa"/>
            <w:vAlign w:val="bottom"/>
            <w:gridSpan w:val="2"/>
            <w:vMerge w:val="restart"/>
          </w:tcPr>
          <w:p>
            <w:pPr>
              <w:jc w:val="right"/>
              <w:ind w:right="740"/>
              <w:spacing w:after="0"/>
              <w:rPr>
                <w:sz w:val="20"/>
                <w:szCs w:val="20"/>
                <w:color w:val="auto"/>
              </w:rPr>
            </w:pPr>
            <w:r>
              <w:rPr>
                <w:rFonts w:ascii="Arial" w:cs="Arial" w:eastAsia="Arial" w:hAnsi="Arial"/>
                <w:sz w:val="14"/>
                <w:szCs w:val="14"/>
                <w:b w:val="1"/>
                <w:bCs w:val="1"/>
                <w:color w:val="auto"/>
                <w:w w:val="92"/>
              </w:rPr>
              <w:t>Level 2</w:t>
            </w:r>
          </w:p>
        </w:tc>
        <w:tc>
          <w:tcPr>
            <w:tcW w:w="280" w:type="dxa"/>
            <w:vAlign w:val="bottom"/>
          </w:tcPr>
          <w:p>
            <w:pPr>
              <w:spacing w:after="0"/>
              <w:rPr>
                <w:sz w:val="9"/>
                <w:szCs w:val="9"/>
                <w:color w:val="auto"/>
              </w:rPr>
            </w:pPr>
          </w:p>
        </w:tc>
        <w:tc>
          <w:tcPr>
            <w:tcW w:w="1180" w:type="dxa"/>
            <w:vAlign w:val="bottom"/>
            <w:gridSpan w:val="2"/>
            <w:vMerge w:val="restart"/>
          </w:tcPr>
          <w:p>
            <w:pPr>
              <w:jc w:val="right"/>
              <w:ind w:right="560"/>
              <w:spacing w:after="0"/>
              <w:rPr>
                <w:sz w:val="20"/>
                <w:szCs w:val="20"/>
                <w:color w:val="auto"/>
              </w:rPr>
            </w:pPr>
            <w:r>
              <w:rPr>
                <w:rFonts w:ascii="Arial" w:cs="Arial" w:eastAsia="Arial" w:hAnsi="Arial"/>
                <w:sz w:val="14"/>
                <w:szCs w:val="14"/>
                <w:b w:val="1"/>
                <w:bCs w:val="1"/>
                <w:color w:val="auto"/>
              </w:rPr>
              <w:t>Level 3</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0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7"/>
              </w:rPr>
              <w:t>fair value</w:t>
            </w:r>
          </w:p>
        </w:tc>
        <w:tc>
          <w:tcPr>
            <w:tcW w:w="36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1740" w:type="dxa"/>
            <w:vAlign w:val="bottom"/>
            <w:tcBorders>
              <w:top w:val="single" w:sz="8" w:color="auto"/>
            </w:tcBorders>
            <w:gridSpan w:val="4"/>
          </w:tcPr>
          <w:p>
            <w:pPr>
              <w:jc w:val="right"/>
              <w:ind w:right="150"/>
              <w:spacing w:after="0" w:line="142" w:lineRule="exact"/>
              <w:rPr>
                <w:sz w:val="20"/>
                <w:szCs w:val="20"/>
                <w:color w:val="auto"/>
              </w:rPr>
            </w:pPr>
            <w:r>
              <w:rPr>
                <w:rFonts w:ascii="Arial" w:cs="Arial" w:eastAsia="Arial" w:hAnsi="Arial"/>
                <w:sz w:val="14"/>
                <w:szCs w:val="14"/>
                <w:b w:val="1"/>
                <w:bCs w:val="1"/>
                <w:color w:val="auto"/>
              </w:rPr>
              <w:t>(in millions)</w:t>
            </w:r>
          </w:p>
        </w:tc>
        <w:tc>
          <w:tcPr>
            <w:tcW w:w="9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Fixed maturities, available-for-sale:</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U.S. government and agencies</w:t>
            </w:r>
          </w:p>
        </w:tc>
        <w:tc>
          <w:tcPr>
            <w:tcW w:w="148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1,121.8</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720.5</w:t>
            </w:r>
          </w:p>
        </w:tc>
        <w:tc>
          <w:tcPr>
            <w:tcW w:w="64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401.3</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ind w:left="180"/>
              <w:spacing w:after="0"/>
              <w:rPr>
                <w:sz w:val="20"/>
                <w:szCs w:val="20"/>
                <w:color w:val="auto"/>
              </w:rPr>
            </w:pPr>
            <w:r>
              <w:rPr>
                <w:rFonts w:ascii="Arial" w:cs="Arial" w:eastAsia="Arial" w:hAnsi="Arial"/>
                <w:sz w:val="18"/>
                <w:szCs w:val="18"/>
                <w:color w:val="auto"/>
              </w:rPr>
              <w:t>Non-U.S. governments</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891.1</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852.4</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38.7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States and political subdivisions</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4,204.0</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4,204.0</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ind w:left="180"/>
              <w:spacing w:after="0"/>
              <w:rPr>
                <w:sz w:val="20"/>
                <w:szCs w:val="20"/>
                <w:color w:val="auto"/>
              </w:rPr>
            </w:pPr>
            <w:r>
              <w:rPr>
                <w:rFonts w:ascii="Arial" w:cs="Arial" w:eastAsia="Arial" w:hAnsi="Arial"/>
                <w:sz w:val="18"/>
                <w:szCs w:val="18"/>
                <w:color w:val="auto"/>
              </w:rPr>
              <w:t>Corporate</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300"/>
              <w:spacing w:after="0"/>
              <w:rPr>
                <w:sz w:val="20"/>
                <w:szCs w:val="20"/>
                <w:color w:val="auto"/>
              </w:rPr>
            </w:pPr>
            <w:r>
              <w:rPr>
                <w:rFonts w:ascii="Arial" w:cs="Arial" w:eastAsia="Arial" w:hAnsi="Arial"/>
                <w:sz w:val="18"/>
                <w:szCs w:val="18"/>
                <w:color w:val="auto"/>
              </w:rPr>
              <w:t>31,535.0</w:t>
            </w: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40.3</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31,249.1</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245.6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Residential mortgage-backed securities</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2,822.9</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2,822.9</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ind w:left="180"/>
              <w:spacing w:after="0"/>
              <w:rPr>
                <w:sz w:val="20"/>
                <w:szCs w:val="20"/>
                <w:color w:val="auto"/>
              </w:rPr>
            </w:pPr>
            <w:r>
              <w:rPr>
                <w:rFonts w:ascii="Arial" w:cs="Arial" w:eastAsia="Arial" w:hAnsi="Arial"/>
                <w:sz w:val="18"/>
                <w:szCs w:val="18"/>
                <w:color w:val="auto"/>
              </w:rPr>
              <w:t>Commercial mortgage-backed securities</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3,975.5</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3,975.5</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Collateralized debt obligations</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504.1</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439.9</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ind w:left="180"/>
              <w:spacing w:after="0"/>
              <w:rPr>
                <w:sz w:val="20"/>
                <w:szCs w:val="20"/>
                <w:color w:val="auto"/>
              </w:rPr>
            </w:pPr>
            <w:r>
              <w:rPr>
                <w:rFonts w:ascii="Arial" w:cs="Arial" w:eastAsia="Arial" w:hAnsi="Arial"/>
                <w:sz w:val="18"/>
                <w:szCs w:val="18"/>
                <w:color w:val="auto"/>
              </w:rPr>
              <w:t>Other debt obligations</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4,616.4</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4,552.7</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63.7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13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49,670.8</w:t>
            </w:r>
          </w:p>
        </w:tc>
        <w:tc>
          <w:tcPr>
            <w:tcW w:w="30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760.8</w:t>
            </w:r>
          </w:p>
        </w:tc>
        <w:tc>
          <w:tcPr>
            <w:tcW w:w="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48,497.8</w:t>
            </w:r>
          </w:p>
        </w:tc>
        <w:tc>
          <w:tcPr>
            <w:tcW w:w="2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412.2</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Fixed maturities, trading</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604.6</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464.9</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139.7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securities, available-for-sale</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123.0</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64.2</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54.7</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Equity securities, trading</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840.2</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105.9</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734.3</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assets (1)</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661.8</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608.1</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Other investments (2)</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478.9</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3.3</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348.4</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127.2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equivalents (3)</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1,041.7</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1,041.7</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60" w:type="dxa"/>
            <w:vAlign w:val="bottom"/>
            <w:gridSpan w:val="2"/>
          </w:tcPr>
          <w:p>
            <w:pPr>
              <w:ind w:left="180"/>
              <w:spacing w:after="0"/>
              <w:rPr>
                <w:sz w:val="20"/>
                <w:szCs w:val="20"/>
                <w:color w:val="auto"/>
              </w:rPr>
            </w:pPr>
            <w:r>
              <w:rPr>
                <w:rFonts w:ascii="Arial" w:cs="Arial" w:eastAsia="Arial" w:hAnsi="Arial"/>
                <w:sz w:val="18"/>
                <w:szCs w:val="18"/>
                <w:color w:val="auto"/>
                <w:w w:val="97"/>
              </w:rPr>
              <w:t>Sub-total excluding separate account assets</w:t>
            </w:r>
          </w:p>
        </w:tc>
        <w:tc>
          <w:tcPr>
            <w:tcW w:w="13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53,421.0</w:t>
            </w:r>
          </w:p>
        </w:tc>
        <w:tc>
          <w:tcPr>
            <w:tcW w:w="3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934.2</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51,749.9</w:t>
            </w:r>
          </w:p>
        </w:tc>
        <w:tc>
          <w:tcPr>
            <w:tcW w:w="2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736.9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4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Separate account assets</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140,072.8</w:t>
            </w: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73,363.4</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60,818.0</w:t>
            </w:r>
          </w:p>
        </w:tc>
        <w:tc>
          <w:tcPr>
            <w:tcW w:w="2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5,891.4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6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132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193,493.8</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74,297.6</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112,567.9</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6,628.3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126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Investment-type insurance contracts (4)</w:t>
            </w:r>
          </w:p>
        </w:tc>
        <w:tc>
          <w:tcPr>
            <w:tcW w:w="1480" w:type="dxa"/>
            <w:vAlign w:val="bottom"/>
            <w:gridSpan w:val="2"/>
          </w:tcPr>
          <w:p>
            <w:pPr>
              <w:jc w:val="right"/>
              <w:ind w:right="5"/>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240"/>
              <w:spacing w:after="0"/>
              <w:rPr>
                <w:sz w:val="20"/>
                <w:szCs w:val="20"/>
                <w:color w:val="auto"/>
              </w:rPr>
            </w:pPr>
            <w:r>
              <w:rPr>
                <w:rFonts w:ascii="Arial" w:cs="Arial" w:eastAsia="Arial" w:hAnsi="Arial"/>
                <w:sz w:val="18"/>
                <w:szCs w:val="18"/>
                <w:color w:val="auto"/>
              </w:rPr>
              <w:t>(176.4)</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(176.4)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liabilities (1)</w:t>
            </w:r>
          </w:p>
        </w:tc>
        <w:tc>
          <w:tcPr>
            <w:tcW w:w="1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(791.8)</w:t>
            </w:r>
          </w:p>
        </w:tc>
        <w:tc>
          <w:tcPr>
            <w:tcW w:w="3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(756.3)</w:t>
            </w: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Other liabilities (4)</w:t>
            </w: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8"/>
                <w:szCs w:val="18"/>
                <w:color w:val="auto"/>
              </w:rPr>
              <w:t>(310.1)</w:t>
            </w:r>
          </w:p>
        </w:tc>
        <w:tc>
          <w:tcPr>
            <w:tcW w:w="36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(243.8)</w:t>
            </w:r>
          </w:p>
        </w:tc>
        <w:tc>
          <w:tcPr>
            <w:tcW w:w="28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(66.3)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6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32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(1,278.3)</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(1,000.1)</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(278.2)</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126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4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assets</w:t>
            </w:r>
          </w:p>
        </w:tc>
        <w:tc>
          <w:tcPr>
            <w:tcW w:w="148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192,215.5</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74,297.6</w:t>
            </w:r>
          </w:p>
        </w:tc>
        <w:tc>
          <w:tcPr>
            <w:tcW w:w="64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111,567.8</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6,350.1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24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-5884545</wp:posOffset>
            </wp:positionV>
            <wp:extent cx="12700" cy="298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-5884545</wp:posOffset>
            </wp:positionV>
            <wp:extent cx="12700" cy="298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ectPr>
          <w:pgSz w:w="11900" w:h="16838" w:orient="portrait"/>
          <w:cols w:equalWidth="0" w:num="1">
            <w:col w:w="11460"/>
          </w:cols>
          <w:pgMar w:left="240" w:top="140" w:right="199" w:bottom="0" w:gutter="0" w:footer="0" w:header="0"/>
        </w:sectPr>
      </w:pPr>
    </w:p>
    <w:p>
      <w:pPr>
        <w:spacing w:after="0" w:line="200" w:lineRule="exact"/>
        <w:rPr>
          <w:sz w:val="20"/>
          <w:szCs w:val="20"/>
          <w:color w:val="auto"/>
        </w:rPr>
      </w:pPr>
    </w:p>
    <w:p>
      <w:pPr>
        <w:spacing w:after="0" w:line="231" w:lineRule="exact"/>
        <w:rPr>
          <w:sz w:val="20"/>
          <w:szCs w:val="20"/>
          <w:color w:val="auto"/>
        </w:rPr>
      </w:pPr>
    </w:p>
    <w:p>
      <w:pPr>
        <w:ind w:left="340" w:right="180" w:hanging="332"/>
        <w:spacing w:after="0" w:line="264" w:lineRule="auto"/>
        <w:tabs>
          <w:tab w:leader="none" w:pos="347" w:val="left"/>
        </w:tabs>
        <w:numPr>
          <w:ilvl w:val="0"/>
          <w:numId w:val="21"/>
        </w:numPr>
        <w:rPr>
          <w:rFonts w:ascii="Arial" w:cs="Arial" w:eastAsia="Arial" w:hAnsi="Arial"/>
          <w:sz w:val="18"/>
          <w:szCs w:val="18"/>
          <w:color w:val="auto"/>
        </w:rPr>
      </w:pPr>
      <w:r>
        <w:rPr>
          <w:rFonts w:ascii="Arial" w:cs="Arial" w:eastAsia="Arial" w:hAnsi="Arial"/>
          <w:sz w:val="18"/>
          <w:szCs w:val="18"/>
          <w:color w:val="auto"/>
        </w:rPr>
        <w:t>Within the consolidated statements of financial position, derivative assets are reported with other investments and derivative liabilities are reported with other liabilities. Refer to Note 4, Derivative Financial Instruments, for further information on fair value by class of derivative instruments. Our derivatives are primarily Level 2, with the exception of certain credit default swaps and other swaps that are Level 3.</w:t>
      </w:r>
    </w:p>
    <w:p>
      <w:pPr>
        <w:sectPr>
          <w:pgSz w:w="11900" w:h="16838" w:orient="portrait"/>
          <w:cols w:equalWidth="0" w:num="1">
            <w:col w:w="11460"/>
          </w:cols>
          <w:pgMar w:left="240" w:top="140" w:right="199" w:bottom="0" w:gutter="0" w:footer="0" w:header="0"/>
          <w:type w:val="continuous"/>
        </w:sectPr>
      </w:pPr>
    </w:p>
    <w:bookmarkStart w:id="40" w:name="page41"/>
    <w:bookmarkEnd w:id="40"/>
    <w:p>
      <w:pPr>
        <w:ind w:left="340" w:right="300" w:hanging="332"/>
        <w:spacing w:after="0" w:line="258" w:lineRule="auto"/>
        <w:tabs>
          <w:tab w:leader="none" w:pos="347" w:val="left"/>
        </w:tabs>
        <w:numPr>
          <w:ilvl w:val="0"/>
          <w:numId w:val="22"/>
        </w:numPr>
        <w:rPr>
          <w:rFonts w:ascii="Arial" w:cs="Arial" w:eastAsia="Arial" w:hAnsi="Arial"/>
          <w:sz w:val="18"/>
          <w:szCs w:val="18"/>
          <w:color w:val="auto"/>
        </w:rPr>
      </w:pPr>
      <w:r>
        <w:rPr>
          <w:rFonts w:ascii="Arial" w:cs="Arial" w:eastAsia="Arial" w:hAnsi="Arial"/>
          <w:sz w:val="18"/>
          <w:szCs w:val="18"/>
          <w:color w:val="auto"/>
        </w:rPr>
        <w:t>Primarily includes seed money investments, other investment funds, commercial mortgage loans of consolidated VIEs and equity method investments reported at fair value.</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Includes money market instruments and short-term investments with a maturity date of three months or less when purchased.</w:t>
      </w:r>
    </w:p>
    <w:p>
      <w:pPr>
        <w:spacing w:after="0" w:line="9" w:lineRule="exact"/>
        <w:rPr>
          <w:rFonts w:ascii="Arial" w:cs="Arial" w:eastAsia="Arial" w:hAnsi="Arial"/>
          <w:sz w:val="18"/>
          <w:szCs w:val="18"/>
          <w:color w:val="auto"/>
        </w:rPr>
      </w:pPr>
    </w:p>
    <w:p>
      <w:pPr>
        <w:ind w:left="340" w:right="240" w:hanging="332"/>
        <w:spacing w:after="0" w:line="290" w:lineRule="auto"/>
        <w:tabs>
          <w:tab w:leader="none" w:pos="347" w:val="left"/>
        </w:tabs>
        <w:numPr>
          <w:ilvl w:val="0"/>
          <w:numId w:val="22"/>
        </w:numPr>
        <w:rPr>
          <w:rFonts w:ascii="Arial" w:cs="Arial" w:eastAsia="Arial" w:hAnsi="Arial"/>
          <w:sz w:val="17"/>
          <w:szCs w:val="17"/>
          <w:color w:val="auto"/>
        </w:rPr>
      </w:pPr>
      <w:r>
        <w:rPr>
          <w:rFonts w:ascii="Arial" w:cs="Arial" w:eastAsia="Arial" w:hAnsi="Arial"/>
          <w:sz w:val="17"/>
          <w:szCs w:val="17"/>
          <w:color w:val="auto"/>
        </w:rPr>
        <w:t>Includes bifurcated embedded derivatives that are reported at fair value within the same line item in the consolidated statements of financial position in which the host contract is reported. Other liabilities also include obligations of consolidated VIEs reported at fair value.</w:t>
      </w:r>
    </w:p>
    <w:p>
      <w:pPr>
        <w:spacing w:after="0" w:line="16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Level 3 Fair Value Measurements</w:t>
      </w:r>
    </w:p>
    <w:p>
      <w:pPr>
        <w:spacing w:after="0" w:line="229" w:lineRule="exact"/>
        <w:rPr>
          <w:sz w:val="20"/>
          <w:szCs w:val="20"/>
          <w:color w:val="auto"/>
        </w:rPr>
      </w:pPr>
    </w:p>
    <w:p>
      <w:pPr>
        <w:ind w:right="720" w:firstLine="648"/>
        <w:spacing w:after="0" w:line="277" w:lineRule="auto"/>
        <w:rPr>
          <w:sz w:val="20"/>
          <w:szCs w:val="20"/>
          <w:color w:val="auto"/>
        </w:rPr>
      </w:pPr>
      <w:r>
        <w:rPr>
          <w:rFonts w:ascii="Arial" w:cs="Arial" w:eastAsia="Arial" w:hAnsi="Arial"/>
          <w:sz w:val="18"/>
          <w:szCs w:val="18"/>
          <w:color w:val="auto"/>
        </w:rPr>
        <w:t>The reconciliation for all assets and liabilities measured at fair value on a recurring basis using significant unobservable inputs (Level 3) are summarized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60" w:type="dxa"/>
            <w:vAlign w:val="bottom"/>
            <w:tcBorders>
              <w:bottom w:val="single" w:sz="8" w:color="auto"/>
            </w:tcBorders>
            <w:gridSpan w:val="8"/>
          </w:tcPr>
          <w:p>
            <w:pPr>
              <w:jc w:val="center"/>
              <w:ind w:right="180"/>
              <w:spacing w:after="0"/>
              <w:rPr>
                <w:sz w:val="20"/>
                <w:szCs w:val="20"/>
                <w:color w:val="auto"/>
              </w:rPr>
            </w:pPr>
            <w:r>
              <w:rPr>
                <w:rFonts w:ascii="Arial" w:cs="Arial" w:eastAsia="Arial" w:hAnsi="Arial"/>
                <w:sz w:val="13"/>
                <w:szCs w:val="13"/>
                <w:b w:val="1"/>
                <w:bCs w:val="1"/>
                <w:color w:val="auto"/>
                <w:w w:val="86"/>
              </w:rPr>
              <w:t>For the three months ended September 30, 2015</w:t>
            </w:r>
          </w:p>
        </w:tc>
        <w:tc>
          <w:tcPr>
            <w:tcW w:w="1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85"/>
              </w:rPr>
              <w:t>Changes in</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160" w:type="dxa"/>
            <w:vAlign w:val="bottom"/>
            <w:gridSpan w:val="6"/>
          </w:tcPr>
          <w:p>
            <w:pPr>
              <w:jc w:val="right"/>
              <w:ind w:right="680"/>
              <w:spacing w:after="0" w:line="110" w:lineRule="exact"/>
              <w:rPr>
                <w:sz w:val="20"/>
                <w:szCs w:val="20"/>
                <w:color w:val="auto"/>
              </w:rPr>
            </w:pPr>
            <w:r>
              <w:rPr>
                <w:rFonts w:ascii="Arial" w:cs="Arial" w:eastAsia="Arial" w:hAnsi="Arial"/>
                <w:sz w:val="12"/>
                <w:szCs w:val="12"/>
                <w:b w:val="1"/>
                <w:bCs w:val="1"/>
                <w:color w:val="auto"/>
              </w:rPr>
              <w:t>Total realized/unrealized</w:t>
            </w: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8"/>
              </w:rPr>
              <w:t>Beginning</w:t>
            </w:r>
          </w:p>
        </w:tc>
        <w:tc>
          <w:tcPr>
            <w:tcW w:w="100" w:type="dxa"/>
            <w:vAlign w:val="bottom"/>
          </w:tcPr>
          <w:p>
            <w:pPr>
              <w:spacing w:after="0"/>
              <w:rPr>
                <w:sz w:val="12"/>
                <w:szCs w:val="12"/>
                <w:color w:val="auto"/>
              </w:rPr>
            </w:pPr>
          </w:p>
        </w:tc>
        <w:tc>
          <w:tcPr>
            <w:tcW w:w="2160" w:type="dxa"/>
            <w:vAlign w:val="bottom"/>
            <w:gridSpan w:val="6"/>
          </w:tcPr>
          <w:p>
            <w:pPr>
              <w:jc w:val="center"/>
              <w:ind w:right="320"/>
              <w:spacing w:after="0" w:line="135" w:lineRule="exact"/>
              <w:rPr>
                <w:sz w:val="20"/>
                <w:szCs w:val="20"/>
                <w:color w:val="auto"/>
              </w:rPr>
            </w:pPr>
            <w:r>
              <w:rPr>
                <w:rFonts w:ascii="Arial" w:cs="Arial" w:eastAsia="Arial" w:hAnsi="Arial"/>
                <w:sz w:val="13"/>
                <w:szCs w:val="13"/>
                <w:b w:val="1"/>
                <w:bCs w:val="1"/>
                <w:color w:val="auto"/>
                <w:w w:val="78"/>
              </w:rPr>
              <w:t>gains (losses)</w:t>
            </w:r>
          </w:p>
        </w:tc>
        <w:tc>
          <w:tcPr>
            <w:tcW w:w="100" w:type="dxa"/>
            <w:vAlign w:val="bottom"/>
          </w:tcPr>
          <w:p>
            <w:pPr>
              <w:spacing w:after="0"/>
              <w:rPr>
                <w:sz w:val="12"/>
                <w:szCs w:val="12"/>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95"/>
              </w:rPr>
              <w:t>Net</w:t>
            </w: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0"/>
              </w:rPr>
              <w:t>Ending</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7"/>
              </w:rPr>
              <w:t>unrealized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60" w:type="dxa"/>
            <w:vAlign w:val="bottom"/>
            <w:gridSpan w:val="2"/>
          </w:tcPr>
          <w:p>
            <w:pPr>
              <w:jc w:val="center"/>
              <w:ind w:right="320"/>
              <w:spacing w:after="0" w:line="104" w:lineRule="exact"/>
              <w:rPr>
                <w:sz w:val="20"/>
                <w:szCs w:val="20"/>
                <w:color w:val="auto"/>
              </w:rPr>
            </w:pPr>
            <w:r>
              <w:rPr>
                <w:rFonts w:ascii="Arial" w:cs="Arial" w:eastAsia="Arial" w:hAnsi="Arial"/>
                <w:sz w:val="11"/>
                <w:szCs w:val="11"/>
                <w:b w:val="1"/>
                <w:bCs w:val="1"/>
                <w:color w:val="auto"/>
                <w:w w:val="89"/>
              </w:rPr>
              <w:t>asset/</w:t>
            </w:r>
          </w:p>
        </w:tc>
        <w:tc>
          <w:tcPr>
            <w:tcW w:w="100" w:type="dxa"/>
            <w:vAlign w:val="bottom"/>
            <w:tcBorders>
              <w:top w:val="single" w:sz="8" w:color="auto"/>
            </w:tcBorders>
          </w:tcPr>
          <w:p>
            <w:pPr>
              <w:spacing w:after="0"/>
              <w:rPr>
                <w:sz w:val="8"/>
                <w:szCs w:val="8"/>
                <w:color w:val="auto"/>
              </w:rPr>
            </w:pPr>
          </w:p>
        </w:tc>
        <w:tc>
          <w:tcPr>
            <w:tcW w:w="76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900" w:type="dxa"/>
            <w:vAlign w:val="bottom"/>
            <w:tcBorders>
              <w:top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60" w:type="dxa"/>
            <w:vAlign w:val="bottom"/>
            <w:gridSpan w:val="2"/>
          </w:tcPr>
          <w:p>
            <w:pPr>
              <w:jc w:val="center"/>
              <w:ind w:right="320"/>
              <w:spacing w:after="0" w:line="104" w:lineRule="exact"/>
              <w:rPr>
                <w:sz w:val="20"/>
                <w:szCs w:val="20"/>
                <w:color w:val="auto"/>
              </w:rPr>
            </w:pPr>
            <w:r>
              <w:rPr>
                <w:rFonts w:ascii="Arial" w:cs="Arial" w:eastAsia="Arial" w:hAnsi="Arial"/>
                <w:sz w:val="11"/>
                <w:szCs w:val="11"/>
                <w:b w:val="1"/>
                <w:bCs w:val="1"/>
                <w:color w:val="auto"/>
                <w:w w:val="96"/>
              </w:rPr>
              <w:t>purchases,</w:t>
            </w: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0" w:type="dxa"/>
            <w:vAlign w:val="bottom"/>
            <w:gridSpan w:val="2"/>
          </w:tcPr>
          <w:p>
            <w:pPr>
              <w:jc w:val="center"/>
              <w:ind w:right="180"/>
              <w:spacing w:after="0" w:line="104" w:lineRule="exact"/>
              <w:rPr>
                <w:sz w:val="20"/>
                <w:szCs w:val="20"/>
                <w:color w:val="auto"/>
              </w:rPr>
            </w:pPr>
            <w:r>
              <w:rPr>
                <w:rFonts w:ascii="Arial" w:cs="Arial" w:eastAsia="Arial" w:hAnsi="Arial"/>
                <w:sz w:val="11"/>
                <w:szCs w:val="11"/>
                <w:b w:val="1"/>
                <w:bCs w:val="1"/>
                <w:color w:val="auto"/>
                <w:w w:val="96"/>
              </w:rPr>
              <w:t>asset/</w:t>
            </w: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980" w:type="dxa"/>
            <w:vAlign w:val="bottom"/>
            <w:gridSpan w:val="2"/>
          </w:tcPr>
          <w:p>
            <w:pPr>
              <w:jc w:val="center"/>
              <w:ind w:right="200"/>
              <w:spacing w:after="0" w:line="104" w:lineRule="exact"/>
              <w:rPr>
                <w:sz w:val="20"/>
                <w:szCs w:val="20"/>
                <w:color w:val="auto"/>
              </w:rPr>
            </w:pPr>
            <w:r>
              <w:rPr>
                <w:rFonts w:ascii="Arial" w:cs="Arial" w:eastAsia="Arial" w:hAnsi="Arial"/>
                <w:sz w:val="11"/>
                <w:szCs w:val="11"/>
                <w:b w:val="1"/>
                <w:bCs w:val="1"/>
                <w:color w:val="auto"/>
                <w:w w:val="95"/>
              </w:rPr>
              <w:t>gains (losses)</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9"/>
              </w:rPr>
              <w:t>(liability)</w:t>
            </w: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77"/>
              </w:rPr>
              <w:t>sales,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93"/>
              </w:rPr>
              <w:t>(liability)</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7"/>
              </w:rPr>
              <w:t>included in</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2"/>
              </w:rPr>
              <w:t>balance</w:t>
            </w: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90"/>
              </w:rPr>
              <w:t>Included in</w:t>
            </w:r>
          </w:p>
        </w:tc>
        <w:tc>
          <w:tcPr>
            <w:tcW w:w="100" w:type="dxa"/>
            <w:vAlign w:val="bottom"/>
          </w:tcPr>
          <w:p>
            <w:pPr>
              <w:spacing w:after="0"/>
              <w:rPr>
                <w:sz w:val="11"/>
                <w:szCs w:val="11"/>
                <w:color w:val="auto"/>
              </w:rPr>
            </w:pPr>
          </w:p>
        </w:tc>
        <w:tc>
          <w:tcPr>
            <w:tcW w:w="96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79"/>
              </w:rPr>
              <w:t>issuances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6"/>
              </w:rPr>
              <w:t>balance</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4"/>
              </w:rPr>
              <w:t>net income</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78"/>
              </w:rPr>
              <w:t>as of</w:t>
            </w:r>
          </w:p>
        </w:tc>
        <w:tc>
          <w:tcPr>
            <w:tcW w:w="100" w:type="dxa"/>
            <w:vAlign w:val="bottom"/>
          </w:tcPr>
          <w:p>
            <w:pPr>
              <w:spacing w:after="0"/>
              <w:rPr>
                <w:sz w:val="11"/>
                <w:szCs w:val="11"/>
                <w:color w:val="auto"/>
              </w:rPr>
            </w:pPr>
          </w:p>
        </w:tc>
        <w:tc>
          <w:tcPr>
            <w:tcW w:w="8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0"/>
              </w:rPr>
              <w:t>Included in</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6"/>
              </w:rPr>
              <w:t>other</w:t>
            </w: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6"/>
              </w:rPr>
              <w:t>and</w:t>
            </w:r>
          </w:p>
        </w:tc>
        <w:tc>
          <w:tcPr>
            <w:tcW w:w="120" w:type="dxa"/>
            <w:vAlign w:val="bottom"/>
          </w:tcPr>
          <w:p>
            <w:pPr>
              <w:spacing w:after="0"/>
              <w:rPr>
                <w:sz w:val="11"/>
                <w:szCs w:val="11"/>
                <w:color w:val="auto"/>
              </w:rPr>
            </w:pPr>
          </w:p>
        </w:tc>
        <w:tc>
          <w:tcPr>
            <w:tcW w:w="960" w:type="dxa"/>
            <w:vAlign w:val="bottom"/>
            <w:gridSpan w:val="2"/>
          </w:tcPr>
          <w:p>
            <w:pPr>
              <w:jc w:val="center"/>
              <w:ind w:right="340"/>
              <w:spacing w:after="0" w:line="135" w:lineRule="exact"/>
              <w:rPr>
                <w:sz w:val="20"/>
                <w:szCs w:val="20"/>
                <w:color w:val="auto"/>
              </w:rPr>
            </w:pPr>
            <w:r>
              <w:rPr>
                <w:rFonts w:ascii="Arial" w:cs="Arial" w:eastAsia="Arial" w:hAnsi="Arial"/>
                <w:sz w:val="13"/>
                <w:szCs w:val="13"/>
                <w:b w:val="1"/>
                <w:bCs w:val="1"/>
                <w:color w:val="auto"/>
                <w:w w:val="84"/>
              </w:rPr>
              <w:t>Transfers</w:t>
            </w:r>
          </w:p>
        </w:tc>
        <w:tc>
          <w:tcPr>
            <w:tcW w:w="100" w:type="dxa"/>
            <w:vAlign w:val="bottom"/>
          </w:tcPr>
          <w:p>
            <w:pPr>
              <w:spacing w:after="0"/>
              <w:rPr>
                <w:sz w:val="11"/>
                <w:szCs w:val="11"/>
                <w:color w:val="auto"/>
              </w:rPr>
            </w:pPr>
          </w:p>
        </w:tc>
        <w:tc>
          <w:tcPr>
            <w:tcW w:w="980" w:type="dxa"/>
            <w:vAlign w:val="bottom"/>
            <w:gridSpan w:val="2"/>
          </w:tcPr>
          <w:p>
            <w:pPr>
              <w:jc w:val="center"/>
              <w:ind w:right="340"/>
              <w:spacing w:after="0" w:line="135" w:lineRule="exact"/>
              <w:rPr>
                <w:sz w:val="20"/>
                <w:szCs w:val="20"/>
                <w:color w:val="auto"/>
              </w:rPr>
            </w:pPr>
            <w:r>
              <w:rPr>
                <w:rFonts w:ascii="Arial" w:cs="Arial" w:eastAsia="Arial" w:hAnsi="Arial"/>
                <w:sz w:val="13"/>
                <w:szCs w:val="13"/>
                <w:b w:val="1"/>
                <w:bCs w:val="1"/>
                <w:color w:val="auto"/>
                <w:w w:val="87"/>
              </w:rPr>
              <w:t>Transfers</w:t>
            </w:r>
          </w:p>
        </w:tc>
        <w:tc>
          <w:tcPr>
            <w:tcW w:w="60" w:type="dxa"/>
            <w:vAlign w:val="bottom"/>
          </w:tcPr>
          <w:p>
            <w:pPr>
              <w:spacing w:after="0"/>
              <w:rPr>
                <w:sz w:val="11"/>
                <w:szCs w:val="11"/>
                <w:color w:val="auto"/>
              </w:rPr>
            </w:pPr>
          </w:p>
        </w:tc>
        <w:tc>
          <w:tcPr>
            <w:tcW w:w="100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78"/>
              </w:rPr>
              <w:t>as of</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9"/>
              </w:rPr>
              <w:t>relating to</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4"/>
              </w:rPr>
              <w:t>June 30,</w:t>
            </w:r>
          </w:p>
        </w:tc>
        <w:tc>
          <w:tcPr>
            <w:tcW w:w="100" w:type="dxa"/>
            <w:vAlign w:val="bottom"/>
          </w:tcPr>
          <w:p>
            <w:pPr>
              <w:spacing w:after="0"/>
              <w:rPr>
                <w:sz w:val="11"/>
                <w:szCs w:val="11"/>
                <w:color w:val="auto"/>
              </w:rPr>
            </w:pPr>
          </w:p>
        </w:tc>
        <w:tc>
          <w:tcPr>
            <w:tcW w:w="8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4"/>
              </w:rPr>
              <w:t>net income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3"/>
              </w:rPr>
              <w:t>comprehensive</w:t>
            </w: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2"/>
              </w:rPr>
              <w:t>settlements</w:t>
            </w:r>
          </w:p>
        </w:tc>
        <w:tc>
          <w:tcPr>
            <w:tcW w:w="120" w:type="dxa"/>
            <w:vAlign w:val="bottom"/>
          </w:tcPr>
          <w:p>
            <w:pPr>
              <w:spacing w:after="0"/>
              <w:rPr>
                <w:sz w:val="11"/>
                <w:szCs w:val="11"/>
                <w:color w:val="auto"/>
              </w:rPr>
            </w:pPr>
          </w:p>
        </w:tc>
        <w:tc>
          <w:tcPr>
            <w:tcW w:w="960" w:type="dxa"/>
            <w:vAlign w:val="bottom"/>
            <w:gridSpan w:val="2"/>
          </w:tcPr>
          <w:p>
            <w:pPr>
              <w:jc w:val="center"/>
              <w:ind w:right="340"/>
              <w:spacing w:after="0" w:line="135" w:lineRule="exact"/>
              <w:rPr>
                <w:sz w:val="20"/>
                <w:szCs w:val="20"/>
                <w:color w:val="auto"/>
              </w:rPr>
            </w:pPr>
            <w:r>
              <w:rPr>
                <w:rFonts w:ascii="Arial" w:cs="Arial" w:eastAsia="Arial" w:hAnsi="Arial"/>
                <w:sz w:val="13"/>
                <w:szCs w:val="13"/>
                <w:b w:val="1"/>
                <w:bCs w:val="1"/>
                <w:color w:val="auto"/>
                <w:w w:val="92"/>
              </w:rPr>
              <w:t>into</w:t>
            </w:r>
          </w:p>
        </w:tc>
        <w:tc>
          <w:tcPr>
            <w:tcW w:w="100" w:type="dxa"/>
            <w:vAlign w:val="bottom"/>
          </w:tcPr>
          <w:p>
            <w:pPr>
              <w:spacing w:after="0"/>
              <w:rPr>
                <w:sz w:val="11"/>
                <w:szCs w:val="11"/>
                <w:color w:val="auto"/>
              </w:rPr>
            </w:pPr>
          </w:p>
        </w:tc>
        <w:tc>
          <w:tcPr>
            <w:tcW w:w="980" w:type="dxa"/>
            <w:vAlign w:val="bottom"/>
            <w:gridSpan w:val="2"/>
          </w:tcPr>
          <w:p>
            <w:pPr>
              <w:jc w:val="center"/>
              <w:ind w:right="340"/>
              <w:spacing w:after="0" w:line="135" w:lineRule="exact"/>
              <w:rPr>
                <w:sz w:val="20"/>
                <w:szCs w:val="20"/>
                <w:color w:val="auto"/>
              </w:rPr>
            </w:pPr>
            <w:r>
              <w:rPr>
                <w:rFonts w:ascii="Arial" w:cs="Arial" w:eastAsia="Arial" w:hAnsi="Arial"/>
                <w:sz w:val="13"/>
                <w:szCs w:val="13"/>
                <w:b w:val="1"/>
                <w:bCs w:val="1"/>
                <w:color w:val="auto"/>
                <w:w w:val="88"/>
              </w:rPr>
              <w:t>out of</w:t>
            </w:r>
          </w:p>
        </w:tc>
        <w:tc>
          <w:tcPr>
            <w:tcW w:w="60" w:type="dxa"/>
            <w:vAlign w:val="bottom"/>
          </w:tcPr>
          <w:p>
            <w:pPr>
              <w:spacing w:after="0"/>
              <w:rPr>
                <w:sz w:val="11"/>
                <w:szCs w:val="11"/>
                <w:color w:val="auto"/>
              </w:rPr>
            </w:pPr>
          </w:p>
        </w:tc>
        <w:tc>
          <w:tcPr>
            <w:tcW w:w="100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5"/>
              </w:rPr>
              <w:t>September 30,</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3"/>
              </w:rPr>
              <w:t>positions still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jc w:val="center"/>
              <w:ind w:right="37"/>
              <w:spacing w:after="0"/>
              <w:rPr>
                <w:sz w:val="20"/>
                <w:szCs w:val="20"/>
                <w:color w:val="auto"/>
              </w:rPr>
            </w:pPr>
            <w:r>
              <w:rPr>
                <w:rFonts w:ascii="Arial" w:cs="Arial" w:eastAsia="Arial" w:hAnsi="Arial"/>
                <w:sz w:val="13"/>
                <w:szCs w:val="13"/>
                <w:b w:val="1"/>
                <w:bCs w:val="1"/>
                <w:color w:val="auto"/>
                <w:w w:val="82"/>
              </w:rPr>
              <w:t>2015</w:t>
            </w: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jc w:val="center"/>
              <w:ind w:right="36"/>
              <w:spacing w:after="0"/>
              <w:rPr>
                <w:sz w:val="20"/>
                <w:szCs w:val="20"/>
                <w:color w:val="auto"/>
              </w:rPr>
            </w:pPr>
            <w:r>
              <w:rPr>
                <w:rFonts w:ascii="Arial" w:cs="Arial" w:eastAsia="Arial" w:hAnsi="Arial"/>
                <w:sz w:val="13"/>
                <w:szCs w:val="13"/>
                <w:b w:val="1"/>
                <w:bCs w:val="1"/>
                <w:color w:val="auto"/>
                <w:w w:val="87"/>
              </w:rPr>
              <w:t>(1)</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3"/>
              </w:rPr>
              <w:t>income</w:t>
            </w:r>
          </w:p>
        </w:tc>
        <w:tc>
          <w:tcPr>
            <w:tcW w:w="100" w:type="dxa"/>
            <w:vAlign w:val="bottom"/>
          </w:tcPr>
          <w:p>
            <w:pPr>
              <w:spacing w:after="0"/>
              <w:rPr>
                <w:sz w:val="13"/>
                <w:szCs w:val="13"/>
                <w:color w:val="auto"/>
              </w:rPr>
            </w:pPr>
          </w:p>
        </w:tc>
        <w:tc>
          <w:tcPr>
            <w:tcW w:w="740" w:type="dxa"/>
            <w:vAlign w:val="bottom"/>
          </w:tcPr>
          <w:p>
            <w:pPr>
              <w:jc w:val="center"/>
              <w:ind w:right="37"/>
              <w:spacing w:after="0"/>
              <w:rPr>
                <w:sz w:val="20"/>
                <w:szCs w:val="20"/>
                <w:color w:val="auto"/>
              </w:rPr>
            </w:pPr>
            <w:r>
              <w:rPr>
                <w:rFonts w:ascii="Arial" w:cs="Arial" w:eastAsia="Arial" w:hAnsi="Arial"/>
                <w:sz w:val="13"/>
                <w:szCs w:val="13"/>
                <w:b w:val="1"/>
                <w:bCs w:val="1"/>
                <w:color w:val="auto"/>
              </w:rPr>
              <w:t>(4)</w:t>
            </w: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86"/>
              </w:rPr>
              <w:t>Level 3</w:t>
            </w:r>
          </w:p>
        </w:tc>
        <w:tc>
          <w:tcPr>
            <w:tcW w:w="100" w:type="dxa"/>
            <w:vAlign w:val="bottom"/>
          </w:tcPr>
          <w:p>
            <w:pPr>
              <w:spacing w:after="0"/>
              <w:rPr>
                <w:sz w:val="13"/>
                <w:szCs w:val="13"/>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90"/>
              </w:rPr>
              <w:t>Level 3</w:t>
            </w:r>
          </w:p>
        </w:tc>
        <w:tc>
          <w:tcPr>
            <w:tcW w:w="60" w:type="dxa"/>
            <w:vAlign w:val="bottom"/>
          </w:tcPr>
          <w:p>
            <w:pPr>
              <w:spacing w:after="0"/>
              <w:rPr>
                <w:sz w:val="13"/>
                <w:szCs w:val="13"/>
                <w:color w:val="auto"/>
              </w:rPr>
            </w:pPr>
          </w:p>
        </w:tc>
        <w:tc>
          <w:tcPr>
            <w:tcW w:w="880" w:type="dxa"/>
            <w:vAlign w:val="bottom"/>
          </w:tcPr>
          <w:p>
            <w:pPr>
              <w:jc w:val="center"/>
              <w:spacing w:after="0"/>
              <w:rPr>
                <w:sz w:val="20"/>
                <w:szCs w:val="20"/>
                <w:color w:val="auto"/>
              </w:rPr>
            </w:pPr>
            <w:r>
              <w:rPr>
                <w:rFonts w:ascii="Arial" w:cs="Arial" w:eastAsia="Arial" w:hAnsi="Arial"/>
                <w:sz w:val="13"/>
                <w:szCs w:val="13"/>
                <w:b w:val="1"/>
                <w:bCs w:val="1"/>
                <w:color w:val="auto"/>
                <w:w w:val="89"/>
              </w:rPr>
              <w:t>2015</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0"/>
              </w:rPr>
              <w:t>held (1)</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040" w:type="dxa"/>
            <w:vAlign w:val="bottom"/>
            <w:tcBorders>
              <w:top w:val="single" w:sz="8" w:color="auto"/>
            </w:tcBorders>
            <w:gridSpan w:val="5"/>
          </w:tcPr>
          <w:p>
            <w:pPr>
              <w:ind w:left="580"/>
              <w:spacing w:after="0" w:line="129" w:lineRule="exact"/>
              <w:rPr>
                <w:sz w:val="20"/>
                <w:szCs w:val="20"/>
                <w:color w:val="auto"/>
              </w:rPr>
            </w:pPr>
            <w:r>
              <w:rPr>
                <w:rFonts w:ascii="Arial" w:cs="Arial" w:eastAsia="Arial" w:hAnsi="Arial"/>
                <w:sz w:val="13"/>
                <w:szCs w:val="13"/>
                <w:b w:val="1"/>
                <w:bCs w:val="1"/>
                <w:color w:val="auto"/>
              </w:rPr>
              <w:t>(in millions)</w:t>
            </w: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Assets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color w:val="auto"/>
              </w:rPr>
              <w:t>Fixed maturities, available-for-sale:</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ind w:left="160"/>
              <w:spacing w:after="0" w:line="135" w:lineRule="exact"/>
              <w:rPr>
                <w:sz w:val="20"/>
                <w:szCs w:val="20"/>
                <w:color w:val="auto"/>
              </w:rPr>
            </w:pPr>
            <w:r>
              <w:rPr>
                <w:rFonts w:ascii="Arial" w:cs="Arial" w:eastAsia="Arial" w:hAnsi="Arial"/>
                <w:sz w:val="13"/>
                <w:szCs w:val="13"/>
                <w:color w:val="auto"/>
              </w:rPr>
              <w:t>Non-U.S. governments</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b w:val="1"/>
                <w:bCs w:val="1"/>
                <w:color w:val="auto"/>
              </w:rPr>
              <w:t>$</w:t>
            </w: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45.6</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8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(0.1)</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0.3</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3.1</w:t>
            </w:r>
          </w:p>
        </w:tc>
        <w:tc>
          <w:tcPr>
            <w:tcW w:w="120" w:type="dxa"/>
            <w:vAlign w:val="bottom"/>
            <w:shd w:val="clear" w:color="auto" w:fill="CCEEFF"/>
          </w:tcPr>
          <w:p>
            <w:pPr>
              <w:jc w:val="right"/>
              <w:ind w:right="13"/>
              <w:spacing w:after="0"/>
              <w:rPr>
                <w:sz w:val="20"/>
                <w:szCs w:val="20"/>
                <w:color w:val="auto"/>
              </w:rPr>
            </w:pPr>
            <w:r>
              <w:rPr>
                <w:rFonts w:ascii="Arial" w:cs="Arial" w:eastAsia="Arial" w:hAnsi="Arial"/>
                <w:sz w:val="9"/>
                <w:szCs w:val="9"/>
                <w:b w:val="1"/>
                <w:bCs w:val="1"/>
                <w:color w:val="auto"/>
                <w:w w:val="78"/>
              </w:rPr>
              <w:t>$</w:t>
            </w: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48.9</w:t>
            </w:r>
          </w:p>
        </w:tc>
        <w:tc>
          <w:tcPr>
            <w:tcW w:w="180" w:type="dxa"/>
            <w:vAlign w:val="bottom"/>
            <w:gridSpan w:val="2"/>
            <w:shd w:val="clear" w:color="auto" w:fill="CCEEFF"/>
          </w:tcPr>
          <w:p>
            <w:pPr>
              <w:jc w:val="right"/>
              <w:ind w:right="20"/>
              <w:spacing w:after="0" w:line="135" w:lineRule="exact"/>
              <w:rPr>
                <w:sz w:val="20"/>
                <w:szCs w:val="20"/>
                <w:color w:val="auto"/>
              </w:rPr>
            </w:pPr>
            <w:r>
              <w:rPr>
                <w:rFonts w:ascii="Arial" w:cs="Arial" w:eastAsia="Arial" w:hAnsi="Arial"/>
                <w:sz w:val="13"/>
                <w:szCs w:val="13"/>
                <w:b w:val="1"/>
                <w:bCs w:val="1"/>
                <w:color w:val="auto"/>
              </w:rPr>
              <w:t>$</w:t>
            </w:r>
          </w:p>
        </w:tc>
        <w:tc>
          <w:tcPr>
            <w:tcW w:w="9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(0.1)</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ind w:left="160"/>
              <w:spacing w:after="0" w:line="135" w:lineRule="exact"/>
              <w:rPr>
                <w:sz w:val="20"/>
                <w:szCs w:val="20"/>
                <w:color w:val="auto"/>
              </w:rPr>
            </w:pPr>
            <w:r>
              <w:rPr>
                <w:rFonts w:ascii="Arial" w:cs="Arial" w:eastAsia="Arial" w:hAnsi="Arial"/>
                <w:sz w:val="13"/>
                <w:szCs w:val="13"/>
                <w:color w:val="auto"/>
              </w:rPr>
              <w:t>Corporate</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227.0</w:t>
            </w:r>
          </w:p>
        </w:tc>
        <w:tc>
          <w:tcPr>
            <w:tcW w:w="100" w:type="dxa"/>
            <w:vAlign w:val="bottom"/>
          </w:tcPr>
          <w:p>
            <w:pPr>
              <w:spacing w:after="0"/>
              <w:rPr>
                <w:sz w:val="11"/>
                <w:szCs w:val="11"/>
                <w:color w:val="auto"/>
              </w:rPr>
            </w:pPr>
          </w:p>
        </w:tc>
        <w:tc>
          <w:tcPr>
            <w:tcW w:w="88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(0.1)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(2.4)</w:t>
            </w: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3.4</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15.0</w:t>
            </w:r>
          </w:p>
        </w:tc>
        <w:tc>
          <w:tcPr>
            <w:tcW w:w="100" w:type="dxa"/>
            <w:vAlign w:val="bottom"/>
          </w:tcPr>
          <w:p>
            <w:pPr>
              <w:spacing w:after="0"/>
              <w:rPr>
                <w:sz w:val="11"/>
                <w:szCs w:val="11"/>
                <w:color w:val="auto"/>
              </w:rPr>
            </w:pPr>
          </w:p>
        </w:tc>
        <w:tc>
          <w:tcPr>
            <w:tcW w:w="98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(6.1)</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236.8</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(0.1)</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ind w:left="160"/>
              <w:spacing w:after="0" w:line="135" w:lineRule="exact"/>
              <w:rPr>
                <w:sz w:val="20"/>
                <w:szCs w:val="20"/>
                <w:color w:val="auto"/>
              </w:rPr>
            </w:pPr>
            <w:r>
              <w:rPr>
                <w:rFonts w:ascii="Arial" w:cs="Arial" w:eastAsia="Arial" w:hAnsi="Arial"/>
                <w:sz w:val="13"/>
                <w:szCs w:val="13"/>
                <w:color w:val="auto"/>
                <w:w w:val="96"/>
              </w:rPr>
              <w:t>Commercial mortgage-backed securities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0.1</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15.2</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15.3</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ind w:left="160"/>
              <w:spacing w:after="0" w:line="135" w:lineRule="exact"/>
              <w:rPr>
                <w:sz w:val="20"/>
                <w:szCs w:val="20"/>
                <w:color w:val="auto"/>
              </w:rPr>
            </w:pPr>
            <w:r>
              <w:rPr>
                <w:rFonts w:ascii="Arial" w:cs="Arial" w:eastAsia="Arial" w:hAnsi="Arial"/>
                <w:sz w:val="13"/>
                <w:szCs w:val="13"/>
                <w:color w:val="auto"/>
              </w:rPr>
              <w:t>Collateralized debt obligations</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63.3</w:t>
            </w: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0.1</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96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(0.2)</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98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63.2</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ind w:left="160"/>
              <w:spacing w:after="0" w:line="135" w:lineRule="exact"/>
              <w:rPr>
                <w:sz w:val="20"/>
                <w:szCs w:val="20"/>
                <w:color w:val="auto"/>
              </w:rPr>
            </w:pPr>
            <w:r>
              <w:rPr>
                <w:rFonts w:ascii="Arial" w:cs="Arial" w:eastAsia="Arial" w:hAnsi="Arial"/>
                <w:sz w:val="13"/>
                <w:szCs w:val="13"/>
                <w:color w:val="auto"/>
              </w:rPr>
              <w:t>Other debt obligations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41.4</w:t>
            </w:r>
          </w:p>
        </w:tc>
        <w:tc>
          <w:tcPr>
            <w:tcW w:w="10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0.9</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5.2</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(34.0)</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13.5</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20" w:type="dxa"/>
            <w:vAlign w:val="bottom"/>
            <w:gridSpan w:val="2"/>
            <w:vMerge w:val="restart"/>
          </w:tcPr>
          <w:p>
            <w:pPr>
              <w:spacing w:after="0"/>
              <w:rPr>
                <w:sz w:val="20"/>
                <w:szCs w:val="20"/>
                <w:color w:val="auto"/>
              </w:rPr>
            </w:pPr>
            <w:r>
              <w:rPr>
                <w:rFonts w:ascii="Arial" w:cs="Arial" w:eastAsia="Arial" w:hAnsi="Arial"/>
                <w:sz w:val="13"/>
                <w:szCs w:val="13"/>
                <w:color w:val="auto"/>
              </w:rPr>
              <w:t>Total fixed maturities, available-for-sale</w:t>
            </w: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42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jc w:val="right"/>
              <w:spacing w:after="0" w:line="129" w:lineRule="exact"/>
              <w:rPr>
                <w:sz w:val="20"/>
                <w:szCs w:val="20"/>
                <w:color w:val="auto"/>
              </w:rPr>
            </w:pPr>
            <w:r>
              <w:rPr>
                <w:rFonts w:ascii="Arial" w:cs="Arial" w:eastAsia="Arial" w:hAnsi="Arial"/>
                <w:sz w:val="13"/>
                <w:szCs w:val="13"/>
                <w:b w:val="1"/>
                <w:bCs w:val="1"/>
                <w:color w:val="auto"/>
              </w:rPr>
              <w:t>377.3</w:t>
            </w:r>
          </w:p>
        </w:tc>
        <w:tc>
          <w:tcPr>
            <w:tcW w:w="22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gridSpan w:val="2"/>
          </w:tcPr>
          <w:p>
            <w:pPr>
              <w:jc w:val="right"/>
              <w:ind w:right="80"/>
              <w:spacing w:after="0" w:line="129" w:lineRule="exact"/>
              <w:rPr>
                <w:sz w:val="20"/>
                <w:szCs w:val="20"/>
                <w:color w:val="auto"/>
              </w:rPr>
            </w:pPr>
            <w:r>
              <w:rPr>
                <w:rFonts w:ascii="Arial" w:cs="Arial" w:eastAsia="Arial" w:hAnsi="Arial"/>
                <w:sz w:val="13"/>
                <w:szCs w:val="13"/>
                <w:b w:val="1"/>
                <w:bCs w:val="1"/>
                <w:color w:val="auto"/>
              </w:rPr>
              <w:t>(0.1)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180"/>
              <w:spacing w:after="0" w:line="129" w:lineRule="exact"/>
              <w:rPr>
                <w:sz w:val="20"/>
                <w:szCs w:val="20"/>
                <w:color w:val="auto"/>
              </w:rPr>
            </w:pPr>
            <w:r>
              <w:rPr>
                <w:rFonts w:ascii="Arial" w:cs="Arial" w:eastAsia="Arial" w:hAnsi="Arial"/>
                <w:sz w:val="13"/>
                <w:szCs w:val="13"/>
                <w:b w:val="1"/>
                <w:bCs w:val="1"/>
                <w:color w:val="auto"/>
              </w:rPr>
              <w:t>(1.1)</w:t>
            </w:r>
          </w:p>
        </w:tc>
        <w:tc>
          <w:tcPr>
            <w:tcW w:w="100" w:type="dxa"/>
            <w:vAlign w:val="bottom"/>
          </w:tcPr>
          <w:p>
            <w:pPr>
              <w:spacing w:after="0"/>
              <w:rPr>
                <w:sz w:val="11"/>
                <w:szCs w:val="11"/>
                <w:color w:val="auto"/>
              </w:rPr>
            </w:pPr>
          </w:p>
        </w:tc>
        <w:tc>
          <w:tcPr>
            <w:tcW w:w="740" w:type="dxa"/>
            <w:vAlign w:val="bottom"/>
          </w:tcPr>
          <w:p>
            <w:pPr>
              <w:jc w:val="right"/>
              <w:spacing w:after="0" w:line="129" w:lineRule="exact"/>
              <w:rPr>
                <w:sz w:val="20"/>
                <w:szCs w:val="20"/>
                <w:color w:val="auto"/>
              </w:rPr>
            </w:pPr>
            <w:r>
              <w:rPr>
                <w:rFonts w:ascii="Arial" w:cs="Arial" w:eastAsia="Arial" w:hAnsi="Arial"/>
                <w:sz w:val="13"/>
                <w:szCs w:val="13"/>
                <w:b w:val="1"/>
                <w:bCs w:val="1"/>
                <w:color w:val="auto"/>
              </w:rPr>
              <w:t>26.7</w:t>
            </w:r>
          </w:p>
        </w:tc>
        <w:tc>
          <w:tcPr>
            <w:tcW w:w="22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jc w:val="right"/>
              <w:spacing w:after="0" w:line="129" w:lineRule="exact"/>
              <w:rPr>
                <w:sz w:val="20"/>
                <w:szCs w:val="20"/>
                <w:color w:val="auto"/>
              </w:rPr>
            </w:pPr>
            <w:r>
              <w:rPr>
                <w:rFonts w:ascii="Arial" w:cs="Arial" w:eastAsia="Arial" w:hAnsi="Arial"/>
                <w:sz w:val="13"/>
                <w:szCs w:val="13"/>
                <w:b w:val="1"/>
                <w:bCs w:val="1"/>
                <w:color w:val="auto"/>
              </w:rPr>
              <w:t>15.0</w:t>
            </w:r>
          </w:p>
        </w:tc>
        <w:tc>
          <w:tcPr>
            <w:tcW w:w="22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180"/>
              <w:spacing w:after="0" w:line="129" w:lineRule="exact"/>
              <w:rPr>
                <w:sz w:val="20"/>
                <w:szCs w:val="20"/>
                <w:color w:val="auto"/>
              </w:rPr>
            </w:pPr>
            <w:r>
              <w:rPr>
                <w:rFonts w:ascii="Arial" w:cs="Arial" w:eastAsia="Arial" w:hAnsi="Arial"/>
                <w:sz w:val="13"/>
                <w:szCs w:val="13"/>
                <w:b w:val="1"/>
                <w:bCs w:val="1"/>
                <w:color w:val="auto"/>
              </w:rPr>
              <w:t>(40.1)</w:t>
            </w:r>
          </w:p>
        </w:tc>
        <w:tc>
          <w:tcPr>
            <w:tcW w:w="60" w:type="dxa"/>
            <w:vAlign w:val="bottom"/>
          </w:tcPr>
          <w:p>
            <w:pPr>
              <w:spacing w:after="0"/>
              <w:rPr>
                <w:sz w:val="11"/>
                <w:szCs w:val="11"/>
                <w:color w:val="auto"/>
              </w:rPr>
            </w:pPr>
          </w:p>
        </w:tc>
        <w:tc>
          <w:tcPr>
            <w:tcW w:w="880" w:type="dxa"/>
            <w:vAlign w:val="bottom"/>
          </w:tcPr>
          <w:p>
            <w:pPr>
              <w:jc w:val="right"/>
              <w:spacing w:after="0" w:line="129" w:lineRule="exact"/>
              <w:rPr>
                <w:sz w:val="20"/>
                <w:szCs w:val="20"/>
                <w:color w:val="auto"/>
              </w:rPr>
            </w:pPr>
            <w:r>
              <w:rPr>
                <w:rFonts w:ascii="Arial" w:cs="Arial" w:eastAsia="Arial" w:hAnsi="Arial"/>
                <w:sz w:val="13"/>
                <w:szCs w:val="13"/>
                <w:b w:val="1"/>
                <w:bCs w:val="1"/>
                <w:color w:val="auto"/>
              </w:rPr>
              <w:t>377.7</w:t>
            </w:r>
          </w:p>
        </w:tc>
        <w:tc>
          <w:tcPr>
            <w:tcW w:w="12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80"/>
              <w:spacing w:after="0" w:line="129" w:lineRule="exact"/>
              <w:rPr>
                <w:sz w:val="20"/>
                <w:szCs w:val="20"/>
                <w:color w:val="auto"/>
              </w:rPr>
            </w:pPr>
            <w:r>
              <w:rPr>
                <w:rFonts w:ascii="Arial" w:cs="Arial" w:eastAsia="Arial" w:hAnsi="Arial"/>
                <w:sz w:val="13"/>
                <w:szCs w:val="13"/>
                <w:b w:val="1"/>
                <w:bCs w:val="1"/>
                <w:color w:val="auto"/>
              </w:rPr>
              <w:t>(0.2)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Fixed maturities, trading</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139.8</w:t>
            </w:r>
          </w:p>
        </w:tc>
        <w:tc>
          <w:tcPr>
            <w:tcW w:w="10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(0.8)</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139.0</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(0.8)</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color w:val="auto"/>
              </w:rPr>
              <w:t>Equity securities, available-for-sale</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4.1</w:t>
            </w:r>
          </w:p>
        </w:tc>
        <w:tc>
          <w:tcPr>
            <w:tcW w:w="100" w:type="dxa"/>
            <w:vAlign w:val="bottom"/>
          </w:tcPr>
          <w:p>
            <w:pPr>
              <w:spacing w:after="0"/>
              <w:rPr>
                <w:sz w:val="11"/>
                <w:szCs w:val="11"/>
                <w:color w:val="auto"/>
              </w:rPr>
            </w:pPr>
          </w:p>
        </w:tc>
        <w:tc>
          <w:tcPr>
            <w:tcW w:w="88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98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4.1</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Derivative assets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45.1</w:t>
            </w: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7.4</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52.5</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7.4</w:t>
            </w:r>
          </w:p>
        </w:tc>
        <w:tc>
          <w:tcPr>
            <w:tcW w:w="12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color w:val="auto"/>
              </w:rPr>
              <w:t>Other investments</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29.7</w:t>
            </w: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0.5</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1.3</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98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31.5</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0.5</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Separate account assets (2)</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6,406.0</w:t>
            </w: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344.4</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(14.3)</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0.1</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(0.1)</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6,736.1</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267.5</w:t>
            </w:r>
          </w:p>
        </w:tc>
        <w:tc>
          <w:tcPr>
            <w:tcW w:w="12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restart"/>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Liabilities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color w:val="auto"/>
              </w:rPr>
              <w:t>Investment-type insurance contracts</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(117.0)</w:t>
            </w:r>
          </w:p>
        </w:tc>
        <w:tc>
          <w:tcPr>
            <w:tcW w:w="100" w:type="dxa"/>
            <w:vAlign w:val="bottom"/>
          </w:tcPr>
          <w:p>
            <w:pPr>
              <w:spacing w:after="0"/>
              <w:rPr>
                <w:sz w:val="11"/>
                <w:szCs w:val="11"/>
                <w:color w:val="auto"/>
              </w:rPr>
            </w:pPr>
          </w:p>
        </w:tc>
        <w:tc>
          <w:tcPr>
            <w:tcW w:w="88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(98.1)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4.8</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980" w:type="dxa"/>
            <w:vAlign w:val="bottom"/>
            <w:gridSpan w:val="2"/>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60" w:type="dxa"/>
            <w:vAlign w:val="bottom"/>
          </w:tcPr>
          <w:p>
            <w:pPr>
              <w:spacing w:after="0"/>
              <w:rPr>
                <w:sz w:val="11"/>
                <w:szCs w:val="11"/>
                <w:color w:val="auto"/>
              </w:rPr>
            </w:pPr>
          </w:p>
        </w:tc>
        <w:tc>
          <w:tcPr>
            <w:tcW w:w="100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(210.3)</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(98.9)</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Derivative liabilities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(37.0)</w:t>
            </w:r>
          </w:p>
        </w:tc>
        <w:tc>
          <w:tcPr>
            <w:tcW w:w="10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(9.1)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0.4</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b w:val="1"/>
                <w:bCs w:val="1"/>
                <w:color w:val="auto"/>
              </w:rPr>
              <w:t>—</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(45.7)</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(9.5)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420" w:type="dxa"/>
            <w:vAlign w:val="bottom"/>
            <w:gridSpan w:val="2"/>
          </w:tcPr>
          <w:p>
            <w:pPr>
              <w:spacing w:after="0"/>
              <w:rPr>
                <w:sz w:val="20"/>
                <w:szCs w:val="20"/>
                <w:color w:val="auto"/>
              </w:rPr>
            </w:pPr>
            <w:r>
              <w:rPr>
                <w:rFonts w:ascii="Arial" w:cs="Arial" w:eastAsia="Arial" w:hAnsi="Arial"/>
                <w:sz w:val="13"/>
                <w:szCs w:val="13"/>
                <w:color w:val="auto"/>
              </w:rPr>
              <w:t>Other liabilities (3)</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3"/>
                <w:szCs w:val="13"/>
                <w:b w:val="1"/>
                <w:bCs w:val="1"/>
                <w:color w:val="auto"/>
              </w:rPr>
              <w:t>(67.5)</w:t>
            </w:r>
          </w:p>
        </w:tc>
        <w:tc>
          <w:tcPr>
            <w:tcW w:w="10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3"/>
                <w:szCs w:val="13"/>
                <w:b w:val="1"/>
                <w:bCs w:val="1"/>
                <w:color w:val="auto"/>
              </w:rPr>
              <w:t>2.8</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4"/>
                <w:szCs w:val="14"/>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4"/>
                <w:szCs w:val="14"/>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rPr>
              <w:t>—</w:t>
            </w:r>
          </w:p>
        </w:tc>
        <w:tc>
          <w:tcPr>
            <w:tcW w:w="60" w:type="dxa"/>
            <w:vAlign w:val="bottom"/>
          </w:tcPr>
          <w:p>
            <w:pPr>
              <w:spacing w:after="0"/>
              <w:rPr>
                <w:sz w:val="14"/>
                <w:szCs w:val="14"/>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3"/>
                <w:szCs w:val="13"/>
                <w:b w:val="1"/>
                <w:bCs w:val="1"/>
                <w:color w:val="auto"/>
              </w:rPr>
              <w:t>(64.7)</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3"/>
                <w:szCs w:val="13"/>
                <w:b w:val="1"/>
                <w:bCs w:val="1"/>
                <w:color w:val="auto"/>
              </w:rPr>
              <w:t>2.8</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03"/>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20" w:type="dxa"/>
            <w:vAlign w:val="bottom"/>
            <w:gridSpan w:val="2"/>
          </w:tcPr>
          <w:p>
            <w:pPr>
              <w:jc w:val="center"/>
              <w:ind w:left="514"/>
              <w:spacing w:after="0"/>
              <w:rPr>
                <w:sz w:val="20"/>
                <w:szCs w:val="20"/>
                <w:color w:val="auto"/>
              </w:rPr>
            </w:pPr>
            <w:r>
              <w:rPr>
                <w:rFonts w:ascii="Arial" w:cs="Arial" w:eastAsia="Arial" w:hAnsi="Arial"/>
                <w:sz w:val="18"/>
                <w:szCs w:val="18"/>
                <w:color w:val="auto"/>
                <w:w w:val="89"/>
              </w:rPr>
              <w:t>55</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244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20" w:type="dxa"/>
            <w:vAlign w:val="bottom"/>
            <w:gridSpan w:val="9"/>
          </w:tcPr>
          <w:p>
            <w:pPr>
              <w:jc w:val="center"/>
              <w:ind w:left="496"/>
              <w:spacing w:after="0"/>
              <w:rPr>
                <w:sz w:val="20"/>
                <w:szCs w:val="20"/>
                <w:color w:val="auto"/>
              </w:rPr>
            </w:pPr>
            <w:r>
              <w:rPr>
                <w:rFonts w:ascii="Arial" w:cs="Arial" w:eastAsia="Arial" w:hAnsi="Arial"/>
                <w:sz w:val="18"/>
                <w:szCs w:val="18"/>
                <w:b w:val="1"/>
                <w:bCs w:val="1"/>
                <w:color w:val="auto"/>
                <w:w w:val="93"/>
              </w:rPr>
              <w:t>Principal Financial Group, Inc.</w:t>
            </w: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300" w:type="dxa"/>
            <w:vAlign w:val="bottom"/>
            <w:gridSpan w:val="12"/>
          </w:tcPr>
          <w:p>
            <w:pPr>
              <w:jc w:val="center"/>
              <w:ind w:right="52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180" w:type="dxa"/>
            <w:vAlign w:val="bottom"/>
            <w:gridSpan w:val="5"/>
          </w:tcPr>
          <w:p>
            <w:pPr>
              <w:jc w:val="center"/>
              <w:ind w:right="480"/>
              <w:spacing w:after="0"/>
              <w:rPr>
                <w:sz w:val="20"/>
                <w:szCs w:val="20"/>
                <w:color w:val="auto"/>
              </w:rPr>
            </w:pPr>
            <w:r>
              <w:rPr>
                <w:rFonts w:ascii="Arial" w:cs="Arial" w:eastAsia="Arial" w:hAnsi="Arial"/>
                <w:sz w:val="18"/>
                <w:szCs w:val="18"/>
                <w:b w:val="1"/>
                <w:bCs w:val="1"/>
                <w:color w:val="auto"/>
                <w:w w:val="89"/>
              </w:rPr>
              <w:t>September 30, 2015</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180" w:type="dxa"/>
            <w:vAlign w:val="bottom"/>
            <w:gridSpan w:val="5"/>
          </w:tcPr>
          <w:p>
            <w:pPr>
              <w:jc w:val="center"/>
              <w:ind w:right="480"/>
              <w:spacing w:after="0"/>
              <w:rPr>
                <w:sz w:val="20"/>
                <w:szCs w:val="20"/>
                <w:color w:val="auto"/>
              </w:rPr>
            </w:pPr>
            <w:r>
              <w:rPr>
                <w:rFonts w:ascii="Arial" w:cs="Arial" w:eastAsia="Arial" w:hAnsi="Arial"/>
                <w:sz w:val="18"/>
                <w:szCs w:val="18"/>
                <w:b w:val="1"/>
                <w:bCs w:val="1"/>
                <w:color w:val="auto"/>
                <w:w w:val="93"/>
              </w:rPr>
              <w:t>(Unaudited)</w:t>
            </w:r>
          </w:p>
        </w:tc>
        <w:tc>
          <w:tcPr>
            <w:tcW w:w="1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1"/>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gridSpan w:val="8"/>
          </w:tcPr>
          <w:p>
            <w:pPr>
              <w:jc w:val="center"/>
              <w:ind w:right="180"/>
              <w:spacing w:after="0"/>
              <w:rPr>
                <w:sz w:val="20"/>
                <w:szCs w:val="20"/>
                <w:color w:val="auto"/>
              </w:rPr>
            </w:pPr>
            <w:r>
              <w:rPr>
                <w:rFonts w:ascii="Arial" w:cs="Arial" w:eastAsia="Arial" w:hAnsi="Arial"/>
                <w:sz w:val="13"/>
                <w:szCs w:val="13"/>
                <w:b w:val="1"/>
                <w:bCs w:val="1"/>
                <w:color w:val="auto"/>
                <w:w w:val="86"/>
              </w:rPr>
              <w:t>For the three months ended September 30, 2014</w:t>
            </w:r>
          </w:p>
        </w:tc>
        <w:tc>
          <w:tcPr>
            <w:tcW w:w="1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85"/>
              </w:rPr>
              <w:t>Changes in</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160" w:type="dxa"/>
            <w:vAlign w:val="bottom"/>
            <w:gridSpan w:val="6"/>
          </w:tcPr>
          <w:p>
            <w:pPr>
              <w:jc w:val="center"/>
              <w:ind w:right="320"/>
              <w:spacing w:after="0" w:line="110" w:lineRule="exact"/>
              <w:rPr>
                <w:sz w:val="20"/>
                <w:szCs w:val="20"/>
                <w:color w:val="auto"/>
              </w:rPr>
            </w:pPr>
            <w:r>
              <w:rPr>
                <w:rFonts w:ascii="Arial" w:cs="Arial" w:eastAsia="Arial" w:hAnsi="Arial"/>
                <w:sz w:val="12"/>
                <w:szCs w:val="12"/>
                <w:b w:val="1"/>
                <w:bCs w:val="1"/>
                <w:color w:val="auto"/>
                <w:w w:val="94"/>
              </w:rPr>
              <w:t>Total realized/unrealized</w:t>
            </w: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8"/>
              </w:rPr>
              <w:t>Beginning</w:t>
            </w:r>
          </w:p>
        </w:tc>
        <w:tc>
          <w:tcPr>
            <w:tcW w:w="100" w:type="dxa"/>
            <w:vAlign w:val="bottom"/>
          </w:tcPr>
          <w:p>
            <w:pPr>
              <w:spacing w:after="0"/>
              <w:rPr>
                <w:sz w:val="12"/>
                <w:szCs w:val="12"/>
                <w:color w:val="auto"/>
              </w:rPr>
            </w:pPr>
          </w:p>
        </w:tc>
        <w:tc>
          <w:tcPr>
            <w:tcW w:w="2160" w:type="dxa"/>
            <w:vAlign w:val="bottom"/>
            <w:gridSpan w:val="6"/>
          </w:tcPr>
          <w:p>
            <w:pPr>
              <w:jc w:val="center"/>
              <w:ind w:right="320"/>
              <w:spacing w:after="0" w:line="135" w:lineRule="exact"/>
              <w:rPr>
                <w:sz w:val="20"/>
                <w:szCs w:val="20"/>
                <w:color w:val="auto"/>
              </w:rPr>
            </w:pPr>
            <w:r>
              <w:rPr>
                <w:rFonts w:ascii="Arial" w:cs="Arial" w:eastAsia="Arial" w:hAnsi="Arial"/>
                <w:sz w:val="13"/>
                <w:szCs w:val="13"/>
                <w:b w:val="1"/>
                <w:bCs w:val="1"/>
                <w:color w:val="auto"/>
                <w:w w:val="78"/>
              </w:rPr>
              <w:t>gains (losses)</w:t>
            </w:r>
          </w:p>
        </w:tc>
        <w:tc>
          <w:tcPr>
            <w:tcW w:w="100" w:type="dxa"/>
            <w:vAlign w:val="bottom"/>
          </w:tcPr>
          <w:p>
            <w:pPr>
              <w:spacing w:after="0"/>
              <w:rPr>
                <w:sz w:val="12"/>
                <w:szCs w:val="12"/>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95"/>
              </w:rPr>
              <w:t>Net</w:t>
            </w: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0"/>
              </w:rPr>
              <w:t>Ending</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7"/>
              </w:rPr>
              <w:t>unrealized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60" w:type="dxa"/>
            <w:vAlign w:val="bottom"/>
            <w:gridSpan w:val="2"/>
          </w:tcPr>
          <w:p>
            <w:pPr>
              <w:jc w:val="center"/>
              <w:ind w:right="320"/>
              <w:spacing w:after="0" w:line="104" w:lineRule="exact"/>
              <w:rPr>
                <w:sz w:val="20"/>
                <w:szCs w:val="20"/>
                <w:color w:val="auto"/>
              </w:rPr>
            </w:pPr>
            <w:r>
              <w:rPr>
                <w:rFonts w:ascii="Arial" w:cs="Arial" w:eastAsia="Arial" w:hAnsi="Arial"/>
                <w:sz w:val="11"/>
                <w:szCs w:val="11"/>
                <w:b w:val="1"/>
                <w:bCs w:val="1"/>
                <w:color w:val="auto"/>
                <w:w w:val="89"/>
              </w:rPr>
              <w:t>asset/</w:t>
            </w:r>
          </w:p>
        </w:tc>
        <w:tc>
          <w:tcPr>
            <w:tcW w:w="100" w:type="dxa"/>
            <w:vAlign w:val="bottom"/>
            <w:tcBorders>
              <w:top w:val="single" w:sz="8" w:color="auto"/>
            </w:tcBorders>
          </w:tcPr>
          <w:p>
            <w:pPr>
              <w:spacing w:after="0"/>
              <w:rPr>
                <w:sz w:val="8"/>
                <w:szCs w:val="8"/>
                <w:color w:val="auto"/>
              </w:rPr>
            </w:pPr>
          </w:p>
        </w:tc>
        <w:tc>
          <w:tcPr>
            <w:tcW w:w="76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900" w:type="dxa"/>
            <w:vAlign w:val="bottom"/>
            <w:tcBorders>
              <w:top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60" w:type="dxa"/>
            <w:vAlign w:val="bottom"/>
            <w:gridSpan w:val="2"/>
          </w:tcPr>
          <w:p>
            <w:pPr>
              <w:jc w:val="center"/>
              <w:ind w:right="320"/>
              <w:spacing w:after="0" w:line="104" w:lineRule="exact"/>
              <w:rPr>
                <w:sz w:val="20"/>
                <w:szCs w:val="20"/>
                <w:color w:val="auto"/>
              </w:rPr>
            </w:pPr>
            <w:r>
              <w:rPr>
                <w:rFonts w:ascii="Arial" w:cs="Arial" w:eastAsia="Arial" w:hAnsi="Arial"/>
                <w:sz w:val="11"/>
                <w:szCs w:val="11"/>
                <w:b w:val="1"/>
                <w:bCs w:val="1"/>
                <w:color w:val="auto"/>
                <w:w w:val="96"/>
              </w:rPr>
              <w:t>purchases,</w:t>
            </w: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0" w:type="dxa"/>
            <w:vAlign w:val="bottom"/>
            <w:gridSpan w:val="2"/>
          </w:tcPr>
          <w:p>
            <w:pPr>
              <w:jc w:val="center"/>
              <w:ind w:right="180"/>
              <w:spacing w:after="0" w:line="104" w:lineRule="exact"/>
              <w:rPr>
                <w:sz w:val="20"/>
                <w:szCs w:val="20"/>
                <w:color w:val="auto"/>
              </w:rPr>
            </w:pPr>
            <w:r>
              <w:rPr>
                <w:rFonts w:ascii="Arial" w:cs="Arial" w:eastAsia="Arial" w:hAnsi="Arial"/>
                <w:sz w:val="11"/>
                <w:szCs w:val="11"/>
                <w:b w:val="1"/>
                <w:bCs w:val="1"/>
                <w:color w:val="auto"/>
                <w:w w:val="96"/>
              </w:rPr>
              <w:t>asset/</w:t>
            </w: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980" w:type="dxa"/>
            <w:vAlign w:val="bottom"/>
            <w:gridSpan w:val="2"/>
          </w:tcPr>
          <w:p>
            <w:pPr>
              <w:jc w:val="center"/>
              <w:ind w:right="200"/>
              <w:spacing w:after="0" w:line="104" w:lineRule="exact"/>
              <w:rPr>
                <w:sz w:val="20"/>
                <w:szCs w:val="20"/>
                <w:color w:val="auto"/>
              </w:rPr>
            </w:pPr>
            <w:r>
              <w:rPr>
                <w:rFonts w:ascii="Arial" w:cs="Arial" w:eastAsia="Arial" w:hAnsi="Arial"/>
                <w:sz w:val="11"/>
                <w:szCs w:val="11"/>
                <w:b w:val="1"/>
                <w:bCs w:val="1"/>
                <w:color w:val="auto"/>
                <w:w w:val="95"/>
              </w:rPr>
              <w:t>gains (losses)</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9"/>
              </w:rPr>
              <w:t>(liability)</w:t>
            </w: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77"/>
              </w:rPr>
              <w:t>sales,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93"/>
              </w:rPr>
              <w:t>(liability)</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7"/>
              </w:rPr>
              <w:t>included in</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2"/>
              </w:rPr>
              <w:t>balance</w:t>
            </w:r>
          </w:p>
        </w:tc>
        <w:tc>
          <w:tcPr>
            <w:tcW w:w="100" w:type="dxa"/>
            <w:vAlign w:val="bottom"/>
          </w:tcPr>
          <w:p>
            <w:pPr>
              <w:spacing w:after="0"/>
              <w:rPr>
                <w:sz w:val="11"/>
                <w:szCs w:val="11"/>
                <w:color w:val="auto"/>
              </w:rPr>
            </w:pPr>
          </w:p>
        </w:tc>
        <w:tc>
          <w:tcPr>
            <w:tcW w:w="8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0"/>
              </w:rPr>
              <w:t>Included in</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90"/>
              </w:rPr>
              <w:t>Included in</w:t>
            </w:r>
          </w:p>
        </w:tc>
        <w:tc>
          <w:tcPr>
            <w:tcW w:w="100" w:type="dxa"/>
            <w:vAlign w:val="bottom"/>
          </w:tcPr>
          <w:p>
            <w:pPr>
              <w:spacing w:after="0"/>
              <w:rPr>
                <w:sz w:val="11"/>
                <w:szCs w:val="11"/>
                <w:color w:val="auto"/>
              </w:rPr>
            </w:pPr>
          </w:p>
        </w:tc>
        <w:tc>
          <w:tcPr>
            <w:tcW w:w="96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79"/>
              </w:rPr>
              <w:t>issuances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6"/>
              </w:rPr>
              <w:t>balance</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4"/>
              </w:rPr>
              <w:t>net income</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78"/>
              </w:rPr>
              <w:t>as of</w:t>
            </w:r>
          </w:p>
        </w:tc>
        <w:tc>
          <w:tcPr>
            <w:tcW w:w="100" w:type="dxa"/>
            <w:vAlign w:val="bottom"/>
          </w:tcPr>
          <w:p>
            <w:pPr>
              <w:spacing w:after="0"/>
              <w:rPr>
                <w:sz w:val="11"/>
                <w:szCs w:val="11"/>
                <w:color w:val="auto"/>
              </w:rPr>
            </w:pPr>
          </w:p>
        </w:tc>
        <w:tc>
          <w:tcPr>
            <w:tcW w:w="8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2"/>
              </w:rPr>
              <w:t>net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6"/>
              </w:rPr>
              <w:t>other</w:t>
            </w: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6"/>
              </w:rPr>
              <w:t>and</w:t>
            </w:r>
          </w:p>
        </w:tc>
        <w:tc>
          <w:tcPr>
            <w:tcW w:w="120" w:type="dxa"/>
            <w:vAlign w:val="bottom"/>
          </w:tcPr>
          <w:p>
            <w:pPr>
              <w:spacing w:after="0"/>
              <w:rPr>
                <w:sz w:val="11"/>
                <w:szCs w:val="11"/>
                <w:color w:val="auto"/>
              </w:rPr>
            </w:pPr>
          </w:p>
        </w:tc>
        <w:tc>
          <w:tcPr>
            <w:tcW w:w="960" w:type="dxa"/>
            <w:vAlign w:val="bottom"/>
            <w:gridSpan w:val="2"/>
          </w:tcPr>
          <w:p>
            <w:pPr>
              <w:jc w:val="center"/>
              <w:ind w:right="340"/>
              <w:spacing w:after="0" w:line="135" w:lineRule="exact"/>
              <w:rPr>
                <w:sz w:val="20"/>
                <w:szCs w:val="20"/>
                <w:color w:val="auto"/>
              </w:rPr>
            </w:pPr>
            <w:r>
              <w:rPr>
                <w:rFonts w:ascii="Arial" w:cs="Arial" w:eastAsia="Arial" w:hAnsi="Arial"/>
                <w:sz w:val="13"/>
                <w:szCs w:val="13"/>
                <w:b w:val="1"/>
                <w:bCs w:val="1"/>
                <w:color w:val="auto"/>
                <w:w w:val="84"/>
              </w:rPr>
              <w:t>Transfers</w:t>
            </w:r>
          </w:p>
        </w:tc>
        <w:tc>
          <w:tcPr>
            <w:tcW w:w="100" w:type="dxa"/>
            <w:vAlign w:val="bottom"/>
          </w:tcPr>
          <w:p>
            <w:pPr>
              <w:spacing w:after="0"/>
              <w:rPr>
                <w:sz w:val="11"/>
                <w:szCs w:val="11"/>
                <w:color w:val="auto"/>
              </w:rPr>
            </w:pPr>
          </w:p>
        </w:tc>
        <w:tc>
          <w:tcPr>
            <w:tcW w:w="980" w:type="dxa"/>
            <w:vAlign w:val="bottom"/>
            <w:gridSpan w:val="2"/>
          </w:tcPr>
          <w:p>
            <w:pPr>
              <w:jc w:val="center"/>
              <w:ind w:right="340"/>
              <w:spacing w:after="0" w:line="135" w:lineRule="exact"/>
              <w:rPr>
                <w:sz w:val="20"/>
                <w:szCs w:val="20"/>
                <w:color w:val="auto"/>
              </w:rPr>
            </w:pPr>
            <w:r>
              <w:rPr>
                <w:rFonts w:ascii="Arial" w:cs="Arial" w:eastAsia="Arial" w:hAnsi="Arial"/>
                <w:sz w:val="13"/>
                <w:szCs w:val="13"/>
                <w:b w:val="1"/>
                <w:bCs w:val="1"/>
                <w:color w:val="auto"/>
                <w:w w:val="87"/>
              </w:rPr>
              <w:t>Transfers</w:t>
            </w:r>
          </w:p>
        </w:tc>
        <w:tc>
          <w:tcPr>
            <w:tcW w:w="60" w:type="dxa"/>
            <w:vAlign w:val="bottom"/>
          </w:tcPr>
          <w:p>
            <w:pPr>
              <w:spacing w:after="0"/>
              <w:rPr>
                <w:sz w:val="11"/>
                <w:szCs w:val="11"/>
                <w:color w:val="auto"/>
              </w:rPr>
            </w:pPr>
          </w:p>
        </w:tc>
        <w:tc>
          <w:tcPr>
            <w:tcW w:w="100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78"/>
              </w:rPr>
              <w:t>as of</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9"/>
              </w:rPr>
              <w:t>relating to</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4"/>
              </w:rPr>
              <w:t>June 30,</w:t>
            </w:r>
          </w:p>
        </w:tc>
        <w:tc>
          <w:tcPr>
            <w:tcW w:w="100" w:type="dxa"/>
            <w:vAlign w:val="bottom"/>
          </w:tcPr>
          <w:p>
            <w:pPr>
              <w:spacing w:after="0"/>
              <w:rPr>
                <w:sz w:val="11"/>
                <w:szCs w:val="11"/>
                <w:color w:val="auto"/>
              </w:rPr>
            </w:pPr>
          </w:p>
        </w:tc>
        <w:tc>
          <w:tcPr>
            <w:tcW w:w="8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3"/>
              </w:rPr>
              <w:t>income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3"/>
              </w:rPr>
              <w:t>comprehensive</w:t>
            </w:r>
          </w:p>
        </w:tc>
        <w:tc>
          <w:tcPr>
            <w:tcW w:w="100" w:type="dxa"/>
            <w:vAlign w:val="bottom"/>
          </w:tcPr>
          <w:p>
            <w:pPr>
              <w:spacing w:after="0"/>
              <w:rPr>
                <w:sz w:val="11"/>
                <w:szCs w:val="11"/>
                <w:color w:val="auto"/>
              </w:rPr>
            </w:pPr>
          </w:p>
        </w:tc>
        <w:tc>
          <w:tcPr>
            <w:tcW w:w="96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2"/>
              </w:rPr>
              <w:t>settlements</w:t>
            </w:r>
          </w:p>
        </w:tc>
        <w:tc>
          <w:tcPr>
            <w:tcW w:w="120" w:type="dxa"/>
            <w:vAlign w:val="bottom"/>
          </w:tcPr>
          <w:p>
            <w:pPr>
              <w:spacing w:after="0"/>
              <w:rPr>
                <w:sz w:val="11"/>
                <w:szCs w:val="11"/>
                <w:color w:val="auto"/>
              </w:rPr>
            </w:pPr>
          </w:p>
        </w:tc>
        <w:tc>
          <w:tcPr>
            <w:tcW w:w="960" w:type="dxa"/>
            <w:vAlign w:val="bottom"/>
            <w:gridSpan w:val="2"/>
          </w:tcPr>
          <w:p>
            <w:pPr>
              <w:jc w:val="center"/>
              <w:ind w:right="340"/>
              <w:spacing w:after="0" w:line="135" w:lineRule="exact"/>
              <w:rPr>
                <w:sz w:val="20"/>
                <w:szCs w:val="20"/>
                <w:color w:val="auto"/>
              </w:rPr>
            </w:pPr>
            <w:r>
              <w:rPr>
                <w:rFonts w:ascii="Arial" w:cs="Arial" w:eastAsia="Arial" w:hAnsi="Arial"/>
                <w:sz w:val="13"/>
                <w:szCs w:val="13"/>
                <w:b w:val="1"/>
                <w:bCs w:val="1"/>
                <w:color w:val="auto"/>
                <w:w w:val="92"/>
              </w:rPr>
              <w:t>into</w:t>
            </w:r>
          </w:p>
        </w:tc>
        <w:tc>
          <w:tcPr>
            <w:tcW w:w="100" w:type="dxa"/>
            <w:vAlign w:val="bottom"/>
          </w:tcPr>
          <w:p>
            <w:pPr>
              <w:spacing w:after="0"/>
              <w:rPr>
                <w:sz w:val="11"/>
                <w:szCs w:val="11"/>
                <w:color w:val="auto"/>
              </w:rPr>
            </w:pPr>
          </w:p>
        </w:tc>
        <w:tc>
          <w:tcPr>
            <w:tcW w:w="980" w:type="dxa"/>
            <w:vAlign w:val="bottom"/>
            <w:gridSpan w:val="2"/>
          </w:tcPr>
          <w:p>
            <w:pPr>
              <w:jc w:val="center"/>
              <w:ind w:right="340"/>
              <w:spacing w:after="0" w:line="135" w:lineRule="exact"/>
              <w:rPr>
                <w:sz w:val="20"/>
                <w:szCs w:val="20"/>
                <w:color w:val="auto"/>
              </w:rPr>
            </w:pPr>
            <w:r>
              <w:rPr>
                <w:rFonts w:ascii="Arial" w:cs="Arial" w:eastAsia="Arial" w:hAnsi="Arial"/>
                <w:sz w:val="13"/>
                <w:szCs w:val="13"/>
                <w:b w:val="1"/>
                <w:bCs w:val="1"/>
                <w:color w:val="auto"/>
                <w:w w:val="88"/>
              </w:rPr>
              <w:t>out of</w:t>
            </w:r>
          </w:p>
        </w:tc>
        <w:tc>
          <w:tcPr>
            <w:tcW w:w="60" w:type="dxa"/>
            <w:vAlign w:val="bottom"/>
          </w:tcPr>
          <w:p>
            <w:pPr>
              <w:spacing w:after="0"/>
              <w:rPr>
                <w:sz w:val="11"/>
                <w:szCs w:val="11"/>
                <w:color w:val="auto"/>
              </w:rPr>
            </w:pPr>
          </w:p>
        </w:tc>
        <w:tc>
          <w:tcPr>
            <w:tcW w:w="100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5"/>
              </w:rPr>
              <w:t>September 30,</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3"/>
              </w:rPr>
              <w:t>positions still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jc w:val="center"/>
              <w:ind w:right="37"/>
              <w:spacing w:after="0"/>
              <w:rPr>
                <w:sz w:val="20"/>
                <w:szCs w:val="20"/>
                <w:color w:val="auto"/>
              </w:rPr>
            </w:pPr>
            <w:r>
              <w:rPr>
                <w:rFonts w:ascii="Arial" w:cs="Arial" w:eastAsia="Arial" w:hAnsi="Arial"/>
                <w:sz w:val="13"/>
                <w:szCs w:val="13"/>
                <w:b w:val="1"/>
                <w:bCs w:val="1"/>
                <w:color w:val="auto"/>
                <w:w w:val="82"/>
              </w:rPr>
              <w:t>2014</w:t>
            </w: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jc w:val="center"/>
              <w:ind w:right="36"/>
              <w:spacing w:after="0"/>
              <w:rPr>
                <w:sz w:val="20"/>
                <w:szCs w:val="20"/>
                <w:color w:val="auto"/>
              </w:rPr>
            </w:pPr>
            <w:r>
              <w:rPr>
                <w:rFonts w:ascii="Arial" w:cs="Arial" w:eastAsia="Arial" w:hAnsi="Arial"/>
                <w:sz w:val="13"/>
                <w:szCs w:val="13"/>
                <w:b w:val="1"/>
                <w:bCs w:val="1"/>
                <w:color w:val="auto"/>
                <w:w w:val="87"/>
              </w:rPr>
              <w:t>(1)</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3"/>
              </w:rPr>
              <w:t>income</w:t>
            </w:r>
          </w:p>
        </w:tc>
        <w:tc>
          <w:tcPr>
            <w:tcW w:w="100" w:type="dxa"/>
            <w:vAlign w:val="bottom"/>
          </w:tcPr>
          <w:p>
            <w:pPr>
              <w:spacing w:after="0"/>
              <w:rPr>
                <w:sz w:val="13"/>
                <w:szCs w:val="13"/>
                <w:color w:val="auto"/>
              </w:rPr>
            </w:pPr>
          </w:p>
        </w:tc>
        <w:tc>
          <w:tcPr>
            <w:tcW w:w="740" w:type="dxa"/>
            <w:vAlign w:val="bottom"/>
          </w:tcPr>
          <w:p>
            <w:pPr>
              <w:jc w:val="center"/>
              <w:ind w:right="37"/>
              <w:spacing w:after="0"/>
              <w:rPr>
                <w:sz w:val="20"/>
                <w:szCs w:val="20"/>
                <w:color w:val="auto"/>
              </w:rPr>
            </w:pPr>
            <w:r>
              <w:rPr>
                <w:rFonts w:ascii="Arial" w:cs="Arial" w:eastAsia="Arial" w:hAnsi="Arial"/>
                <w:sz w:val="13"/>
                <w:szCs w:val="13"/>
                <w:b w:val="1"/>
                <w:bCs w:val="1"/>
                <w:color w:val="auto"/>
              </w:rPr>
              <w:t>(4)</w:t>
            </w: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86"/>
              </w:rPr>
              <w:t>Level 3</w:t>
            </w:r>
          </w:p>
        </w:tc>
        <w:tc>
          <w:tcPr>
            <w:tcW w:w="100" w:type="dxa"/>
            <w:vAlign w:val="bottom"/>
          </w:tcPr>
          <w:p>
            <w:pPr>
              <w:spacing w:after="0"/>
              <w:rPr>
                <w:sz w:val="13"/>
                <w:szCs w:val="13"/>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90"/>
              </w:rPr>
              <w:t>Level 3</w:t>
            </w:r>
          </w:p>
        </w:tc>
        <w:tc>
          <w:tcPr>
            <w:tcW w:w="60" w:type="dxa"/>
            <w:vAlign w:val="bottom"/>
          </w:tcPr>
          <w:p>
            <w:pPr>
              <w:spacing w:after="0"/>
              <w:rPr>
                <w:sz w:val="13"/>
                <w:szCs w:val="13"/>
                <w:color w:val="auto"/>
              </w:rPr>
            </w:pPr>
          </w:p>
        </w:tc>
        <w:tc>
          <w:tcPr>
            <w:tcW w:w="880" w:type="dxa"/>
            <w:vAlign w:val="bottom"/>
          </w:tcPr>
          <w:p>
            <w:pPr>
              <w:jc w:val="center"/>
              <w:spacing w:after="0"/>
              <w:rPr>
                <w:sz w:val="20"/>
                <w:szCs w:val="20"/>
                <w:color w:val="auto"/>
              </w:rPr>
            </w:pPr>
            <w:r>
              <w:rPr>
                <w:rFonts w:ascii="Arial" w:cs="Arial" w:eastAsia="Arial" w:hAnsi="Arial"/>
                <w:sz w:val="13"/>
                <w:szCs w:val="13"/>
                <w:b w:val="1"/>
                <w:bCs w:val="1"/>
                <w:color w:val="auto"/>
                <w:w w:val="89"/>
              </w:rPr>
              <w:t>2014</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0"/>
              </w:rPr>
              <w:t>held (1)</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040" w:type="dxa"/>
            <w:vAlign w:val="bottom"/>
            <w:tcBorders>
              <w:top w:val="single" w:sz="8" w:color="auto"/>
            </w:tcBorders>
            <w:gridSpan w:val="5"/>
          </w:tcPr>
          <w:p>
            <w:pPr>
              <w:ind w:left="580"/>
              <w:spacing w:after="0" w:line="129" w:lineRule="exact"/>
              <w:rPr>
                <w:sz w:val="20"/>
                <w:szCs w:val="20"/>
                <w:color w:val="auto"/>
              </w:rPr>
            </w:pPr>
            <w:r>
              <w:rPr>
                <w:rFonts w:ascii="Arial" w:cs="Arial" w:eastAsia="Arial" w:hAnsi="Arial"/>
                <w:sz w:val="13"/>
                <w:szCs w:val="13"/>
                <w:b w:val="1"/>
                <w:bCs w:val="1"/>
                <w:color w:val="auto"/>
              </w:rPr>
              <w:t>(in millions)</w:t>
            </w: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Assets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color w:val="auto"/>
              </w:rPr>
              <w:t>Fixed maturities, available-for-sale:</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ind w:left="160"/>
              <w:spacing w:after="0" w:line="135" w:lineRule="exact"/>
              <w:rPr>
                <w:sz w:val="20"/>
                <w:szCs w:val="20"/>
                <w:color w:val="auto"/>
              </w:rPr>
            </w:pPr>
            <w:r>
              <w:rPr>
                <w:rFonts w:ascii="Arial" w:cs="Arial" w:eastAsia="Arial" w:hAnsi="Arial"/>
                <w:sz w:val="13"/>
                <w:szCs w:val="13"/>
                <w:color w:val="auto"/>
              </w:rPr>
              <w:t>Non-U.S. governments</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39.6</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88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12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(0.2)</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1.9</w:t>
            </w:r>
          </w:p>
        </w:tc>
        <w:tc>
          <w:tcPr>
            <w:tcW w:w="120" w:type="dxa"/>
            <w:vAlign w:val="bottom"/>
            <w:shd w:val="clear" w:color="auto" w:fill="CCEEFF"/>
          </w:tcPr>
          <w:p>
            <w:pPr>
              <w:jc w:val="right"/>
              <w:ind w:right="13"/>
              <w:spacing w:after="0"/>
              <w:rPr>
                <w:sz w:val="20"/>
                <w:szCs w:val="20"/>
                <w:color w:val="auto"/>
              </w:rPr>
            </w:pPr>
            <w:r>
              <w:rPr>
                <w:rFonts w:ascii="Arial" w:cs="Arial" w:eastAsia="Arial" w:hAnsi="Arial"/>
                <w:sz w:val="9"/>
                <w:szCs w:val="9"/>
                <w:color w:val="auto"/>
                <w:w w:val="78"/>
              </w:rPr>
              <w:t>$</w:t>
            </w: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41.3</w:t>
            </w:r>
          </w:p>
        </w:tc>
        <w:tc>
          <w:tcPr>
            <w:tcW w:w="180" w:type="dxa"/>
            <w:vAlign w:val="bottom"/>
            <w:gridSpan w:val="2"/>
            <w:shd w:val="clear" w:color="auto" w:fill="CCEEFF"/>
          </w:tcPr>
          <w:p>
            <w:pPr>
              <w:jc w:val="right"/>
              <w:ind w:right="20"/>
              <w:spacing w:after="0" w:line="135" w:lineRule="exact"/>
              <w:rPr>
                <w:sz w:val="20"/>
                <w:szCs w:val="20"/>
                <w:color w:val="auto"/>
              </w:rPr>
            </w:pPr>
            <w:r>
              <w:rPr>
                <w:rFonts w:ascii="Arial" w:cs="Arial" w:eastAsia="Arial" w:hAnsi="Arial"/>
                <w:sz w:val="13"/>
                <w:szCs w:val="13"/>
                <w:color w:val="auto"/>
              </w:rPr>
              <w:t>$</w:t>
            </w:r>
          </w:p>
        </w:tc>
        <w:tc>
          <w:tcPr>
            <w:tcW w:w="98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ind w:left="160"/>
              <w:spacing w:after="0" w:line="135" w:lineRule="exact"/>
              <w:rPr>
                <w:sz w:val="20"/>
                <w:szCs w:val="20"/>
                <w:color w:val="auto"/>
              </w:rPr>
            </w:pPr>
            <w:r>
              <w:rPr>
                <w:rFonts w:ascii="Arial" w:cs="Arial" w:eastAsia="Arial" w:hAnsi="Arial"/>
                <w:sz w:val="13"/>
                <w:szCs w:val="13"/>
                <w:color w:val="auto"/>
              </w:rPr>
              <w:t>States and political subdivisions</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1.7</w:t>
            </w:r>
          </w:p>
        </w:tc>
        <w:tc>
          <w:tcPr>
            <w:tcW w:w="100" w:type="dxa"/>
            <w:vAlign w:val="bottom"/>
          </w:tcPr>
          <w:p>
            <w:pPr>
              <w:spacing w:after="0"/>
              <w:rPr>
                <w:sz w:val="11"/>
                <w:szCs w:val="11"/>
                <w:color w:val="auto"/>
              </w:rPr>
            </w:pPr>
          </w:p>
        </w:tc>
        <w:tc>
          <w:tcPr>
            <w:tcW w:w="88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1.7</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ind w:left="160"/>
              <w:spacing w:after="0" w:line="135" w:lineRule="exact"/>
              <w:rPr>
                <w:sz w:val="20"/>
                <w:szCs w:val="20"/>
                <w:color w:val="auto"/>
              </w:rPr>
            </w:pPr>
            <w:r>
              <w:rPr>
                <w:rFonts w:ascii="Arial" w:cs="Arial" w:eastAsia="Arial" w:hAnsi="Arial"/>
                <w:sz w:val="13"/>
                <w:szCs w:val="13"/>
                <w:color w:val="auto"/>
              </w:rPr>
              <w:t>Corporate</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170.0</w:t>
            </w:r>
          </w:p>
        </w:tc>
        <w:tc>
          <w:tcPr>
            <w:tcW w:w="10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(1.4)</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(2.8)</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40.7</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15.7</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222.2</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(1.4)</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ind w:left="180"/>
              <w:spacing w:after="0" w:line="135" w:lineRule="exact"/>
              <w:rPr>
                <w:sz w:val="20"/>
                <w:szCs w:val="20"/>
                <w:color w:val="auto"/>
              </w:rPr>
            </w:pPr>
            <w:r>
              <w:rPr>
                <w:rFonts w:ascii="Arial" w:cs="Arial" w:eastAsia="Arial" w:hAnsi="Arial"/>
                <w:sz w:val="13"/>
                <w:szCs w:val="13"/>
                <w:color w:val="auto"/>
                <w:w w:val="95"/>
              </w:rPr>
              <w:t>Commercial mortgage-backed securities</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6.7</w:t>
            </w:r>
          </w:p>
        </w:tc>
        <w:tc>
          <w:tcPr>
            <w:tcW w:w="100" w:type="dxa"/>
            <w:vAlign w:val="bottom"/>
          </w:tcPr>
          <w:p>
            <w:pPr>
              <w:spacing w:after="0"/>
              <w:rPr>
                <w:sz w:val="11"/>
                <w:szCs w:val="11"/>
                <w:color w:val="auto"/>
              </w:rPr>
            </w:pPr>
          </w:p>
        </w:tc>
        <w:tc>
          <w:tcPr>
            <w:tcW w:w="8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(1.0)</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0.2</w:t>
            </w: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0.2</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0.7</w:t>
            </w:r>
          </w:p>
        </w:tc>
        <w:tc>
          <w:tcPr>
            <w:tcW w:w="100" w:type="dxa"/>
            <w:vAlign w:val="bottom"/>
          </w:tcPr>
          <w:p>
            <w:pPr>
              <w:spacing w:after="0"/>
              <w:rPr>
                <w:sz w:val="11"/>
                <w:szCs w:val="11"/>
                <w:color w:val="auto"/>
              </w:rPr>
            </w:pPr>
          </w:p>
        </w:tc>
        <w:tc>
          <w:tcPr>
            <w:tcW w:w="98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(1.4)</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5.4</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(0.9)</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ind w:left="180"/>
              <w:spacing w:after="0" w:line="135" w:lineRule="exact"/>
              <w:rPr>
                <w:sz w:val="20"/>
                <w:szCs w:val="20"/>
                <w:color w:val="auto"/>
              </w:rPr>
            </w:pPr>
            <w:r>
              <w:rPr>
                <w:rFonts w:ascii="Arial" w:cs="Arial" w:eastAsia="Arial" w:hAnsi="Arial"/>
                <w:sz w:val="13"/>
                <w:szCs w:val="13"/>
                <w:color w:val="auto"/>
              </w:rPr>
              <w:t>Collateralized debt obligations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68.5</w:t>
            </w:r>
          </w:p>
        </w:tc>
        <w:tc>
          <w:tcPr>
            <w:tcW w:w="10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0.1</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9.5</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(16.5)</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61.6</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ind w:left="180"/>
              <w:spacing w:after="0" w:line="135" w:lineRule="exact"/>
              <w:rPr>
                <w:sz w:val="20"/>
                <w:szCs w:val="20"/>
                <w:color w:val="auto"/>
              </w:rPr>
            </w:pPr>
            <w:r>
              <w:rPr>
                <w:rFonts w:ascii="Arial" w:cs="Arial" w:eastAsia="Arial" w:hAnsi="Arial"/>
                <w:sz w:val="13"/>
                <w:szCs w:val="13"/>
                <w:color w:val="auto"/>
              </w:rPr>
              <w:t>Other debt obligations</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47.1</w:t>
            </w:r>
          </w:p>
        </w:tc>
        <w:tc>
          <w:tcPr>
            <w:tcW w:w="100" w:type="dxa"/>
            <w:vAlign w:val="bottom"/>
          </w:tcPr>
          <w:p>
            <w:pPr>
              <w:spacing w:after="0"/>
              <w:rPr>
                <w:sz w:val="11"/>
                <w:szCs w:val="11"/>
                <w:color w:val="auto"/>
              </w:rPr>
            </w:pPr>
          </w:p>
        </w:tc>
        <w:tc>
          <w:tcPr>
            <w:tcW w:w="88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6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(1.4)</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45.7</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20" w:type="dxa"/>
            <w:vAlign w:val="bottom"/>
            <w:gridSpan w:val="2"/>
            <w:vMerge w:val="restart"/>
            <w:shd w:val="clear" w:color="auto" w:fill="CCEEFF"/>
          </w:tcPr>
          <w:p>
            <w:pPr>
              <w:spacing w:after="0"/>
              <w:rPr>
                <w:sz w:val="20"/>
                <w:szCs w:val="20"/>
                <w:color w:val="auto"/>
              </w:rPr>
            </w:pPr>
            <w:r>
              <w:rPr>
                <w:rFonts w:ascii="Arial" w:cs="Arial" w:eastAsia="Arial" w:hAnsi="Arial"/>
                <w:sz w:val="13"/>
                <w:szCs w:val="13"/>
                <w:color w:val="auto"/>
              </w:rPr>
              <w:t>Total fixed maturities, available-for-sale</w:t>
            </w: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2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420" w:type="dxa"/>
            <w:vAlign w:val="bottom"/>
            <w:gridSpan w:val="2"/>
            <w:vMerge w:val="continue"/>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333.6</w:t>
            </w:r>
          </w:p>
        </w:tc>
        <w:tc>
          <w:tcPr>
            <w:tcW w:w="220" w:type="dxa"/>
            <w:vAlign w:val="bottom"/>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80"/>
              <w:spacing w:after="0" w:line="129" w:lineRule="exact"/>
              <w:rPr>
                <w:sz w:val="20"/>
                <w:szCs w:val="20"/>
                <w:color w:val="auto"/>
              </w:rPr>
            </w:pPr>
            <w:r>
              <w:rPr>
                <w:rFonts w:ascii="Arial" w:cs="Arial" w:eastAsia="Arial" w:hAnsi="Arial"/>
                <w:sz w:val="13"/>
                <w:szCs w:val="13"/>
                <w:color w:val="auto"/>
              </w:rPr>
              <w:t>(2.4)</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180"/>
              <w:spacing w:after="0" w:line="129" w:lineRule="exact"/>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50.9</w:t>
            </w:r>
          </w:p>
        </w:tc>
        <w:tc>
          <w:tcPr>
            <w:tcW w:w="220" w:type="dxa"/>
            <w:vAlign w:val="bottom"/>
            <w:tcBorders>
              <w:right w:val="single" w:sz="8" w:color="CCEEFF"/>
            </w:tcBorders>
            <w:vMerge w:val="continue"/>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16.4</w:t>
            </w:r>
          </w:p>
        </w:tc>
        <w:tc>
          <w:tcPr>
            <w:tcW w:w="220" w:type="dxa"/>
            <w:vAlign w:val="bottom"/>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180"/>
              <w:spacing w:after="0" w:line="129" w:lineRule="exact"/>
              <w:rPr>
                <w:sz w:val="20"/>
                <w:szCs w:val="20"/>
                <w:color w:val="auto"/>
              </w:rPr>
            </w:pPr>
            <w:r>
              <w:rPr>
                <w:rFonts w:ascii="Arial" w:cs="Arial" w:eastAsia="Arial" w:hAnsi="Arial"/>
                <w:sz w:val="13"/>
                <w:szCs w:val="13"/>
                <w:color w:val="auto"/>
              </w:rPr>
              <w:t>(17.9)</w:t>
            </w: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377.9</w:t>
            </w:r>
          </w:p>
        </w:tc>
        <w:tc>
          <w:tcPr>
            <w:tcW w:w="120" w:type="dxa"/>
            <w:vAlign w:val="bottom"/>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80"/>
              <w:spacing w:after="0" w:line="129" w:lineRule="exact"/>
              <w:rPr>
                <w:sz w:val="20"/>
                <w:szCs w:val="20"/>
                <w:color w:val="auto"/>
              </w:rPr>
            </w:pPr>
            <w:r>
              <w:rPr>
                <w:rFonts w:ascii="Arial" w:cs="Arial" w:eastAsia="Arial" w:hAnsi="Arial"/>
                <w:sz w:val="13"/>
                <w:szCs w:val="13"/>
                <w:color w:val="auto"/>
              </w:rPr>
              <w:t>(2.3)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color w:val="auto"/>
              </w:rPr>
              <w:t>Fixed maturities, trading</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159.6</w:t>
            </w: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3"/>
                <w:szCs w:val="13"/>
                <w:color w:val="auto"/>
              </w:rPr>
              <w:t>3.7</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6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(24.0)</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139.3</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Arial" w:cs="Arial" w:eastAsia="Arial" w:hAnsi="Arial"/>
                <w:sz w:val="13"/>
                <w:szCs w:val="13"/>
                <w:color w:val="auto"/>
              </w:rPr>
              <w:t>0.2</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Equity securities, available-for-sale</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17.5</w:t>
            </w:r>
          </w:p>
        </w:tc>
        <w:tc>
          <w:tcPr>
            <w:tcW w:w="10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(0.3)</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0.2</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17.4</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(0.3)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color w:val="auto"/>
              </w:rPr>
              <w:t>Derivative assets</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62.3</w:t>
            </w:r>
          </w:p>
        </w:tc>
        <w:tc>
          <w:tcPr>
            <w:tcW w:w="100" w:type="dxa"/>
            <w:vAlign w:val="bottom"/>
          </w:tcPr>
          <w:p>
            <w:pPr>
              <w:spacing w:after="0"/>
              <w:rPr>
                <w:sz w:val="11"/>
                <w:szCs w:val="11"/>
                <w:color w:val="auto"/>
              </w:rPr>
            </w:pPr>
          </w:p>
        </w:tc>
        <w:tc>
          <w:tcPr>
            <w:tcW w:w="8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(14.4)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9.8</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57.7</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(14.3)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Other investments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134.6</w:t>
            </w: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(14.1)</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124.3</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color w:val="auto"/>
              </w:rPr>
              <w:t>Separate account assets (2)</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5,533.6</w:t>
            </w: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3"/>
                <w:szCs w:val="13"/>
                <w:color w:val="auto"/>
              </w:rPr>
              <w:t>167.0</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(0.3)</w:t>
            </w: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79.0</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2.3</w:t>
            </w:r>
          </w:p>
        </w:tc>
        <w:tc>
          <w:tcPr>
            <w:tcW w:w="100" w:type="dxa"/>
            <w:vAlign w:val="bottom"/>
          </w:tcPr>
          <w:p>
            <w:pPr>
              <w:spacing w:after="0"/>
              <w:rPr>
                <w:sz w:val="11"/>
                <w:szCs w:val="11"/>
                <w:color w:val="auto"/>
              </w:rPr>
            </w:pPr>
          </w:p>
        </w:tc>
        <w:tc>
          <w:tcPr>
            <w:tcW w:w="98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(4.2)</w:t>
            </w:r>
          </w:p>
        </w:tc>
        <w:tc>
          <w:tcPr>
            <w:tcW w:w="6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5,777.4</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Arial" w:cs="Arial" w:eastAsia="Arial" w:hAnsi="Arial"/>
                <w:sz w:val="13"/>
                <w:szCs w:val="13"/>
                <w:color w:val="auto"/>
              </w:rPr>
              <w:t>163.7</w:t>
            </w: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restart"/>
          </w:tcPr>
          <w:p>
            <w:pPr>
              <w:spacing w:after="0"/>
              <w:rPr>
                <w:sz w:val="11"/>
                <w:szCs w:val="11"/>
                <w:color w:val="auto"/>
              </w:rPr>
            </w:pPr>
          </w:p>
        </w:tc>
        <w:tc>
          <w:tcPr>
            <w:tcW w:w="1260" w:type="dxa"/>
            <w:vAlign w:val="bottom"/>
            <w:shd w:val="clear" w:color="auto" w:fill="CCEEFF"/>
          </w:tcPr>
          <w:p>
            <w:pPr>
              <w:spacing w:after="0"/>
              <w:rPr>
                <w:sz w:val="11"/>
                <w:szCs w:val="11"/>
                <w:color w:val="auto"/>
              </w:rPr>
            </w:pPr>
          </w:p>
        </w:tc>
        <w:tc>
          <w:tcPr>
            <w:tcW w:w="1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b w:val="1"/>
                <w:bCs w:val="1"/>
                <w:color w:val="auto"/>
              </w:rPr>
              <w:t>Liabilities</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Investment-type insurance contracts</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(37.6)</w:t>
            </w:r>
          </w:p>
        </w:tc>
        <w:tc>
          <w:tcPr>
            <w:tcW w:w="10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(62.8)</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(94.1)</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(56.1)</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tcPr>
          <w:p>
            <w:pPr>
              <w:spacing w:after="0" w:line="135" w:lineRule="exact"/>
              <w:rPr>
                <w:sz w:val="20"/>
                <w:szCs w:val="20"/>
                <w:color w:val="auto"/>
              </w:rPr>
            </w:pPr>
            <w:r>
              <w:rPr>
                <w:rFonts w:ascii="Arial" w:cs="Arial" w:eastAsia="Arial" w:hAnsi="Arial"/>
                <w:sz w:val="13"/>
                <w:szCs w:val="13"/>
                <w:color w:val="auto"/>
              </w:rPr>
              <w:t>Derivative liabilities</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(24.7)</w:t>
            </w:r>
          </w:p>
        </w:tc>
        <w:tc>
          <w:tcPr>
            <w:tcW w:w="100" w:type="dxa"/>
            <w:vAlign w:val="bottom"/>
          </w:tcPr>
          <w:p>
            <w:pPr>
              <w:spacing w:after="0"/>
              <w:rPr>
                <w:sz w:val="11"/>
                <w:szCs w:val="11"/>
                <w:color w:val="auto"/>
              </w:rPr>
            </w:pPr>
          </w:p>
        </w:tc>
        <w:tc>
          <w:tcPr>
            <w:tcW w:w="8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(13.3)</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(0.6)</w:t>
            </w:r>
          </w:p>
        </w:tc>
        <w:tc>
          <w:tcPr>
            <w:tcW w:w="10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0.8</w:t>
            </w:r>
          </w:p>
        </w:tc>
        <w:tc>
          <w:tcPr>
            <w:tcW w:w="120" w:type="dxa"/>
            <w:vAlign w:val="bottom"/>
          </w:tcPr>
          <w:p>
            <w:pPr>
              <w:spacing w:after="0"/>
              <w:rPr>
                <w:sz w:val="11"/>
                <w:szCs w:val="11"/>
                <w:color w:val="auto"/>
              </w:rPr>
            </w:pPr>
          </w:p>
        </w:tc>
        <w:tc>
          <w:tcPr>
            <w:tcW w:w="96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1"/>
                <w:szCs w:val="11"/>
                <w:color w:val="auto"/>
              </w:rPr>
            </w:pPr>
          </w:p>
        </w:tc>
        <w:tc>
          <w:tcPr>
            <w:tcW w:w="100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(37.8)</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(14.5)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Other liabilities (3)</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(79.9)</w:t>
            </w: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9.9</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12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9.0</w:t>
            </w:r>
          </w:p>
        </w:tc>
        <w:tc>
          <w:tcPr>
            <w:tcW w:w="120" w:type="dxa"/>
            <w:vAlign w:val="bottom"/>
            <w:shd w:val="clear" w:color="auto" w:fill="CCEEFF"/>
          </w:tcPr>
          <w:p>
            <w:pPr>
              <w:spacing w:after="0"/>
              <w:rPr>
                <w:sz w:val="11"/>
                <w:szCs w:val="11"/>
                <w:color w:val="auto"/>
              </w:rPr>
            </w:pPr>
          </w:p>
        </w:tc>
        <w:tc>
          <w:tcPr>
            <w:tcW w:w="96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(61.0)</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9.8</w:t>
            </w:r>
          </w:p>
        </w:tc>
        <w:tc>
          <w:tcPr>
            <w:tcW w:w="12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20" w:type="dxa"/>
            <w:vAlign w:val="bottom"/>
            <w:gridSpan w:val="2"/>
          </w:tcPr>
          <w:p>
            <w:pPr>
              <w:jc w:val="center"/>
              <w:ind w:left="514"/>
              <w:spacing w:after="0"/>
              <w:rPr>
                <w:sz w:val="20"/>
                <w:szCs w:val="20"/>
                <w:color w:val="auto"/>
              </w:rPr>
            </w:pPr>
            <w:r>
              <w:rPr>
                <w:rFonts w:ascii="Arial" w:cs="Arial" w:eastAsia="Arial" w:hAnsi="Arial"/>
                <w:sz w:val="18"/>
                <w:szCs w:val="18"/>
                <w:color w:val="auto"/>
                <w:w w:val="89"/>
              </w:rPr>
              <w:t>56</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1260" w:type="dxa"/>
            <w:vAlign w:val="bottom"/>
            <w:tcBorders>
              <w:bottom w:val="single" w:sz="8" w:color="808080"/>
            </w:tcBorders>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-4093845</wp:posOffset>
            </wp:positionV>
            <wp:extent cx="12700" cy="298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-4093845</wp:posOffset>
            </wp:positionV>
            <wp:extent cx="12700" cy="298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ectPr>
          <w:pgSz w:w="11900" w:h="16838" w:orient="portrait"/>
          <w:cols w:equalWidth="0" w:num="1">
            <w:col w:w="11460"/>
          </w:cols>
          <w:pgMar w:left="240" w:top="125" w:right="199" w:bottom="0" w:gutter="0" w:footer="0" w:header="0"/>
        </w:sectPr>
      </w:pPr>
    </w:p>
    <w:bookmarkStart w:id="41" w:name="page42"/>
    <w:bookmarkEnd w:id="41"/>
    <w:p>
      <w:pPr>
        <w:spacing w:after="0" w:line="6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20" w:type="dxa"/>
            <w:vAlign w:val="bottom"/>
            <w:tcBorders>
              <w:bottom w:val="single" w:sz="8" w:color="auto"/>
            </w:tcBorders>
            <w:gridSpan w:val="10"/>
          </w:tcPr>
          <w:p>
            <w:pPr>
              <w:jc w:val="right"/>
              <w:ind w:right="440"/>
              <w:spacing w:after="0"/>
              <w:rPr>
                <w:sz w:val="20"/>
                <w:szCs w:val="20"/>
                <w:color w:val="auto"/>
              </w:rPr>
            </w:pPr>
            <w:r>
              <w:rPr>
                <w:rFonts w:ascii="Arial" w:cs="Arial" w:eastAsia="Arial" w:hAnsi="Arial"/>
                <w:sz w:val="13"/>
                <w:szCs w:val="13"/>
                <w:b w:val="1"/>
                <w:bCs w:val="1"/>
                <w:color w:val="auto"/>
                <w:w w:val="94"/>
              </w:rPr>
              <w:t>For the nine months ended September 30, 2015</w:t>
            </w: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gridSpan w:val="2"/>
            <w:vMerge w:val="restart"/>
          </w:tcPr>
          <w:p>
            <w:pPr>
              <w:jc w:val="center"/>
              <w:ind w:right="180"/>
              <w:spacing w:after="0"/>
              <w:rPr>
                <w:sz w:val="20"/>
                <w:szCs w:val="20"/>
                <w:color w:val="auto"/>
              </w:rPr>
            </w:pPr>
            <w:r>
              <w:rPr>
                <w:rFonts w:ascii="Arial" w:cs="Arial" w:eastAsia="Arial" w:hAnsi="Arial"/>
                <w:sz w:val="13"/>
                <w:szCs w:val="13"/>
                <w:b w:val="1"/>
                <w:bCs w:val="1"/>
                <w:color w:val="auto"/>
                <w:w w:val="85"/>
              </w:rPr>
              <w:t>Changes in</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3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100" w:type="dxa"/>
            <w:vAlign w:val="bottom"/>
            <w:gridSpan w:val="6"/>
          </w:tcPr>
          <w:p>
            <w:pPr>
              <w:jc w:val="center"/>
              <w:ind w:right="260"/>
              <w:spacing w:after="0" w:line="110" w:lineRule="exact"/>
              <w:rPr>
                <w:sz w:val="20"/>
                <w:szCs w:val="20"/>
                <w:color w:val="auto"/>
              </w:rPr>
            </w:pPr>
            <w:r>
              <w:rPr>
                <w:rFonts w:ascii="Arial" w:cs="Arial" w:eastAsia="Arial" w:hAnsi="Arial"/>
                <w:sz w:val="12"/>
                <w:szCs w:val="12"/>
                <w:b w:val="1"/>
                <w:bCs w:val="1"/>
                <w:color w:val="auto"/>
                <w:w w:val="94"/>
              </w:rPr>
              <w:t>Total realized/unrealized</w:t>
            </w: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94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4"/>
              </w:rPr>
              <w:t>Beginning</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100" w:type="dxa"/>
            <w:vAlign w:val="bottom"/>
            <w:gridSpan w:val="6"/>
          </w:tcPr>
          <w:p>
            <w:pPr>
              <w:jc w:val="center"/>
              <w:ind w:right="280"/>
              <w:spacing w:after="0" w:line="135" w:lineRule="exact"/>
              <w:rPr>
                <w:sz w:val="20"/>
                <w:szCs w:val="20"/>
                <w:color w:val="auto"/>
              </w:rPr>
            </w:pPr>
            <w:r>
              <w:rPr>
                <w:rFonts w:ascii="Arial" w:cs="Arial" w:eastAsia="Arial" w:hAnsi="Arial"/>
                <w:sz w:val="13"/>
                <w:szCs w:val="13"/>
                <w:b w:val="1"/>
                <w:bCs w:val="1"/>
                <w:color w:val="auto"/>
                <w:w w:val="80"/>
              </w:rPr>
              <w:t>gains (losses)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5"/>
              </w:rPr>
              <w:t>Net</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0"/>
              </w:rPr>
              <w:t>Ending</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7"/>
              </w:rPr>
              <w:t>unrealized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60" w:type="dxa"/>
            <w:vAlign w:val="bottom"/>
          </w:tcPr>
          <w:p>
            <w:pPr>
              <w:spacing w:after="0"/>
              <w:rPr>
                <w:sz w:val="8"/>
                <w:szCs w:val="8"/>
                <w:color w:val="auto"/>
              </w:rPr>
            </w:pPr>
          </w:p>
        </w:tc>
        <w:tc>
          <w:tcPr>
            <w:tcW w:w="940" w:type="dxa"/>
            <w:vAlign w:val="bottom"/>
            <w:gridSpan w:val="2"/>
          </w:tcPr>
          <w:p>
            <w:pPr>
              <w:jc w:val="center"/>
              <w:ind w:right="200"/>
              <w:spacing w:after="0" w:line="104" w:lineRule="exact"/>
              <w:rPr>
                <w:sz w:val="20"/>
                <w:szCs w:val="20"/>
                <w:color w:val="auto"/>
              </w:rPr>
            </w:pPr>
            <w:r>
              <w:rPr>
                <w:rFonts w:ascii="Arial" w:cs="Arial" w:eastAsia="Arial" w:hAnsi="Arial"/>
                <w:sz w:val="11"/>
                <w:szCs w:val="11"/>
                <w:b w:val="1"/>
                <w:bCs w:val="1"/>
                <w:color w:val="auto"/>
                <w:w w:val="96"/>
              </w:rPr>
              <w:t>asset/</w:t>
            </w:r>
          </w:p>
        </w:tc>
        <w:tc>
          <w:tcPr>
            <w:tcW w:w="100" w:type="dxa"/>
            <w:vAlign w:val="bottom"/>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740" w:type="dxa"/>
            <w:vAlign w:val="bottom"/>
            <w:tcBorders>
              <w:top w:val="single" w:sz="8" w:color="auto"/>
            </w:tcBorders>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9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gridSpan w:val="2"/>
          </w:tcPr>
          <w:p>
            <w:pPr>
              <w:jc w:val="center"/>
              <w:ind w:right="220"/>
              <w:spacing w:after="0" w:line="104" w:lineRule="exact"/>
              <w:rPr>
                <w:sz w:val="20"/>
                <w:szCs w:val="20"/>
                <w:color w:val="auto"/>
              </w:rPr>
            </w:pPr>
            <w:r>
              <w:rPr>
                <w:rFonts w:ascii="Arial" w:cs="Arial" w:eastAsia="Arial" w:hAnsi="Arial"/>
                <w:sz w:val="11"/>
                <w:szCs w:val="11"/>
                <w:b w:val="1"/>
                <w:bCs w:val="1"/>
                <w:color w:val="auto"/>
                <w:w w:val="96"/>
              </w:rPr>
              <w:t>purchases,</w:t>
            </w: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0" w:type="dxa"/>
            <w:vAlign w:val="bottom"/>
            <w:gridSpan w:val="2"/>
          </w:tcPr>
          <w:p>
            <w:pPr>
              <w:jc w:val="center"/>
              <w:ind w:right="240"/>
              <w:spacing w:after="0" w:line="104" w:lineRule="exact"/>
              <w:rPr>
                <w:sz w:val="20"/>
                <w:szCs w:val="20"/>
                <w:color w:val="auto"/>
              </w:rPr>
            </w:pPr>
            <w:r>
              <w:rPr>
                <w:rFonts w:ascii="Arial" w:cs="Arial" w:eastAsia="Arial" w:hAnsi="Arial"/>
                <w:sz w:val="11"/>
                <w:szCs w:val="11"/>
                <w:b w:val="1"/>
                <w:bCs w:val="1"/>
                <w:color w:val="auto"/>
                <w:w w:val="89"/>
              </w:rPr>
              <w:t>asset/</w:t>
            </w:r>
          </w:p>
        </w:tc>
        <w:tc>
          <w:tcPr>
            <w:tcW w:w="40" w:type="dxa"/>
            <w:vAlign w:val="bottom"/>
          </w:tcPr>
          <w:p>
            <w:pPr>
              <w:spacing w:after="0"/>
              <w:rPr>
                <w:sz w:val="8"/>
                <w:szCs w:val="8"/>
                <w:color w:val="auto"/>
              </w:rPr>
            </w:pPr>
          </w:p>
        </w:tc>
        <w:tc>
          <w:tcPr>
            <w:tcW w:w="80" w:type="dxa"/>
            <w:vAlign w:val="bottom"/>
          </w:tcPr>
          <w:p>
            <w:pPr>
              <w:spacing w:after="0"/>
              <w:rPr>
                <w:sz w:val="8"/>
                <w:szCs w:val="8"/>
                <w:color w:val="auto"/>
              </w:rPr>
            </w:pPr>
          </w:p>
        </w:tc>
        <w:tc>
          <w:tcPr>
            <w:tcW w:w="940" w:type="dxa"/>
            <w:vAlign w:val="bottom"/>
            <w:gridSpan w:val="2"/>
          </w:tcPr>
          <w:p>
            <w:pPr>
              <w:jc w:val="center"/>
              <w:ind w:right="180"/>
              <w:spacing w:after="0" w:line="104" w:lineRule="exact"/>
              <w:rPr>
                <w:sz w:val="20"/>
                <w:szCs w:val="20"/>
                <w:color w:val="auto"/>
              </w:rPr>
            </w:pPr>
            <w:r>
              <w:rPr>
                <w:rFonts w:ascii="Arial" w:cs="Arial" w:eastAsia="Arial" w:hAnsi="Arial"/>
                <w:sz w:val="11"/>
                <w:szCs w:val="11"/>
                <w:b w:val="1"/>
                <w:bCs w:val="1"/>
                <w:color w:val="auto"/>
                <w:w w:val="92"/>
              </w:rPr>
              <w:t>gains (losses)</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3"/>
              </w:rPr>
              <w:t>(liability)</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77"/>
              </w:rPr>
              <w:t>sales,</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9"/>
              </w:rPr>
              <w:t>(liability)</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7"/>
              </w:rPr>
              <w:t>included in</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6"/>
              </w:rPr>
              <w:t>balance</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9"/>
              </w:rPr>
              <w:t>Included</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7"/>
              </w:rPr>
              <w:t>Included in</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79"/>
              </w:rPr>
              <w:t>issuances</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2"/>
              </w:rPr>
              <w:t>balance</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7"/>
              </w:rPr>
              <w:t>net income</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5"/>
              </w:rPr>
              <w:t>as of</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6"/>
              </w:rPr>
              <w:t>in net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6"/>
              </w:rPr>
              <w:t>other</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6"/>
              </w:rPr>
              <w:t>and</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4"/>
              </w:rPr>
              <w:t>Transfers</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4"/>
              </w:rPr>
              <w:t>Transfers</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78"/>
              </w:rPr>
              <w:t>as of</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9"/>
              </w:rPr>
              <w:t>relating to</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7"/>
              </w:rPr>
              <w:t>December 31,</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3"/>
              </w:rPr>
              <w:t>income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3"/>
              </w:rPr>
              <w:t>comprehensive</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2"/>
              </w:rPr>
              <w:t>settlements</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2"/>
              </w:rPr>
              <w:t>into</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2"/>
              </w:rPr>
              <w:t>out of</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5"/>
              </w:rPr>
              <w:t>September 30,</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5"/>
              </w:rPr>
              <w:t>positions still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3"/>
                <w:szCs w:val="13"/>
                <w:b w:val="1"/>
                <w:bCs w:val="1"/>
                <w:color w:val="auto"/>
                <w:w w:val="89"/>
              </w:rPr>
              <w:t>2014</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jc w:val="center"/>
              <w:ind w:right="56"/>
              <w:spacing w:after="0"/>
              <w:rPr>
                <w:sz w:val="20"/>
                <w:szCs w:val="20"/>
                <w:color w:val="auto"/>
              </w:rPr>
            </w:pPr>
            <w:r>
              <w:rPr>
                <w:rFonts w:ascii="Arial" w:cs="Arial" w:eastAsia="Arial" w:hAnsi="Arial"/>
                <w:sz w:val="13"/>
                <w:szCs w:val="13"/>
                <w:b w:val="1"/>
                <w:bCs w:val="1"/>
                <w:color w:val="auto"/>
                <w:w w:val="87"/>
              </w:rPr>
              <w:t>(1)</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6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income</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jc w:val="center"/>
              <w:ind w:right="17"/>
              <w:spacing w:after="0"/>
              <w:rPr>
                <w:sz w:val="20"/>
                <w:szCs w:val="20"/>
                <w:color w:val="auto"/>
              </w:rPr>
            </w:pPr>
            <w:r>
              <w:rPr>
                <w:rFonts w:ascii="Arial" w:cs="Arial" w:eastAsia="Arial" w:hAnsi="Arial"/>
                <w:sz w:val="13"/>
                <w:szCs w:val="13"/>
                <w:b w:val="1"/>
                <w:bCs w:val="1"/>
                <w:color w:val="auto"/>
              </w:rPr>
              <w:t>(4)</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6"/>
              </w:rPr>
              <w:t>Level 3</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6"/>
              </w:rPr>
              <w:t>Level 3</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jc w:val="center"/>
              <w:ind w:right="17"/>
              <w:spacing w:after="0"/>
              <w:rPr>
                <w:sz w:val="20"/>
                <w:szCs w:val="20"/>
                <w:color w:val="auto"/>
              </w:rPr>
            </w:pPr>
            <w:r>
              <w:rPr>
                <w:rFonts w:ascii="Arial" w:cs="Arial" w:eastAsia="Arial" w:hAnsi="Arial"/>
                <w:sz w:val="13"/>
                <w:szCs w:val="13"/>
                <w:b w:val="1"/>
                <w:bCs w:val="1"/>
                <w:color w:val="auto"/>
                <w:w w:val="82"/>
              </w:rPr>
              <w:t>2015</w:t>
            </w: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6"/>
              </w:rPr>
              <w:t>held (1)</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60" w:type="dxa"/>
            <w:vAlign w:val="bottom"/>
            <w:tcBorders>
              <w:top w:val="single" w:sz="8" w:color="auto"/>
            </w:tcBorders>
            <w:gridSpan w:val="4"/>
          </w:tcPr>
          <w:p>
            <w:pPr>
              <w:jc w:val="right"/>
              <w:spacing w:after="0" w:line="129" w:lineRule="exact"/>
              <w:rPr>
                <w:sz w:val="20"/>
                <w:szCs w:val="20"/>
                <w:color w:val="auto"/>
              </w:rPr>
            </w:pPr>
            <w:r>
              <w:rPr>
                <w:rFonts w:ascii="Arial" w:cs="Arial" w:eastAsia="Arial" w:hAnsi="Arial"/>
                <w:sz w:val="13"/>
                <w:szCs w:val="13"/>
                <w:b w:val="1"/>
                <w:bCs w:val="1"/>
                <w:color w:val="auto"/>
              </w:rPr>
              <w:t>(in millions)</w:t>
            </w:r>
          </w:p>
        </w:tc>
        <w:tc>
          <w:tcPr>
            <w:tcW w:w="7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Assets</w:t>
            </w:r>
          </w:p>
        </w:tc>
        <w:tc>
          <w:tcPr>
            <w:tcW w:w="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spacing w:after="0"/>
              <w:rPr>
                <w:sz w:val="11"/>
                <w:szCs w:val="11"/>
                <w:color w:val="auto"/>
              </w:rPr>
            </w:pPr>
          </w:p>
        </w:tc>
        <w:tc>
          <w:tcPr>
            <w:tcW w:w="16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color w:val="auto"/>
              </w:rPr>
              <w:t>Fixed maturities, available-for-sale:</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ind w:left="180"/>
              <w:spacing w:after="0" w:line="135" w:lineRule="exact"/>
              <w:rPr>
                <w:sz w:val="20"/>
                <w:szCs w:val="20"/>
                <w:color w:val="auto"/>
              </w:rPr>
            </w:pPr>
            <w:r>
              <w:rPr>
                <w:rFonts w:ascii="Arial" w:cs="Arial" w:eastAsia="Arial" w:hAnsi="Arial"/>
                <w:sz w:val="13"/>
                <w:szCs w:val="13"/>
                <w:color w:val="auto"/>
              </w:rPr>
              <w:t>Non-U.S. governments</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38.7</w:t>
            </w:r>
          </w:p>
        </w:tc>
        <w:tc>
          <w:tcPr>
            <w:tcW w:w="22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b w:val="1"/>
                <w:bCs w:val="1"/>
                <w:color w:val="auto"/>
              </w:rPr>
              <w:t>$</w:t>
            </w:r>
          </w:p>
        </w:tc>
        <w:tc>
          <w:tcPr>
            <w:tcW w:w="8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(0.2)</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0.4</w:t>
            </w:r>
          </w:p>
        </w:tc>
        <w:tc>
          <w:tcPr>
            <w:tcW w:w="18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b w:val="1"/>
                <w:bCs w:val="1"/>
                <w:color w:val="auto"/>
              </w:rPr>
              <w:t>$</w:t>
            </w:r>
          </w:p>
        </w:tc>
        <w:tc>
          <w:tcPr>
            <w:tcW w:w="90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10.0</w:t>
            </w:r>
          </w:p>
        </w:tc>
        <w:tc>
          <w:tcPr>
            <w:tcW w:w="26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2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b w:val="1"/>
                <w:bCs w:val="1"/>
                <w:color w:val="auto"/>
              </w:rPr>
              <w:t>$</w:t>
            </w:r>
          </w:p>
        </w:tc>
        <w:tc>
          <w:tcPr>
            <w:tcW w:w="86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1000" w:type="dxa"/>
            <w:vAlign w:val="bottom"/>
            <w:tcBorders>
              <w:right w:val="single" w:sz="8" w:color="CCEEFF"/>
            </w:tcBorders>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48.9</w:t>
            </w:r>
          </w:p>
        </w:tc>
        <w:tc>
          <w:tcPr>
            <w:tcW w:w="12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94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b w:val="1"/>
                <w:bCs w:val="1"/>
                <w:color w:val="auto"/>
              </w:rPr>
              <w:t>(0.2)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ind w:left="180"/>
              <w:spacing w:after="0" w:line="135" w:lineRule="exact"/>
              <w:rPr>
                <w:sz w:val="20"/>
                <w:szCs w:val="20"/>
                <w:color w:val="auto"/>
              </w:rPr>
            </w:pPr>
            <w:r>
              <w:rPr>
                <w:rFonts w:ascii="Arial" w:cs="Arial" w:eastAsia="Arial" w:hAnsi="Arial"/>
                <w:sz w:val="13"/>
                <w:szCs w:val="13"/>
                <w:color w:val="auto"/>
              </w:rPr>
              <w:t>Corporate</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245.6</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(0.2)</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(3.3)</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27.1</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41.2</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(73.6)</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236.8</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60"/>
              <w:spacing w:after="0" w:line="135" w:lineRule="exact"/>
              <w:rPr>
                <w:sz w:val="20"/>
                <w:szCs w:val="20"/>
                <w:color w:val="auto"/>
              </w:rPr>
            </w:pPr>
            <w:r>
              <w:rPr>
                <w:rFonts w:ascii="Arial" w:cs="Arial" w:eastAsia="Arial" w:hAnsi="Arial"/>
                <w:sz w:val="13"/>
                <w:szCs w:val="13"/>
                <w:b w:val="1"/>
                <w:bCs w:val="1"/>
                <w:color w:val="auto"/>
              </w:rPr>
              <w:t>(0.2)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ind w:left="180"/>
              <w:spacing w:after="0" w:line="135" w:lineRule="exact"/>
              <w:rPr>
                <w:sz w:val="20"/>
                <w:szCs w:val="20"/>
                <w:color w:val="auto"/>
              </w:rPr>
            </w:pPr>
            <w:r>
              <w:rPr>
                <w:rFonts w:ascii="Arial" w:cs="Arial" w:eastAsia="Arial" w:hAnsi="Arial"/>
                <w:sz w:val="13"/>
                <w:szCs w:val="13"/>
                <w:color w:val="auto"/>
              </w:rPr>
              <w:t>Commercial mortgage-backed securities</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0.1</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15.2</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tcBorders>
              <w:right w:val="single" w:sz="8" w:color="CCEEFF"/>
            </w:tcBorders>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15.3</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ind w:left="180"/>
              <w:spacing w:after="0" w:line="135" w:lineRule="exact"/>
              <w:rPr>
                <w:sz w:val="20"/>
                <w:szCs w:val="20"/>
                <w:color w:val="auto"/>
              </w:rPr>
            </w:pPr>
            <w:r>
              <w:rPr>
                <w:rFonts w:ascii="Arial" w:cs="Arial" w:eastAsia="Arial" w:hAnsi="Arial"/>
                <w:sz w:val="13"/>
                <w:szCs w:val="13"/>
                <w:color w:val="auto"/>
              </w:rPr>
              <w:t>Collateralized debt obligations</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64.2</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0.1</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(0.1)</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(1.0)</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63.2</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ind w:left="180"/>
              <w:spacing w:after="0" w:line="135" w:lineRule="exact"/>
              <w:rPr>
                <w:sz w:val="20"/>
                <w:szCs w:val="20"/>
                <w:color w:val="auto"/>
              </w:rPr>
            </w:pPr>
            <w:r>
              <w:rPr>
                <w:rFonts w:ascii="Arial" w:cs="Arial" w:eastAsia="Arial" w:hAnsi="Arial"/>
                <w:sz w:val="13"/>
                <w:szCs w:val="13"/>
                <w:color w:val="auto"/>
              </w:rPr>
              <w:t>Other debt obligations</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63.7</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0.8</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7.3</w:t>
            </w: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(58.3)</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tcBorders>
              <w:right w:val="single" w:sz="8" w:color="CCEEFF"/>
            </w:tcBorders>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13.5</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20" w:type="dxa"/>
            <w:vAlign w:val="bottom"/>
            <w:gridSpan w:val="2"/>
            <w:vMerge w:val="restart"/>
          </w:tcPr>
          <w:p>
            <w:pPr>
              <w:spacing w:after="0"/>
              <w:rPr>
                <w:sz w:val="20"/>
                <w:szCs w:val="20"/>
                <w:color w:val="auto"/>
              </w:rPr>
            </w:pPr>
            <w:r>
              <w:rPr>
                <w:rFonts w:ascii="Arial" w:cs="Arial" w:eastAsia="Arial" w:hAnsi="Arial"/>
                <w:sz w:val="13"/>
                <w:szCs w:val="13"/>
                <w:color w:val="auto"/>
              </w:rPr>
              <w:t>Total fixed maturities, available-for-sale</w:t>
            </w:r>
          </w:p>
        </w:tc>
        <w:tc>
          <w:tcPr>
            <w:tcW w:w="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6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jc w:val="right"/>
              <w:spacing w:after="0" w:line="129" w:lineRule="exact"/>
              <w:rPr>
                <w:sz w:val="20"/>
                <w:szCs w:val="20"/>
                <w:color w:val="auto"/>
              </w:rPr>
            </w:pPr>
            <w:r>
              <w:rPr>
                <w:rFonts w:ascii="Arial" w:cs="Arial" w:eastAsia="Arial" w:hAnsi="Arial"/>
                <w:sz w:val="13"/>
                <w:szCs w:val="13"/>
                <w:b w:val="1"/>
                <w:bCs w:val="1"/>
                <w:color w:val="auto"/>
              </w:rPr>
              <w:t>412.2</w:t>
            </w:r>
          </w:p>
        </w:tc>
        <w:tc>
          <w:tcPr>
            <w:tcW w:w="14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right"/>
              <w:ind w:right="100"/>
              <w:spacing w:after="0" w:line="129" w:lineRule="exact"/>
              <w:rPr>
                <w:sz w:val="20"/>
                <w:szCs w:val="20"/>
                <w:color w:val="auto"/>
              </w:rPr>
            </w:pPr>
            <w:r>
              <w:rPr>
                <w:rFonts w:ascii="Arial" w:cs="Arial" w:eastAsia="Arial" w:hAnsi="Arial"/>
                <w:sz w:val="13"/>
                <w:szCs w:val="13"/>
                <w:b w:val="1"/>
                <w:bCs w:val="1"/>
                <w:color w:val="auto"/>
              </w:rPr>
              <w:t>(0.3)</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00"/>
              <w:spacing w:after="0" w:line="129" w:lineRule="exact"/>
              <w:rPr>
                <w:sz w:val="20"/>
                <w:szCs w:val="20"/>
                <w:color w:val="auto"/>
              </w:rPr>
            </w:pPr>
            <w:r>
              <w:rPr>
                <w:rFonts w:ascii="Arial" w:cs="Arial" w:eastAsia="Arial" w:hAnsi="Arial"/>
                <w:sz w:val="13"/>
                <w:szCs w:val="13"/>
                <w:b w:val="1"/>
                <w:bCs w:val="1"/>
                <w:color w:val="auto"/>
              </w:rPr>
              <w:t>(2.1)</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jc w:val="right"/>
              <w:spacing w:after="0" w:line="129" w:lineRule="exact"/>
              <w:rPr>
                <w:sz w:val="20"/>
                <w:szCs w:val="20"/>
                <w:color w:val="auto"/>
              </w:rPr>
            </w:pPr>
            <w:r>
              <w:rPr>
                <w:rFonts w:ascii="Arial" w:cs="Arial" w:eastAsia="Arial" w:hAnsi="Arial"/>
                <w:sz w:val="13"/>
                <w:szCs w:val="13"/>
                <w:b w:val="1"/>
                <w:bCs w:val="1"/>
                <w:color w:val="auto"/>
              </w:rPr>
              <w:t>58.6</w:t>
            </w:r>
          </w:p>
        </w:tc>
        <w:tc>
          <w:tcPr>
            <w:tcW w:w="14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jc w:val="right"/>
              <w:spacing w:after="0" w:line="129" w:lineRule="exact"/>
              <w:rPr>
                <w:sz w:val="20"/>
                <w:szCs w:val="20"/>
                <w:color w:val="auto"/>
              </w:rPr>
            </w:pPr>
            <w:r>
              <w:rPr>
                <w:rFonts w:ascii="Arial" w:cs="Arial" w:eastAsia="Arial" w:hAnsi="Arial"/>
                <w:sz w:val="13"/>
                <w:szCs w:val="13"/>
                <w:b w:val="1"/>
                <w:bCs w:val="1"/>
                <w:color w:val="auto"/>
              </w:rPr>
              <w:t>41.2</w:t>
            </w:r>
          </w:p>
        </w:tc>
        <w:tc>
          <w:tcPr>
            <w:tcW w:w="12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80"/>
              <w:spacing w:after="0" w:line="129" w:lineRule="exact"/>
              <w:rPr>
                <w:sz w:val="20"/>
                <w:szCs w:val="20"/>
                <w:color w:val="auto"/>
              </w:rPr>
            </w:pPr>
            <w:r>
              <w:rPr>
                <w:rFonts w:ascii="Arial" w:cs="Arial" w:eastAsia="Arial" w:hAnsi="Arial"/>
                <w:sz w:val="13"/>
                <w:szCs w:val="13"/>
                <w:b w:val="1"/>
                <w:bCs w:val="1"/>
                <w:color w:val="auto"/>
              </w:rPr>
              <w:t>(131.9)</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jc w:val="right"/>
              <w:spacing w:after="0" w:line="129" w:lineRule="exact"/>
              <w:rPr>
                <w:sz w:val="20"/>
                <w:szCs w:val="20"/>
                <w:color w:val="auto"/>
              </w:rPr>
            </w:pPr>
            <w:r>
              <w:rPr>
                <w:rFonts w:ascii="Arial" w:cs="Arial" w:eastAsia="Arial" w:hAnsi="Arial"/>
                <w:sz w:val="13"/>
                <w:szCs w:val="13"/>
                <w:b w:val="1"/>
                <w:bCs w:val="1"/>
                <w:color w:val="auto"/>
              </w:rPr>
              <w:t>377.7</w:t>
            </w:r>
          </w:p>
        </w:tc>
        <w:tc>
          <w:tcPr>
            <w:tcW w:w="16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60"/>
              <w:spacing w:after="0" w:line="129" w:lineRule="exact"/>
              <w:rPr>
                <w:sz w:val="20"/>
                <w:szCs w:val="20"/>
                <w:color w:val="auto"/>
              </w:rPr>
            </w:pPr>
            <w:r>
              <w:rPr>
                <w:rFonts w:ascii="Arial" w:cs="Arial" w:eastAsia="Arial" w:hAnsi="Arial"/>
                <w:sz w:val="13"/>
                <w:szCs w:val="13"/>
                <w:b w:val="1"/>
                <w:bCs w:val="1"/>
                <w:color w:val="auto"/>
              </w:rPr>
              <w:t>(0.4)</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Fixed maturities, trading</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139.7</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(0.6)</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(0.1)</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tcBorders>
              <w:right w:val="single" w:sz="8" w:color="CCEEFF"/>
            </w:tcBorders>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139.0</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b w:val="1"/>
                <w:bCs w:val="1"/>
                <w:color w:val="auto"/>
              </w:rPr>
              <w:t>(0.7)</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color w:val="auto"/>
              </w:rPr>
              <w:t>Equity securities, available-for-sale</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4.1</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4.1</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Derivative assets</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53.7</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(3.6)</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2.4</w:t>
            </w: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tcBorders>
              <w:right w:val="single" w:sz="8" w:color="CCEEFF"/>
            </w:tcBorders>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52.5</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b w:val="1"/>
                <w:bCs w:val="1"/>
                <w:color w:val="auto"/>
              </w:rPr>
              <w:t>(3.4)</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color w:val="auto"/>
              </w:rPr>
              <w:t>Other investments</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127.2</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4.5</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(65.2)</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80"/>
              <w:spacing w:after="0" w:line="135" w:lineRule="exact"/>
              <w:rPr>
                <w:sz w:val="20"/>
                <w:szCs w:val="20"/>
                <w:color w:val="auto"/>
              </w:rPr>
            </w:pPr>
            <w:r>
              <w:rPr>
                <w:rFonts w:ascii="Arial" w:cs="Arial" w:eastAsia="Arial" w:hAnsi="Arial"/>
                <w:sz w:val="13"/>
                <w:szCs w:val="13"/>
                <w:b w:val="1"/>
                <w:bCs w:val="1"/>
                <w:color w:val="auto"/>
              </w:rPr>
              <w:t>(35.0)</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31.5</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4.5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Separate account assets (2)</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5,891.4</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799.3</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45.4</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0.2</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b w:val="1"/>
                <w:bCs w:val="1"/>
                <w:color w:val="auto"/>
              </w:rPr>
              <w:t>(0.2)</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tcBorders>
              <w:right w:val="single" w:sz="8" w:color="CCEEFF"/>
            </w:tcBorders>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6,736.1</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705.2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restart"/>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Liabilities</w:t>
            </w:r>
          </w:p>
        </w:tc>
        <w:tc>
          <w:tcPr>
            <w:tcW w:w="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spacing w:after="0"/>
              <w:rPr>
                <w:sz w:val="11"/>
                <w:szCs w:val="11"/>
                <w:color w:val="auto"/>
              </w:rPr>
            </w:pPr>
          </w:p>
        </w:tc>
        <w:tc>
          <w:tcPr>
            <w:tcW w:w="16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color w:val="auto"/>
              </w:rPr>
              <w:t>Investment-type insurance contracts</w:t>
            </w:r>
          </w:p>
        </w:tc>
        <w:tc>
          <w:tcPr>
            <w:tcW w:w="60" w:type="dxa"/>
            <w:vAlign w:val="bottom"/>
          </w:tcPr>
          <w:p>
            <w:pPr>
              <w:spacing w:after="0"/>
              <w:rPr>
                <w:sz w:val="11"/>
                <w:szCs w:val="11"/>
                <w:color w:val="auto"/>
              </w:rPr>
            </w:pPr>
          </w:p>
        </w:tc>
        <w:tc>
          <w:tcPr>
            <w:tcW w:w="94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(176.4)</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right"/>
              <w:ind w:right="100"/>
              <w:spacing w:after="0" w:line="135" w:lineRule="exact"/>
              <w:rPr>
                <w:sz w:val="20"/>
                <w:szCs w:val="20"/>
                <w:color w:val="auto"/>
              </w:rPr>
            </w:pPr>
            <w:r>
              <w:rPr>
                <w:rFonts w:ascii="Arial" w:cs="Arial" w:eastAsia="Arial" w:hAnsi="Arial"/>
                <w:sz w:val="13"/>
                <w:szCs w:val="13"/>
                <w:b w:val="1"/>
                <w:bCs w:val="1"/>
                <w:color w:val="auto"/>
              </w:rPr>
              <w:t>(40.5)</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6.6</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(210.3)</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60"/>
              <w:spacing w:after="0" w:line="135" w:lineRule="exact"/>
              <w:rPr>
                <w:sz w:val="20"/>
                <w:szCs w:val="20"/>
                <w:color w:val="auto"/>
              </w:rPr>
            </w:pPr>
            <w:r>
              <w:rPr>
                <w:rFonts w:ascii="Arial" w:cs="Arial" w:eastAsia="Arial" w:hAnsi="Arial"/>
                <w:sz w:val="13"/>
                <w:szCs w:val="13"/>
                <w:b w:val="1"/>
                <w:bCs w:val="1"/>
                <w:color w:val="auto"/>
              </w:rPr>
              <w:t>(43.8)</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Derivative liabilities</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(35.5)</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b w:val="1"/>
                <w:bCs w:val="1"/>
                <w:color w:val="auto"/>
              </w:rPr>
              <w:t>(12.0)</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b w:val="1"/>
                <w:bCs w:val="1"/>
                <w:color w:val="auto"/>
              </w:rPr>
              <w:t>1.6</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0.2</w:t>
            </w: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tcBorders>
              <w:right w:val="single" w:sz="8" w:color="CCEEFF"/>
            </w:tcBorders>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b w:val="1"/>
                <w:bCs w:val="1"/>
                <w:color w:val="auto"/>
              </w:rPr>
              <w:t>(45.7)</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b w:val="1"/>
                <w:bCs w:val="1"/>
                <w:color w:val="auto"/>
              </w:rPr>
              <w:t>(12.6)</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620" w:type="dxa"/>
            <w:vAlign w:val="bottom"/>
            <w:gridSpan w:val="2"/>
          </w:tcPr>
          <w:p>
            <w:pPr>
              <w:spacing w:after="0"/>
              <w:rPr>
                <w:sz w:val="20"/>
                <w:szCs w:val="20"/>
                <w:color w:val="auto"/>
              </w:rPr>
            </w:pPr>
            <w:r>
              <w:rPr>
                <w:rFonts w:ascii="Arial" w:cs="Arial" w:eastAsia="Arial" w:hAnsi="Arial"/>
                <w:sz w:val="13"/>
                <w:szCs w:val="13"/>
                <w:color w:val="auto"/>
              </w:rPr>
              <w:t>Other liabilities (3)</w:t>
            </w:r>
          </w:p>
        </w:tc>
        <w:tc>
          <w:tcPr>
            <w:tcW w:w="60" w:type="dxa"/>
            <w:vAlign w:val="bottom"/>
          </w:tcPr>
          <w:p>
            <w:pPr>
              <w:spacing w:after="0"/>
              <w:rPr>
                <w:sz w:val="14"/>
                <w:szCs w:val="14"/>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3"/>
                <w:szCs w:val="13"/>
                <w:b w:val="1"/>
                <w:bCs w:val="1"/>
                <w:color w:val="auto"/>
              </w:rPr>
              <w:t>(66.3)</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3"/>
                <w:szCs w:val="13"/>
                <w:b w:val="1"/>
                <w:bCs w:val="1"/>
                <w:color w:val="auto"/>
              </w:rPr>
              <w:t>1.6</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3"/>
                <w:szCs w:val="13"/>
                <w:b w:val="1"/>
                <w:bCs w:val="1"/>
                <w:color w:val="auto"/>
              </w:rPr>
              <w:t>—</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(64.7)</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3"/>
                <w:szCs w:val="13"/>
                <w:b w:val="1"/>
                <w:bCs w:val="1"/>
                <w:color w:val="auto"/>
              </w:rPr>
              <w:t>1.5</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03"/>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jc w:val="center"/>
              <w:ind w:left="635"/>
              <w:spacing w:after="0"/>
              <w:rPr>
                <w:sz w:val="20"/>
                <w:szCs w:val="20"/>
                <w:color w:val="auto"/>
              </w:rPr>
            </w:pPr>
            <w:r>
              <w:rPr>
                <w:rFonts w:ascii="Arial" w:cs="Arial" w:eastAsia="Arial" w:hAnsi="Arial"/>
                <w:sz w:val="18"/>
                <w:szCs w:val="18"/>
                <w:color w:val="auto"/>
                <w:w w:val="89"/>
              </w:rPr>
              <w:t>57</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136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264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1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180" w:type="dxa"/>
            <w:vAlign w:val="bottom"/>
            <w:gridSpan w:val="10"/>
          </w:tcPr>
          <w:p>
            <w:pPr>
              <w:jc w:val="center"/>
              <w:ind w:left="456"/>
              <w:spacing w:after="0"/>
              <w:rPr>
                <w:sz w:val="20"/>
                <w:szCs w:val="20"/>
                <w:color w:val="auto"/>
              </w:rPr>
            </w:pPr>
            <w:r>
              <w:rPr>
                <w:rFonts w:ascii="Arial" w:cs="Arial" w:eastAsia="Arial" w:hAnsi="Arial"/>
                <w:sz w:val="18"/>
                <w:szCs w:val="18"/>
                <w:b w:val="1"/>
                <w:bCs w:val="1"/>
                <w:color w:val="auto"/>
                <w:w w:val="93"/>
              </w:rPr>
              <w:t>Principal Financial Group, Inc.</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60" w:type="dxa"/>
            <w:vAlign w:val="bottom"/>
            <w:gridSpan w:val="14"/>
          </w:tcPr>
          <w:p>
            <w:pPr>
              <w:jc w:val="center"/>
              <w:ind w:right="56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140" w:type="dxa"/>
            <w:vAlign w:val="bottom"/>
            <w:gridSpan w:val="6"/>
          </w:tcPr>
          <w:p>
            <w:pPr>
              <w:jc w:val="center"/>
              <w:ind w:right="520"/>
              <w:spacing w:after="0"/>
              <w:rPr>
                <w:sz w:val="20"/>
                <w:szCs w:val="20"/>
                <w:color w:val="auto"/>
              </w:rPr>
            </w:pPr>
            <w:r>
              <w:rPr>
                <w:rFonts w:ascii="Arial" w:cs="Arial" w:eastAsia="Arial" w:hAnsi="Arial"/>
                <w:sz w:val="18"/>
                <w:szCs w:val="18"/>
                <w:b w:val="1"/>
                <w:bCs w:val="1"/>
                <w:color w:val="auto"/>
                <w:w w:val="89"/>
              </w:rPr>
              <w:t>September 30, 2015</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140" w:type="dxa"/>
            <w:vAlign w:val="bottom"/>
            <w:gridSpan w:val="6"/>
          </w:tcPr>
          <w:p>
            <w:pPr>
              <w:jc w:val="center"/>
              <w:ind w:right="520"/>
              <w:spacing w:after="0"/>
              <w:rPr>
                <w:sz w:val="20"/>
                <w:szCs w:val="20"/>
                <w:color w:val="auto"/>
              </w:rPr>
            </w:pPr>
            <w:r>
              <w:rPr>
                <w:rFonts w:ascii="Arial" w:cs="Arial" w:eastAsia="Arial" w:hAnsi="Arial"/>
                <w:sz w:val="18"/>
                <w:szCs w:val="18"/>
                <w:b w:val="1"/>
                <w:bCs w:val="1"/>
                <w:color w:val="auto"/>
                <w:w w:val="93"/>
              </w:rPr>
              <w:t>(Unaudited)</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1"/>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20" w:type="dxa"/>
            <w:vAlign w:val="bottom"/>
            <w:tcBorders>
              <w:bottom w:val="single" w:sz="8" w:color="auto"/>
            </w:tcBorders>
            <w:gridSpan w:val="10"/>
          </w:tcPr>
          <w:p>
            <w:pPr>
              <w:jc w:val="right"/>
              <w:ind w:right="440"/>
              <w:spacing w:after="0"/>
              <w:rPr>
                <w:sz w:val="20"/>
                <w:szCs w:val="20"/>
                <w:color w:val="auto"/>
              </w:rPr>
            </w:pPr>
            <w:r>
              <w:rPr>
                <w:rFonts w:ascii="Arial" w:cs="Arial" w:eastAsia="Arial" w:hAnsi="Arial"/>
                <w:sz w:val="13"/>
                <w:szCs w:val="13"/>
                <w:b w:val="1"/>
                <w:bCs w:val="1"/>
                <w:color w:val="auto"/>
                <w:w w:val="94"/>
              </w:rPr>
              <w:t>For the nine months ended September 30, 2014</w:t>
            </w: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4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85"/>
              </w:rPr>
              <w:t>Changes in</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3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100" w:type="dxa"/>
            <w:vAlign w:val="bottom"/>
            <w:gridSpan w:val="6"/>
          </w:tcPr>
          <w:p>
            <w:pPr>
              <w:jc w:val="center"/>
              <w:ind w:right="260"/>
              <w:spacing w:after="0" w:line="110" w:lineRule="exact"/>
              <w:rPr>
                <w:sz w:val="20"/>
                <w:szCs w:val="20"/>
                <w:color w:val="auto"/>
              </w:rPr>
            </w:pPr>
            <w:r>
              <w:rPr>
                <w:rFonts w:ascii="Arial" w:cs="Arial" w:eastAsia="Arial" w:hAnsi="Arial"/>
                <w:sz w:val="12"/>
                <w:szCs w:val="12"/>
                <w:b w:val="1"/>
                <w:bCs w:val="1"/>
                <w:color w:val="auto"/>
                <w:w w:val="94"/>
              </w:rPr>
              <w:t>Total realized/unrealized</w:t>
            </w: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94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4"/>
              </w:rPr>
              <w:t>Beginning</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100" w:type="dxa"/>
            <w:vAlign w:val="bottom"/>
            <w:gridSpan w:val="6"/>
          </w:tcPr>
          <w:p>
            <w:pPr>
              <w:jc w:val="center"/>
              <w:ind w:right="280"/>
              <w:spacing w:after="0" w:line="135" w:lineRule="exact"/>
              <w:rPr>
                <w:sz w:val="20"/>
                <w:szCs w:val="20"/>
                <w:color w:val="auto"/>
              </w:rPr>
            </w:pPr>
            <w:r>
              <w:rPr>
                <w:rFonts w:ascii="Arial" w:cs="Arial" w:eastAsia="Arial" w:hAnsi="Arial"/>
                <w:sz w:val="13"/>
                <w:szCs w:val="13"/>
                <w:b w:val="1"/>
                <w:bCs w:val="1"/>
                <w:color w:val="auto"/>
                <w:w w:val="80"/>
              </w:rPr>
              <w:t>gains (losses)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5"/>
              </w:rPr>
              <w:t>Net</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0"/>
              </w:rPr>
              <w:t>Ending</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7"/>
              </w:rPr>
              <w:t>unrealized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60" w:type="dxa"/>
            <w:vAlign w:val="bottom"/>
          </w:tcPr>
          <w:p>
            <w:pPr>
              <w:spacing w:after="0"/>
              <w:rPr>
                <w:sz w:val="8"/>
                <w:szCs w:val="8"/>
                <w:color w:val="auto"/>
              </w:rPr>
            </w:pPr>
          </w:p>
        </w:tc>
        <w:tc>
          <w:tcPr>
            <w:tcW w:w="940" w:type="dxa"/>
            <w:vAlign w:val="bottom"/>
            <w:gridSpan w:val="2"/>
          </w:tcPr>
          <w:p>
            <w:pPr>
              <w:jc w:val="center"/>
              <w:ind w:right="200"/>
              <w:spacing w:after="0" w:line="104" w:lineRule="exact"/>
              <w:rPr>
                <w:sz w:val="20"/>
                <w:szCs w:val="20"/>
                <w:color w:val="auto"/>
              </w:rPr>
            </w:pPr>
            <w:r>
              <w:rPr>
                <w:rFonts w:ascii="Arial" w:cs="Arial" w:eastAsia="Arial" w:hAnsi="Arial"/>
                <w:sz w:val="11"/>
                <w:szCs w:val="11"/>
                <w:b w:val="1"/>
                <w:bCs w:val="1"/>
                <w:color w:val="auto"/>
                <w:w w:val="96"/>
              </w:rPr>
              <w:t>asset/</w:t>
            </w:r>
          </w:p>
        </w:tc>
        <w:tc>
          <w:tcPr>
            <w:tcW w:w="100" w:type="dxa"/>
            <w:vAlign w:val="bottom"/>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740" w:type="dxa"/>
            <w:vAlign w:val="bottom"/>
            <w:tcBorders>
              <w:top w:val="single" w:sz="8" w:color="auto"/>
            </w:tcBorders>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9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gridSpan w:val="2"/>
          </w:tcPr>
          <w:p>
            <w:pPr>
              <w:jc w:val="center"/>
              <w:ind w:right="220"/>
              <w:spacing w:after="0" w:line="104" w:lineRule="exact"/>
              <w:rPr>
                <w:sz w:val="20"/>
                <w:szCs w:val="20"/>
                <w:color w:val="auto"/>
              </w:rPr>
            </w:pPr>
            <w:r>
              <w:rPr>
                <w:rFonts w:ascii="Arial" w:cs="Arial" w:eastAsia="Arial" w:hAnsi="Arial"/>
                <w:sz w:val="11"/>
                <w:szCs w:val="11"/>
                <w:b w:val="1"/>
                <w:bCs w:val="1"/>
                <w:color w:val="auto"/>
                <w:w w:val="96"/>
              </w:rPr>
              <w:t>purchases,</w:t>
            </w: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0" w:type="dxa"/>
            <w:vAlign w:val="bottom"/>
            <w:gridSpan w:val="2"/>
          </w:tcPr>
          <w:p>
            <w:pPr>
              <w:jc w:val="center"/>
              <w:ind w:right="260"/>
              <w:spacing w:after="0" w:line="104" w:lineRule="exact"/>
              <w:rPr>
                <w:sz w:val="20"/>
                <w:szCs w:val="20"/>
                <w:color w:val="auto"/>
              </w:rPr>
            </w:pPr>
            <w:r>
              <w:rPr>
                <w:rFonts w:ascii="Arial" w:cs="Arial" w:eastAsia="Arial" w:hAnsi="Arial"/>
                <w:sz w:val="11"/>
                <w:szCs w:val="11"/>
                <w:b w:val="1"/>
                <w:bCs w:val="1"/>
                <w:color w:val="auto"/>
                <w:w w:val="96"/>
              </w:rPr>
              <w:t>asset/</w:t>
            </w:r>
          </w:p>
        </w:tc>
        <w:tc>
          <w:tcPr>
            <w:tcW w:w="40" w:type="dxa"/>
            <w:vAlign w:val="bottom"/>
          </w:tcPr>
          <w:p>
            <w:pPr>
              <w:spacing w:after="0"/>
              <w:rPr>
                <w:sz w:val="8"/>
                <w:szCs w:val="8"/>
                <w:color w:val="auto"/>
              </w:rPr>
            </w:pPr>
          </w:p>
        </w:tc>
        <w:tc>
          <w:tcPr>
            <w:tcW w:w="80" w:type="dxa"/>
            <w:vAlign w:val="bottom"/>
          </w:tcPr>
          <w:p>
            <w:pPr>
              <w:spacing w:after="0"/>
              <w:rPr>
                <w:sz w:val="8"/>
                <w:szCs w:val="8"/>
                <w:color w:val="auto"/>
              </w:rPr>
            </w:pPr>
          </w:p>
        </w:tc>
        <w:tc>
          <w:tcPr>
            <w:tcW w:w="940" w:type="dxa"/>
            <w:vAlign w:val="bottom"/>
            <w:gridSpan w:val="2"/>
          </w:tcPr>
          <w:p>
            <w:pPr>
              <w:jc w:val="center"/>
              <w:ind w:right="240"/>
              <w:spacing w:after="0" w:line="104" w:lineRule="exact"/>
              <w:rPr>
                <w:sz w:val="20"/>
                <w:szCs w:val="20"/>
                <w:color w:val="auto"/>
              </w:rPr>
            </w:pPr>
            <w:r>
              <w:rPr>
                <w:rFonts w:ascii="Arial" w:cs="Arial" w:eastAsia="Arial" w:hAnsi="Arial"/>
                <w:sz w:val="11"/>
                <w:szCs w:val="11"/>
                <w:b w:val="1"/>
                <w:bCs w:val="1"/>
                <w:color w:val="auto"/>
                <w:w w:val="95"/>
              </w:rPr>
              <w:t>gains (losses)</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3"/>
              </w:rPr>
              <w:t>(liability)</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77"/>
              </w:rPr>
              <w:t>sales,</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3"/>
              </w:rPr>
              <w:t>(liability)</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7"/>
              </w:rPr>
              <w:t>included in</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6"/>
              </w:rPr>
              <w:t>balance</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9"/>
              </w:rPr>
              <w:t>Included</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7"/>
              </w:rPr>
              <w:t>Included in</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79"/>
              </w:rPr>
              <w:t>issuances</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6"/>
              </w:rPr>
              <w:t>balance</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4"/>
              </w:rPr>
              <w:t>net income</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5"/>
              </w:rPr>
              <w:t>as of</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6"/>
              </w:rPr>
              <w:t>in net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6"/>
              </w:rPr>
              <w:t>other</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6"/>
              </w:rPr>
              <w:t>and</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4"/>
              </w:rPr>
              <w:t>Transfers</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7"/>
              </w:rPr>
              <w:t>Transfers</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78"/>
              </w:rPr>
              <w:t>as of</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5"/>
              </w:rPr>
              <w:t>relating to</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7"/>
              </w:rPr>
              <w:t>December 31,</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3"/>
              </w:rPr>
              <w:t>income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3"/>
              </w:rPr>
              <w:t>comprehensive</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82"/>
              </w:rPr>
              <w:t>settlements</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2"/>
              </w:rPr>
              <w:t>into</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out of</w:t>
            </w:r>
          </w:p>
        </w:tc>
        <w:tc>
          <w:tcPr>
            <w:tcW w:w="80" w:type="dxa"/>
            <w:vAlign w:val="bottom"/>
          </w:tcPr>
          <w:p>
            <w:pPr>
              <w:spacing w:after="0"/>
              <w:rPr>
                <w:sz w:val="11"/>
                <w:szCs w:val="11"/>
                <w:color w:val="auto"/>
              </w:rPr>
            </w:pPr>
          </w:p>
        </w:tc>
        <w:tc>
          <w:tcPr>
            <w:tcW w:w="1080" w:type="dxa"/>
            <w:vAlign w:val="bottom"/>
            <w:gridSpan w:val="3"/>
          </w:tcPr>
          <w:p>
            <w:pPr>
              <w:jc w:val="center"/>
              <w:ind w:right="200"/>
              <w:spacing w:after="0" w:line="135" w:lineRule="exact"/>
              <w:rPr>
                <w:sz w:val="20"/>
                <w:szCs w:val="20"/>
                <w:color w:val="auto"/>
              </w:rPr>
            </w:pPr>
            <w:r>
              <w:rPr>
                <w:rFonts w:ascii="Arial" w:cs="Arial" w:eastAsia="Arial" w:hAnsi="Arial"/>
                <w:sz w:val="13"/>
                <w:szCs w:val="13"/>
                <w:b w:val="1"/>
                <w:bCs w:val="1"/>
                <w:color w:val="auto"/>
                <w:w w:val="85"/>
              </w:rPr>
              <w:t>September 30,</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3"/>
              </w:rPr>
              <w:t>positions still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3"/>
                <w:szCs w:val="13"/>
                <w:b w:val="1"/>
                <w:bCs w:val="1"/>
                <w:color w:val="auto"/>
                <w:w w:val="89"/>
              </w:rPr>
              <w:t>2013</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jc w:val="center"/>
              <w:ind w:right="56"/>
              <w:spacing w:after="0"/>
              <w:rPr>
                <w:sz w:val="20"/>
                <w:szCs w:val="20"/>
                <w:color w:val="auto"/>
              </w:rPr>
            </w:pPr>
            <w:r>
              <w:rPr>
                <w:rFonts w:ascii="Arial" w:cs="Arial" w:eastAsia="Arial" w:hAnsi="Arial"/>
                <w:sz w:val="13"/>
                <w:szCs w:val="13"/>
                <w:b w:val="1"/>
                <w:bCs w:val="1"/>
                <w:color w:val="auto"/>
                <w:w w:val="87"/>
              </w:rPr>
              <w:t>(1)</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6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income</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jc w:val="center"/>
              <w:ind w:right="17"/>
              <w:spacing w:after="0"/>
              <w:rPr>
                <w:sz w:val="20"/>
                <w:szCs w:val="20"/>
                <w:color w:val="auto"/>
              </w:rPr>
            </w:pPr>
            <w:r>
              <w:rPr>
                <w:rFonts w:ascii="Arial" w:cs="Arial" w:eastAsia="Arial" w:hAnsi="Arial"/>
                <w:sz w:val="13"/>
                <w:szCs w:val="13"/>
                <w:b w:val="1"/>
                <w:bCs w:val="1"/>
                <w:color w:val="auto"/>
              </w:rPr>
              <w:t>(4)</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6"/>
              </w:rPr>
              <w:t>Level 3</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Level 3</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jc w:val="center"/>
              <w:ind w:right="37"/>
              <w:spacing w:after="0"/>
              <w:rPr>
                <w:sz w:val="20"/>
                <w:szCs w:val="20"/>
                <w:color w:val="auto"/>
              </w:rPr>
            </w:pPr>
            <w:r>
              <w:rPr>
                <w:rFonts w:ascii="Arial" w:cs="Arial" w:eastAsia="Arial" w:hAnsi="Arial"/>
                <w:sz w:val="13"/>
                <w:szCs w:val="13"/>
                <w:b w:val="1"/>
                <w:bCs w:val="1"/>
                <w:color w:val="auto"/>
                <w:w w:val="89"/>
              </w:rPr>
              <w:t>2014</w:t>
            </w: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0"/>
              </w:rPr>
              <w:t>held (1)</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60" w:type="dxa"/>
            <w:vAlign w:val="bottom"/>
            <w:tcBorders>
              <w:top w:val="single" w:sz="8" w:color="auto"/>
            </w:tcBorders>
            <w:gridSpan w:val="4"/>
          </w:tcPr>
          <w:p>
            <w:pPr>
              <w:jc w:val="right"/>
              <w:spacing w:after="0" w:line="129" w:lineRule="exact"/>
              <w:rPr>
                <w:sz w:val="20"/>
                <w:szCs w:val="20"/>
                <w:color w:val="auto"/>
              </w:rPr>
            </w:pPr>
            <w:r>
              <w:rPr>
                <w:rFonts w:ascii="Arial" w:cs="Arial" w:eastAsia="Arial" w:hAnsi="Arial"/>
                <w:sz w:val="13"/>
                <w:szCs w:val="13"/>
                <w:b w:val="1"/>
                <w:bCs w:val="1"/>
                <w:color w:val="auto"/>
              </w:rPr>
              <w:t>(in millions)</w:t>
            </w:r>
          </w:p>
        </w:tc>
        <w:tc>
          <w:tcPr>
            <w:tcW w:w="7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Assets</w:t>
            </w:r>
          </w:p>
        </w:tc>
        <w:tc>
          <w:tcPr>
            <w:tcW w:w="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spacing w:after="0"/>
              <w:rPr>
                <w:sz w:val="11"/>
                <w:szCs w:val="11"/>
                <w:color w:val="auto"/>
              </w:rPr>
            </w:pPr>
          </w:p>
        </w:tc>
        <w:tc>
          <w:tcPr>
            <w:tcW w:w="16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color w:val="auto"/>
              </w:rPr>
              <w:t>Fixed maturities, available-for-sale:</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ind w:left="180"/>
              <w:spacing w:after="0" w:line="135" w:lineRule="exact"/>
              <w:rPr>
                <w:sz w:val="20"/>
                <w:szCs w:val="20"/>
                <w:color w:val="auto"/>
              </w:rPr>
            </w:pPr>
            <w:r>
              <w:rPr>
                <w:rFonts w:ascii="Arial" w:cs="Arial" w:eastAsia="Arial" w:hAnsi="Arial"/>
                <w:sz w:val="13"/>
                <w:szCs w:val="13"/>
                <w:color w:val="auto"/>
              </w:rPr>
              <w:t>Non-U.S. governments</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47.5</w:t>
            </w:r>
          </w:p>
        </w:tc>
        <w:tc>
          <w:tcPr>
            <w:tcW w:w="22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w:t>
            </w:r>
          </w:p>
        </w:tc>
        <w:tc>
          <w:tcPr>
            <w:tcW w:w="8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(0.1)</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06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(0.2)</w:t>
            </w:r>
          </w:p>
        </w:tc>
        <w:tc>
          <w:tcPr>
            <w:tcW w:w="18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9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(5.9)</w:t>
            </w:r>
          </w:p>
        </w:tc>
        <w:tc>
          <w:tcPr>
            <w:tcW w:w="26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22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840" w:type="dxa"/>
            <w:vAlign w:val="bottom"/>
            <w:tcBorders>
              <w:right w:val="single" w:sz="8" w:color="CCEEFF"/>
            </w:tcBorders>
            <w:shd w:val="clear" w:color="auto" w:fill="CCEEFF"/>
          </w:tcPr>
          <w:p>
            <w:pPr>
              <w:jc w:val="right"/>
              <w:spacing w:after="0" w:line="135" w:lineRule="exact"/>
              <w:rPr>
                <w:sz w:val="20"/>
                <w:szCs w:val="20"/>
                <w:color w:val="auto"/>
              </w:rPr>
            </w:pPr>
            <w:r>
              <w:rPr>
                <w:rFonts w:ascii="Arial" w:cs="Arial" w:eastAsia="Arial" w:hAnsi="Arial"/>
                <w:sz w:val="13"/>
                <w:szCs w:val="13"/>
                <w:color w:val="auto"/>
              </w:rPr>
              <w:t>41.3</w:t>
            </w:r>
          </w:p>
        </w:tc>
        <w:tc>
          <w:tcPr>
            <w:tcW w:w="160" w:type="dxa"/>
            <w:vAlign w:val="bottom"/>
            <w:tcBorders>
              <w:right w:val="single" w:sz="8" w:color="CCEEFF"/>
            </w:tcBorders>
            <w:shd w:val="clear" w:color="auto" w:fill="CCEEFF"/>
          </w:tcPr>
          <w:p>
            <w:pPr>
              <w:spacing w:after="0"/>
              <w:rPr>
                <w:sz w:val="11"/>
                <w:szCs w:val="11"/>
                <w:color w:val="auto"/>
              </w:rPr>
            </w:pPr>
          </w:p>
        </w:tc>
        <w:tc>
          <w:tcPr>
            <w:tcW w:w="120" w:type="dxa"/>
            <w:vAlign w:val="bottom"/>
            <w:gridSpan w:val="2"/>
            <w:shd w:val="clear" w:color="auto" w:fill="CCEEFF"/>
          </w:tcPr>
          <w:p>
            <w:pPr>
              <w:jc w:val="right"/>
              <w:ind w:right="60"/>
              <w:spacing w:after="0"/>
              <w:rPr>
                <w:sz w:val="20"/>
                <w:szCs w:val="20"/>
                <w:color w:val="auto"/>
              </w:rPr>
            </w:pPr>
            <w:r>
              <w:rPr>
                <w:rFonts w:ascii="Arial" w:cs="Arial" w:eastAsia="Arial" w:hAnsi="Arial"/>
                <w:sz w:val="9"/>
                <w:szCs w:val="9"/>
                <w:color w:val="auto"/>
                <w:w w:val="78"/>
              </w:rPr>
              <w:t>$</w:t>
            </w:r>
          </w:p>
        </w:tc>
        <w:tc>
          <w:tcPr>
            <w:tcW w:w="94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(0.1)</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ind w:left="180"/>
              <w:spacing w:after="0" w:line="135" w:lineRule="exact"/>
              <w:rPr>
                <w:sz w:val="20"/>
                <w:szCs w:val="20"/>
                <w:color w:val="auto"/>
              </w:rPr>
            </w:pPr>
            <w:r>
              <w:rPr>
                <w:rFonts w:ascii="Arial" w:cs="Arial" w:eastAsia="Arial" w:hAnsi="Arial"/>
                <w:sz w:val="13"/>
                <w:szCs w:val="13"/>
                <w:color w:val="auto"/>
              </w:rPr>
              <w:t>States and political subdivisions</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1.8</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(0.1)</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3"/>
                <w:szCs w:val="13"/>
                <w:color w:val="auto"/>
              </w:rPr>
              <w:t>1.7</w:t>
            </w: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ind w:left="180"/>
              <w:spacing w:after="0" w:line="135" w:lineRule="exact"/>
              <w:rPr>
                <w:sz w:val="20"/>
                <w:szCs w:val="20"/>
                <w:color w:val="auto"/>
              </w:rPr>
            </w:pPr>
            <w:r>
              <w:rPr>
                <w:rFonts w:ascii="Arial" w:cs="Arial" w:eastAsia="Arial" w:hAnsi="Arial"/>
                <w:sz w:val="13"/>
                <w:szCs w:val="13"/>
                <w:color w:val="auto"/>
              </w:rPr>
              <w:t>Corporate</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164.0</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(1.6)</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(1.7)</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21.0</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46.6</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(6.1)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jc w:val="right"/>
              <w:spacing w:after="0" w:line="135" w:lineRule="exact"/>
              <w:rPr>
                <w:sz w:val="20"/>
                <w:szCs w:val="20"/>
                <w:color w:val="auto"/>
              </w:rPr>
            </w:pPr>
            <w:r>
              <w:rPr>
                <w:rFonts w:ascii="Arial" w:cs="Arial" w:eastAsia="Arial" w:hAnsi="Arial"/>
                <w:sz w:val="13"/>
                <w:szCs w:val="13"/>
                <w:color w:val="auto"/>
              </w:rPr>
              <w:t>222.2</w:t>
            </w:r>
          </w:p>
        </w:tc>
        <w:tc>
          <w:tcPr>
            <w:tcW w:w="16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(1.5)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ind w:left="180"/>
              <w:spacing w:after="0" w:line="135" w:lineRule="exact"/>
              <w:rPr>
                <w:sz w:val="20"/>
                <w:szCs w:val="20"/>
                <w:color w:val="auto"/>
              </w:rPr>
            </w:pPr>
            <w:r>
              <w:rPr>
                <w:rFonts w:ascii="Arial" w:cs="Arial" w:eastAsia="Arial" w:hAnsi="Arial"/>
                <w:sz w:val="13"/>
                <w:szCs w:val="13"/>
                <w:color w:val="auto"/>
              </w:rPr>
              <w:t>Commercial mortgage-backed securities</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1.6</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(1.6)</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1.3</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(0.2)</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6.8</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(2.5)</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3"/>
                <w:szCs w:val="13"/>
                <w:color w:val="auto"/>
              </w:rPr>
              <w:t>5.4</w:t>
            </w: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(1.5)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ind w:left="180"/>
              <w:spacing w:after="0" w:line="135" w:lineRule="exact"/>
              <w:rPr>
                <w:sz w:val="20"/>
                <w:szCs w:val="20"/>
                <w:color w:val="auto"/>
              </w:rPr>
            </w:pPr>
            <w:r>
              <w:rPr>
                <w:rFonts w:ascii="Arial" w:cs="Arial" w:eastAsia="Arial" w:hAnsi="Arial"/>
                <w:sz w:val="13"/>
                <w:szCs w:val="13"/>
                <w:color w:val="auto"/>
              </w:rPr>
              <w:t>Collateralized debt obligations</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37.8</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1.4</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46.4</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(24.0)</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jc w:val="right"/>
              <w:spacing w:after="0" w:line="135" w:lineRule="exact"/>
              <w:rPr>
                <w:sz w:val="20"/>
                <w:szCs w:val="20"/>
                <w:color w:val="auto"/>
              </w:rPr>
            </w:pPr>
            <w:r>
              <w:rPr>
                <w:rFonts w:ascii="Arial" w:cs="Arial" w:eastAsia="Arial" w:hAnsi="Arial"/>
                <w:sz w:val="13"/>
                <w:szCs w:val="13"/>
                <w:color w:val="auto"/>
              </w:rPr>
              <w:t>61.6</w:t>
            </w:r>
          </w:p>
        </w:tc>
        <w:tc>
          <w:tcPr>
            <w:tcW w:w="16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ind w:left="180"/>
              <w:spacing w:after="0" w:line="135" w:lineRule="exact"/>
              <w:rPr>
                <w:sz w:val="20"/>
                <w:szCs w:val="20"/>
                <w:color w:val="auto"/>
              </w:rPr>
            </w:pPr>
            <w:r>
              <w:rPr>
                <w:rFonts w:ascii="Arial" w:cs="Arial" w:eastAsia="Arial" w:hAnsi="Arial"/>
                <w:sz w:val="13"/>
                <w:szCs w:val="13"/>
                <w:color w:val="auto"/>
              </w:rPr>
              <w:t>Other debt obligations</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84.1</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1.1</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(9.8)</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(29.7)</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3"/>
                <w:szCs w:val="13"/>
                <w:color w:val="auto"/>
              </w:rPr>
              <w:t>45.7</w:t>
            </w: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20" w:type="dxa"/>
            <w:vAlign w:val="bottom"/>
            <w:gridSpan w:val="2"/>
            <w:vMerge w:val="restart"/>
            <w:shd w:val="clear" w:color="auto" w:fill="CCEEFF"/>
          </w:tcPr>
          <w:p>
            <w:pPr>
              <w:spacing w:after="0"/>
              <w:rPr>
                <w:sz w:val="20"/>
                <w:szCs w:val="20"/>
                <w:color w:val="auto"/>
              </w:rPr>
            </w:pPr>
            <w:r>
              <w:rPr>
                <w:rFonts w:ascii="Arial" w:cs="Arial" w:eastAsia="Arial" w:hAnsi="Arial"/>
                <w:sz w:val="13"/>
                <w:szCs w:val="13"/>
                <w:color w:val="auto"/>
              </w:rPr>
              <w:t>Total fixed maturities, available-for-sale</w:t>
            </w:r>
          </w:p>
        </w:tc>
        <w:tc>
          <w:tcPr>
            <w:tcW w:w="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vMerge w:val="restart"/>
            <w:shd w:val="clear" w:color="auto" w:fill="CCEEFF"/>
          </w:tcPr>
          <w:p>
            <w:pPr>
              <w:spacing w:after="0" w:line="20" w:lineRule="exact"/>
              <w:rPr>
                <w:sz w:val="1"/>
                <w:szCs w:val="1"/>
                <w:color w:val="auto"/>
              </w:rPr>
            </w:pPr>
          </w:p>
        </w:tc>
        <w:tc>
          <w:tcPr>
            <w:tcW w:w="120" w:type="dxa"/>
            <w:vAlign w:val="bottom"/>
            <w:tcBorders>
              <w:right w:val="single" w:sz="8" w:color="auto"/>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tcBorders>
              <w:right w:val="single" w:sz="8" w:color="CCEEFF"/>
            </w:tcBorders>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tcBorders>
              <w:right w:val="single" w:sz="8" w:color="CCEEFF"/>
            </w:tcBorders>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620" w:type="dxa"/>
            <w:vAlign w:val="bottom"/>
            <w:gridSpan w:val="2"/>
            <w:vMerge w:val="continue"/>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336.8</w:t>
            </w:r>
          </w:p>
        </w:tc>
        <w:tc>
          <w:tcPr>
            <w:tcW w:w="140" w:type="dxa"/>
            <w:vAlign w:val="bottom"/>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00"/>
              <w:spacing w:after="0" w:line="129" w:lineRule="exact"/>
              <w:rPr>
                <w:sz w:val="20"/>
                <w:szCs w:val="20"/>
                <w:color w:val="auto"/>
              </w:rPr>
            </w:pPr>
            <w:r>
              <w:rPr>
                <w:rFonts w:ascii="Arial" w:cs="Arial" w:eastAsia="Arial" w:hAnsi="Arial"/>
                <w:sz w:val="13"/>
                <w:szCs w:val="13"/>
                <w:color w:val="auto"/>
              </w:rPr>
              <w:t>(3.3)</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1.9</w:t>
            </w:r>
          </w:p>
        </w:tc>
        <w:tc>
          <w:tcPr>
            <w:tcW w:w="140" w:type="dxa"/>
            <w:vAlign w:val="bottom"/>
            <w:vMerge w:val="continue"/>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51.4</w:t>
            </w:r>
          </w:p>
        </w:tc>
        <w:tc>
          <w:tcPr>
            <w:tcW w:w="140" w:type="dxa"/>
            <w:vAlign w:val="bottom"/>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53.4</w:t>
            </w:r>
          </w:p>
        </w:tc>
        <w:tc>
          <w:tcPr>
            <w:tcW w:w="120" w:type="dxa"/>
            <w:vAlign w:val="bottom"/>
            <w:vMerge w:val="continue"/>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00"/>
              <w:spacing w:after="0" w:line="129" w:lineRule="exact"/>
              <w:rPr>
                <w:sz w:val="20"/>
                <w:szCs w:val="20"/>
                <w:color w:val="auto"/>
              </w:rPr>
            </w:pPr>
            <w:r>
              <w:rPr>
                <w:rFonts w:ascii="Arial" w:cs="Arial" w:eastAsia="Arial" w:hAnsi="Arial"/>
                <w:sz w:val="13"/>
                <w:szCs w:val="13"/>
                <w:color w:val="auto"/>
              </w:rPr>
              <w:t>(62.3)</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377.9</w:t>
            </w:r>
          </w:p>
        </w:tc>
        <w:tc>
          <w:tcPr>
            <w:tcW w:w="16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60"/>
              <w:spacing w:after="0" w:line="129" w:lineRule="exact"/>
              <w:rPr>
                <w:sz w:val="20"/>
                <w:szCs w:val="20"/>
                <w:color w:val="auto"/>
              </w:rPr>
            </w:pPr>
            <w:r>
              <w:rPr>
                <w:rFonts w:ascii="Arial" w:cs="Arial" w:eastAsia="Arial" w:hAnsi="Arial"/>
                <w:sz w:val="13"/>
                <w:szCs w:val="13"/>
                <w:color w:val="auto"/>
              </w:rPr>
              <w:t>(3.1)</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color w:val="auto"/>
              </w:rPr>
              <w:t>Fixed maturities, trading</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169.9</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jc w:val="right"/>
              <w:spacing w:after="0" w:line="135" w:lineRule="exact"/>
              <w:rPr>
                <w:sz w:val="20"/>
                <w:szCs w:val="20"/>
                <w:color w:val="auto"/>
              </w:rPr>
            </w:pPr>
            <w:r>
              <w:rPr>
                <w:rFonts w:ascii="Arial" w:cs="Arial" w:eastAsia="Arial" w:hAnsi="Arial"/>
                <w:sz w:val="13"/>
                <w:szCs w:val="13"/>
                <w:color w:val="auto"/>
              </w:rPr>
              <w:t>9.5</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(40.1)</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3"/>
                <w:szCs w:val="13"/>
                <w:color w:val="auto"/>
              </w:rPr>
              <w:t>139.3</w:t>
            </w: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0.8</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Equity securities, available-for-sale</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16.9</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(0.3)</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0.6</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0.2</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jc w:val="right"/>
              <w:spacing w:after="0" w:line="135" w:lineRule="exact"/>
              <w:rPr>
                <w:sz w:val="20"/>
                <w:szCs w:val="20"/>
                <w:color w:val="auto"/>
              </w:rPr>
            </w:pPr>
            <w:r>
              <w:rPr>
                <w:rFonts w:ascii="Arial" w:cs="Arial" w:eastAsia="Arial" w:hAnsi="Arial"/>
                <w:sz w:val="13"/>
                <w:szCs w:val="13"/>
                <w:color w:val="auto"/>
              </w:rPr>
              <w:t>17.4</w:t>
            </w:r>
          </w:p>
        </w:tc>
        <w:tc>
          <w:tcPr>
            <w:tcW w:w="16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(0.3)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color w:val="auto"/>
              </w:rPr>
              <w:t>Derivative assets</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74.2</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(26.4)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3"/>
                <w:szCs w:val="13"/>
                <w:color w:val="auto"/>
              </w:rPr>
              <w:t>9.9</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3"/>
                <w:szCs w:val="13"/>
                <w:color w:val="auto"/>
              </w:rPr>
              <w:t>57.7</w:t>
            </w: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(26.4)</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Other investments</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142.9</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6.6</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(25.2)</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jc w:val="right"/>
              <w:spacing w:after="0" w:line="135" w:lineRule="exact"/>
              <w:rPr>
                <w:sz w:val="20"/>
                <w:szCs w:val="20"/>
                <w:color w:val="auto"/>
              </w:rPr>
            </w:pPr>
            <w:r>
              <w:rPr>
                <w:rFonts w:ascii="Arial" w:cs="Arial" w:eastAsia="Arial" w:hAnsi="Arial"/>
                <w:sz w:val="13"/>
                <w:szCs w:val="13"/>
                <w:color w:val="auto"/>
              </w:rPr>
              <w:t>124.3</w:t>
            </w:r>
          </w:p>
        </w:tc>
        <w:tc>
          <w:tcPr>
            <w:tcW w:w="16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6.6</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color w:val="auto"/>
              </w:rPr>
              <w:t>Separate account assets (2)</w:t>
            </w:r>
          </w:p>
        </w:tc>
        <w:tc>
          <w:tcPr>
            <w:tcW w:w="60" w:type="dxa"/>
            <w:vAlign w:val="bottom"/>
          </w:tcPr>
          <w:p>
            <w:pPr>
              <w:spacing w:after="0"/>
              <w:rPr>
                <w:sz w:val="11"/>
                <w:szCs w:val="11"/>
                <w:color w:val="auto"/>
              </w:rPr>
            </w:pPr>
          </w:p>
        </w:tc>
        <w:tc>
          <w:tcPr>
            <w:tcW w:w="9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5,265.2</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jc w:val="right"/>
              <w:spacing w:after="0" w:line="135" w:lineRule="exact"/>
              <w:rPr>
                <w:sz w:val="20"/>
                <w:szCs w:val="20"/>
                <w:color w:val="auto"/>
              </w:rPr>
            </w:pPr>
            <w:r>
              <w:rPr>
                <w:rFonts w:ascii="Arial" w:cs="Arial" w:eastAsia="Arial" w:hAnsi="Arial"/>
                <w:sz w:val="13"/>
                <w:szCs w:val="13"/>
                <w:color w:val="auto"/>
              </w:rPr>
              <w:t>358.4</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(0.2)</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3"/>
                <w:szCs w:val="13"/>
                <w:color w:val="auto"/>
              </w:rPr>
              <w:t>161.3</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4.4</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(11.7)</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3"/>
                <w:szCs w:val="13"/>
                <w:color w:val="auto"/>
              </w:rPr>
              <w:t>5,777.4</w:t>
            </w: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359.9</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restart"/>
          </w:tcPr>
          <w:p>
            <w:pPr>
              <w:spacing w:after="0"/>
              <w:rPr>
                <w:sz w:val="11"/>
                <w:szCs w:val="11"/>
                <w:color w:val="auto"/>
              </w:rPr>
            </w:pPr>
          </w:p>
        </w:tc>
        <w:tc>
          <w:tcPr>
            <w:tcW w:w="1260" w:type="dxa"/>
            <w:vAlign w:val="bottom"/>
            <w:shd w:val="clear" w:color="auto" w:fill="CCEEFF"/>
          </w:tcPr>
          <w:p>
            <w:pPr>
              <w:spacing w:after="0"/>
              <w:rPr>
                <w:sz w:val="11"/>
                <w:szCs w:val="11"/>
                <w:color w:val="auto"/>
              </w:rPr>
            </w:pPr>
          </w:p>
        </w:tc>
        <w:tc>
          <w:tcPr>
            <w:tcW w:w="1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spacing w:after="0"/>
              <w:rPr>
                <w:sz w:val="11"/>
                <w:szCs w:val="11"/>
                <w:color w:val="auto"/>
              </w:rPr>
            </w:pPr>
          </w:p>
        </w:tc>
        <w:tc>
          <w:tcPr>
            <w:tcW w:w="16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b w:val="1"/>
                <w:bCs w:val="1"/>
                <w:color w:val="auto"/>
              </w:rPr>
              <w:t>Liabilities</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Investment-type insurance contracts</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(6.9)</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(109.9)</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22.7</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tcBorders>
              <w:right w:val="single" w:sz="8" w:color="CCEEFF"/>
            </w:tcBorders>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(94.1)</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(109.9)</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tcPr>
          <w:p>
            <w:pPr>
              <w:spacing w:after="0" w:line="135" w:lineRule="exact"/>
              <w:rPr>
                <w:sz w:val="20"/>
                <w:szCs w:val="20"/>
                <w:color w:val="auto"/>
              </w:rPr>
            </w:pPr>
            <w:r>
              <w:rPr>
                <w:rFonts w:ascii="Arial" w:cs="Arial" w:eastAsia="Arial" w:hAnsi="Arial"/>
                <w:sz w:val="13"/>
                <w:szCs w:val="13"/>
                <w:color w:val="auto"/>
              </w:rPr>
              <w:t>Derivative liabilities</w:t>
            </w:r>
          </w:p>
        </w:tc>
        <w:tc>
          <w:tcPr>
            <w:tcW w:w="60" w:type="dxa"/>
            <w:vAlign w:val="bottom"/>
          </w:tcPr>
          <w:p>
            <w:pPr>
              <w:spacing w:after="0"/>
              <w:rPr>
                <w:sz w:val="11"/>
                <w:szCs w:val="11"/>
                <w:color w:val="auto"/>
              </w:rPr>
            </w:pPr>
          </w:p>
        </w:tc>
        <w:tc>
          <w:tcPr>
            <w:tcW w:w="94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(39.6)</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jc w:val="right"/>
              <w:spacing w:after="0" w:line="135" w:lineRule="exact"/>
              <w:rPr>
                <w:sz w:val="20"/>
                <w:szCs w:val="20"/>
                <w:color w:val="auto"/>
              </w:rPr>
            </w:pPr>
            <w:r>
              <w:rPr>
                <w:rFonts w:ascii="Arial" w:cs="Arial" w:eastAsia="Arial" w:hAnsi="Arial"/>
                <w:sz w:val="13"/>
                <w:szCs w:val="13"/>
                <w:color w:val="auto"/>
              </w:rPr>
              <w:t>0.5</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0.7</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3"/>
                <w:szCs w:val="13"/>
                <w:color w:val="auto"/>
              </w:rPr>
              <w:t>0.6</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(37.8)</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(3.7)</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20" w:type="dxa"/>
            <w:vAlign w:val="bottom"/>
            <w:gridSpan w:val="2"/>
            <w:shd w:val="clear" w:color="auto" w:fill="CCEEFF"/>
          </w:tcPr>
          <w:p>
            <w:pPr>
              <w:spacing w:after="0" w:line="135" w:lineRule="exact"/>
              <w:rPr>
                <w:sz w:val="20"/>
                <w:szCs w:val="20"/>
                <w:color w:val="auto"/>
              </w:rPr>
            </w:pPr>
            <w:r>
              <w:rPr>
                <w:rFonts w:ascii="Arial" w:cs="Arial" w:eastAsia="Arial" w:hAnsi="Arial"/>
                <w:sz w:val="13"/>
                <w:szCs w:val="13"/>
                <w:color w:val="auto"/>
              </w:rPr>
              <w:t>Other liabilities (3)</w:t>
            </w:r>
          </w:p>
        </w:tc>
        <w:tc>
          <w:tcPr>
            <w:tcW w:w="6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(73.9)</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3.9</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9.0</w:t>
            </w: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2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tcBorders>
              <w:right w:val="single" w:sz="8" w:color="CCEEFF"/>
            </w:tcBorders>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(61.0)</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4.5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-3723640</wp:posOffset>
            </wp:positionV>
            <wp:extent cx="12700" cy="298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-3723640</wp:posOffset>
            </wp:positionV>
            <wp:extent cx="12700" cy="298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260" w:right="80" w:hanging="252"/>
        <w:spacing w:after="0" w:line="243" w:lineRule="auto"/>
        <w:tabs>
          <w:tab w:leader="none" w:pos="274" w:val="left"/>
        </w:tabs>
        <w:numPr>
          <w:ilvl w:val="0"/>
          <w:numId w:val="23"/>
        </w:numPr>
        <w:rPr>
          <w:rFonts w:ascii="Arial" w:cs="Arial" w:eastAsia="Arial" w:hAnsi="Arial"/>
          <w:sz w:val="12"/>
          <w:szCs w:val="12"/>
          <w:color w:val="auto"/>
        </w:rPr>
      </w:pPr>
      <w:r>
        <w:rPr>
          <w:rFonts w:ascii="Arial" w:cs="Arial" w:eastAsia="Arial" w:hAnsi="Arial"/>
          <w:sz w:val="12"/>
          <w:szCs w:val="12"/>
          <w:color w:val="auto"/>
        </w:rPr>
        <w:t>Both realized gains (losses) and mark-to-market unrealized gains (losses) are generally reported in net realized capital gains (losses) within the consolidated statements of operations. Realized and unrealized gains (losses) on certain fixed maturities, trading and certain derivatives used in relation to certain trading portfolios are reported in net investment income within the consolidated statements of operations.</w:t>
      </w:r>
    </w:p>
    <w:p>
      <w:pPr>
        <w:ind w:left="260" w:right="60" w:hanging="252"/>
        <w:spacing w:after="0" w:line="256" w:lineRule="auto"/>
        <w:tabs>
          <w:tab w:leader="none" w:pos="274" w:val="left"/>
        </w:tabs>
        <w:numPr>
          <w:ilvl w:val="0"/>
          <w:numId w:val="23"/>
        </w:numPr>
        <w:rPr>
          <w:rFonts w:ascii="Arial" w:cs="Arial" w:eastAsia="Arial" w:hAnsi="Arial"/>
          <w:sz w:val="11"/>
          <w:szCs w:val="11"/>
          <w:color w:val="auto"/>
        </w:rPr>
      </w:pPr>
      <w:r>
        <w:rPr>
          <w:rFonts w:ascii="Arial" w:cs="Arial" w:eastAsia="Arial" w:hAnsi="Arial"/>
          <w:sz w:val="11"/>
          <w:szCs w:val="11"/>
          <w:color w:val="auto"/>
        </w:rPr>
        <w:t>Gains and losses for separate account assets do not impact net income as the change in value of separate account assets is offset by a change in value of separate account liabilities. Foreign currency translation adjustments related to the Principal International segment separate account assets are recorded in AOCI and are offset by foreign currency translation adjustments of the corresponding separate account liabilities.</w:t>
      </w:r>
    </w:p>
    <w:p>
      <w:pPr>
        <w:ind w:left="280" w:hanging="272"/>
        <w:spacing w:after="0" w:line="216" w:lineRule="auto"/>
        <w:tabs>
          <w:tab w:leader="none" w:pos="280" w:val="left"/>
        </w:tabs>
        <w:numPr>
          <w:ilvl w:val="0"/>
          <w:numId w:val="23"/>
        </w:numPr>
        <w:rPr>
          <w:rFonts w:ascii="Arial" w:cs="Arial" w:eastAsia="Arial" w:hAnsi="Arial"/>
          <w:sz w:val="13"/>
          <w:szCs w:val="13"/>
          <w:color w:val="auto"/>
        </w:rPr>
      </w:pPr>
      <w:r>
        <w:rPr>
          <w:rFonts w:ascii="Arial" w:cs="Arial" w:eastAsia="Arial" w:hAnsi="Arial"/>
          <w:sz w:val="13"/>
          <w:szCs w:val="13"/>
          <w:color w:val="auto"/>
        </w:rPr>
        <w:t>Certain embedded derivatives reported in other liabilities are part of a cash flow hedge, with the effective portion of the unrealized gains (losses) recorded in AOCI.</w:t>
      </w:r>
    </w:p>
    <w:p>
      <w:pPr>
        <w:ind w:left="280" w:hanging="272"/>
        <w:spacing w:after="0"/>
        <w:tabs>
          <w:tab w:leader="none" w:pos="280" w:val="left"/>
        </w:tabs>
        <w:numPr>
          <w:ilvl w:val="0"/>
          <w:numId w:val="23"/>
        </w:numPr>
        <w:rPr>
          <w:rFonts w:ascii="Arial" w:cs="Arial" w:eastAsia="Arial" w:hAnsi="Arial"/>
          <w:sz w:val="13"/>
          <w:szCs w:val="13"/>
          <w:color w:val="auto"/>
        </w:rPr>
      </w:pPr>
      <w:r>
        <w:rPr>
          <w:rFonts w:ascii="Arial" w:cs="Arial" w:eastAsia="Arial" w:hAnsi="Arial"/>
          <w:sz w:val="13"/>
          <w:szCs w:val="13"/>
          <w:color w:val="auto"/>
        </w:rPr>
        <w:t>Gross purchases, sales, issuances and settlements were:</w:t>
      </w:r>
    </w:p>
    <w:p>
      <w:pPr>
        <w:spacing w:after="0" w:line="19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460" w:type="dxa"/>
            <w:vAlign w:val="bottom"/>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4140" w:type="dxa"/>
            <w:vAlign w:val="bottom"/>
            <w:tcBorders>
              <w:bottom w:val="single" w:sz="8" w:color="auto"/>
            </w:tcBorders>
            <w:gridSpan w:val="4"/>
          </w:tcPr>
          <w:p>
            <w:pPr>
              <w:jc w:val="right"/>
              <w:ind w:right="436"/>
              <w:spacing w:after="0"/>
              <w:rPr>
                <w:sz w:val="20"/>
                <w:szCs w:val="20"/>
                <w:color w:val="auto"/>
              </w:rPr>
            </w:pPr>
            <w:r>
              <w:rPr>
                <w:rFonts w:ascii="Arial" w:cs="Arial" w:eastAsia="Arial" w:hAnsi="Arial"/>
                <w:sz w:val="14"/>
                <w:szCs w:val="14"/>
                <w:b w:val="1"/>
                <w:bCs w:val="1"/>
                <w:color w:val="auto"/>
              </w:rPr>
              <w:t>For the three months ended September 30, 2015</w:t>
            </w:r>
          </w:p>
        </w:tc>
        <w:tc>
          <w:tcPr>
            <w:tcW w:w="22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46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20" w:type="dxa"/>
            <w:vAlign w:val="bottom"/>
          </w:tcPr>
          <w:p>
            <w:pPr>
              <w:jc w:val="center"/>
              <w:ind w:right="82"/>
              <w:spacing w:after="0" w:line="119" w:lineRule="exact"/>
              <w:rPr>
                <w:sz w:val="20"/>
                <w:szCs w:val="20"/>
                <w:color w:val="auto"/>
              </w:rPr>
            </w:pPr>
            <w:r>
              <w:rPr>
                <w:rFonts w:ascii="Arial" w:cs="Arial" w:eastAsia="Arial" w:hAnsi="Arial"/>
                <w:sz w:val="13"/>
                <w:szCs w:val="13"/>
                <w:b w:val="1"/>
                <w:bCs w:val="1"/>
                <w:color w:val="auto"/>
                <w:w w:val="96"/>
              </w:rPr>
              <w:t>Net purchases,</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Purchases</w:t>
            </w:r>
          </w:p>
        </w:tc>
        <w:tc>
          <w:tcPr>
            <w:tcW w:w="360" w:type="dxa"/>
            <w:vAlign w:val="bottom"/>
          </w:tcPr>
          <w:p>
            <w:pPr>
              <w:spacing w:after="0"/>
              <w:rPr>
                <w:sz w:val="12"/>
                <w:szCs w:val="12"/>
                <w:color w:val="auto"/>
              </w:rPr>
            </w:pPr>
          </w:p>
        </w:tc>
        <w:tc>
          <w:tcPr>
            <w:tcW w:w="980" w:type="dxa"/>
            <w:vAlign w:val="bottom"/>
            <w:vMerge w:val="restart"/>
          </w:tcPr>
          <w:p>
            <w:pPr>
              <w:jc w:val="right"/>
              <w:ind w:right="42"/>
              <w:spacing w:after="0"/>
              <w:rPr>
                <w:sz w:val="20"/>
                <w:szCs w:val="20"/>
                <w:color w:val="auto"/>
              </w:rPr>
            </w:pPr>
            <w:r>
              <w:rPr>
                <w:rFonts w:ascii="Arial" w:cs="Arial" w:eastAsia="Arial" w:hAnsi="Arial"/>
                <w:sz w:val="14"/>
                <w:szCs w:val="14"/>
                <w:b w:val="1"/>
                <w:bCs w:val="1"/>
                <w:color w:val="auto"/>
              </w:rPr>
              <w:t>Sales</w:t>
            </w:r>
          </w:p>
        </w:tc>
        <w:tc>
          <w:tcPr>
            <w:tcW w:w="700" w:type="dxa"/>
            <w:vAlign w:val="bottom"/>
          </w:tcPr>
          <w:p>
            <w:pPr>
              <w:spacing w:after="0"/>
              <w:rPr>
                <w:sz w:val="12"/>
                <w:szCs w:val="12"/>
                <w:color w:val="auto"/>
              </w:rPr>
            </w:pPr>
          </w:p>
        </w:tc>
        <w:tc>
          <w:tcPr>
            <w:tcW w:w="134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Issuances</w:t>
            </w:r>
          </w:p>
        </w:tc>
        <w:tc>
          <w:tcPr>
            <w:tcW w:w="1120" w:type="dxa"/>
            <w:vAlign w:val="bottom"/>
            <w:vMerge w:val="restart"/>
          </w:tcPr>
          <w:p>
            <w:pPr>
              <w:jc w:val="right"/>
              <w:ind w:right="256"/>
              <w:spacing w:after="0"/>
              <w:rPr>
                <w:sz w:val="20"/>
                <w:szCs w:val="20"/>
                <w:color w:val="auto"/>
              </w:rPr>
            </w:pPr>
            <w:r>
              <w:rPr>
                <w:rFonts w:ascii="Arial" w:cs="Arial" w:eastAsia="Arial" w:hAnsi="Arial"/>
                <w:sz w:val="14"/>
                <w:szCs w:val="14"/>
                <w:b w:val="1"/>
                <w:bCs w:val="1"/>
                <w:color w:val="auto"/>
                <w:w w:val="95"/>
              </w:rPr>
              <w:t>Settlements</w:t>
            </w:r>
          </w:p>
        </w:tc>
        <w:tc>
          <w:tcPr>
            <w:tcW w:w="220" w:type="dxa"/>
            <w:vAlign w:val="bottom"/>
          </w:tcPr>
          <w:p>
            <w:pPr>
              <w:spacing w:after="0"/>
              <w:rPr>
                <w:sz w:val="12"/>
                <w:szCs w:val="12"/>
                <w:color w:val="auto"/>
              </w:rPr>
            </w:pPr>
          </w:p>
        </w:tc>
        <w:tc>
          <w:tcPr>
            <w:tcW w:w="13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3"/>
              </w:rPr>
              <w:t>sales, issuances</w:t>
            </w:r>
          </w:p>
        </w:tc>
        <w:tc>
          <w:tcPr>
            <w:tcW w:w="0" w:type="dxa"/>
            <w:vAlign w:val="bottom"/>
          </w:tcPr>
          <w:p>
            <w:pPr>
              <w:spacing w:after="0"/>
              <w:rPr>
                <w:sz w:val="1"/>
                <w:szCs w:val="1"/>
                <w:color w:val="auto"/>
              </w:rPr>
            </w:pPr>
          </w:p>
        </w:tc>
      </w:tr>
      <w:tr>
        <w:trPr>
          <w:trHeight w:val="171"/>
        </w:trPr>
        <w:tc>
          <w:tcPr>
            <w:tcW w:w="4460" w:type="dxa"/>
            <w:vAlign w:val="bottom"/>
          </w:tcPr>
          <w:p>
            <w:pPr>
              <w:spacing w:after="0"/>
              <w:rPr>
                <w:sz w:val="14"/>
                <w:szCs w:val="14"/>
                <w:color w:val="auto"/>
              </w:rPr>
            </w:pPr>
          </w:p>
        </w:tc>
        <w:tc>
          <w:tcPr>
            <w:tcW w:w="92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700" w:type="dxa"/>
            <w:vAlign w:val="bottom"/>
          </w:tcPr>
          <w:p>
            <w:pPr>
              <w:spacing w:after="0"/>
              <w:rPr>
                <w:sz w:val="14"/>
                <w:szCs w:val="14"/>
                <w:color w:val="auto"/>
              </w:rPr>
            </w:pPr>
          </w:p>
        </w:tc>
        <w:tc>
          <w:tcPr>
            <w:tcW w:w="1340" w:type="dxa"/>
            <w:vAlign w:val="bottom"/>
            <w:vMerge w:val="continue"/>
          </w:tcPr>
          <w:p>
            <w:pPr>
              <w:spacing w:after="0"/>
              <w:rPr>
                <w:sz w:val="14"/>
                <w:szCs w:val="14"/>
                <w:color w:val="auto"/>
              </w:rPr>
            </w:pPr>
          </w:p>
        </w:tc>
        <w:tc>
          <w:tcPr>
            <w:tcW w:w="112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and settlements</w:t>
            </w:r>
          </w:p>
        </w:tc>
        <w:tc>
          <w:tcPr>
            <w:tcW w:w="0" w:type="dxa"/>
            <w:vAlign w:val="bottom"/>
          </w:tcPr>
          <w:p>
            <w:pPr>
              <w:spacing w:after="0"/>
              <w:rPr>
                <w:sz w:val="1"/>
                <w:szCs w:val="1"/>
                <w:color w:val="auto"/>
              </w:rPr>
            </w:pPr>
          </w:p>
        </w:tc>
      </w:tr>
      <w:tr>
        <w:trPr>
          <w:trHeight w:val="142"/>
        </w:trPr>
        <w:tc>
          <w:tcPr>
            <w:tcW w:w="4460" w:type="dxa"/>
            <w:vAlign w:val="bottom"/>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340" w:type="dxa"/>
            <w:vAlign w:val="bottom"/>
            <w:tcBorders>
              <w:top w:val="single" w:sz="8" w:color="auto"/>
            </w:tcBorders>
          </w:tcPr>
          <w:p>
            <w:pPr>
              <w:ind w:left="100"/>
              <w:spacing w:after="0" w:line="142" w:lineRule="exact"/>
              <w:rPr>
                <w:sz w:val="20"/>
                <w:szCs w:val="20"/>
                <w:color w:val="auto"/>
              </w:rPr>
            </w:pPr>
            <w:r>
              <w:rPr>
                <w:rFonts w:ascii="Arial" w:cs="Arial" w:eastAsia="Arial" w:hAnsi="Arial"/>
                <w:sz w:val="14"/>
                <w:szCs w:val="14"/>
                <w:b w:val="1"/>
                <w:bCs w:val="1"/>
                <w:color w:val="auto"/>
              </w:rPr>
              <w:t>(in millions)</w:t>
            </w:r>
          </w:p>
        </w:tc>
        <w:tc>
          <w:tcPr>
            <w:tcW w:w="11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4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9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9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Non-U.S. governments</w:t>
            </w:r>
          </w:p>
        </w:tc>
        <w:tc>
          <w:tcPr>
            <w:tcW w:w="920" w:type="dxa"/>
            <w:vAlign w:val="bottom"/>
            <w:shd w:val="clear" w:color="auto" w:fill="CCEEFF"/>
          </w:tcPr>
          <w:p>
            <w:pPr>
              <w:jc w:val="right"/>
              <w:ind w:right="739"/>
              <w:spacing w:after="0"/>
              <w:rPr>
                <w:sz w:val="20"/>
                <w:szCs w:val="20"/>
                <w:color w:val="auto"/>
              </w:rPr>
            </w:pPr>
            <w:r>
              <w:rPr>
                <w:rFonts w:ascii="Arial" w:cs="Arial" w:eastAsia="Arial" w:hAnsi="Arial"/>
                <w:sz w:val="18"/>
                <w:szCs w:val="18"/>
                <w:b w:val="1"/>
                <w:bCs w:val="1"/>
                <w:color w:val="auto"/>
                <w:w w:val="79"/>
              </w:rPr>
              <w:t>$</w:t>
            </w:r>
          </w:p>
        </w:tc>
        <w:tc>
          <w:tcPr>
            <w:tcW w:w="36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87"/>
              </w:rPr>
              <w:t>3.4</w:t>
            </w:r>
          </w:p>
        </w:tc>
        <w:tc>
          <w:tcPr>
            <w:tcW w:w="980" w:type="dxa"/>
            <w:vAlign w:val="bottom"/>
            <w:shd w:val="clear" w:color="auto" w:fill="CCEEFF"/>
          </w:tcPr>
          <w:p>
            <w:pPr>
              <w:jc w:val="right"/>
              <w:ind w:right="702"/>
              <w:spacing w:after="0"/>
              <w:rPr>
                <w:sz w:val="20"/>
                <w:szCs w:val="20"/>
                <w:color w:val="auto"/>
              </w:rPr>
            </w:pPr>
            <w:r>
              <w:rPr>
                <w:rFonts w:ascii="Arial" w:cs="Arial" w:eastAsia="Arial" w:hAnsi="Arial"/>
                <w:sz w:val="18"/>
                <w:szCs w:val="18"/>
                <w:b w:val="1"/>
                <w:bCs w:val="1"/>
                <w:color w:val="auto"/>
              </w:rPr>
              <w:t>$</w:t>
            </w:r>
          </w:p>
        </w:tc>
        <w:tc>
          <w:tcPr>
            <w:tcW w:w="700" w:type="dxa"/>
            <w:vAlign w:val="bottom"/>
            <w:shd w:val="clear" w:color="auto" w:fill="CCEEFF"/>
          </w:tcPr>
          <w:p>
            <w:pPr>
              <w:ind w:left="120"/>
              <w:spacing w:after="0"/>
              <w:rPr>
                <w:sz w:val="20"/>
                <w:szCs w:val="20"/>
                <w:color w:val="auto"/>
              </w:rPr>
            </w:pPr>
            <w:r>
              <w:rPr>
                <w:rFonts w:ascii="Arial" w:cs="Arial" w:eastAsia="Arial" w:hAnsi="Arial"/>
                <w:sz w:val="18"/>
                <w:szCs w:val="18"/>
                <w:b w:val="1"/>
                <w:bCs w:val="1"/>
                <w:color w:val="auto"/>
              </w:rPr>
              <w:t>—   $</w:t>
            </w:r>
          </w:p>
        </w:tc>
        <w:tc>
          <w:tcPr>
            <w:tcW w:w="1340" w:type="dxa"/>
            <w:vAlign w:val="bottom"/>
            <w:shd w:val="clear" w:color="auto" w:fill="CCEEFF"/>
          </w:tcPr>
          <w:p>
            <w:pPr>
              <w:ind w:left="800"/>
              <w:spacing w:after="0"/>
              <w:rPr>
                <w:sz w:val="20"/>
                <w:szCs w:val="20"/>
                <w:color w:val="auto"/>
              </w:rPr>
            </w:pPr>
            <w:r>
              <w:rPr>
                <w:rFonts w:ascii="Arial" w:cs="Arial" w:eastAsia="Arial" w:hAnsi="Arial"/>
                <w:sz w:val="18"/>
                <w:szCs w:val="18"/>
                <w:b w:val="1"/>
                <w:bCs w:val="1"/>
                <w:color w:val="auto"/>
              </w:rPr>
              <w:t>—  $</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(0.3)</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3.1</w:t>
            </w:r>
          </w:p>
        </w:tc>
        <w:tc>
          <w:tcPr>
            <w:tcW w:w="0" w:type="dxa"/>
            <w:vAlign w:val="bottom"/>
          </w:tcPr>
          <w:p>
            <w:pPr>
              <w:spacing w:after="0"/>
              <w:rPr>
                <w:sz w:val="1"/>
                <w:szCs w:val="1"/>
                <w:color w:val="auto"/>
              </w:rPr>
            </w:pPr>
          </w:p>
        </w:tc>
      </w:tr>
      <w:tr>
        <w:trPr>
          <w:trHeight w:val="216"/>
        </w:trPr>
        <w:tc>
          <w:tcPr>
            <w:tcW w:w="4460" w:type="dxa"/>
            <w:vAlign w:val="bottom"/>
          </w:tcPr>
          <w:p>
            <w:pPr>
              <w:ind w:left="200"/>
              <w:spacing w:after="0"/>
              <w:rPr>
                <w:sz w:val="20"/>
                <w:szCs w:val="20"/>
                <w:color w:val="auto"/>
              </w:rPr>
            </w:pPr>
            <w:r>
              <w:rPr>
                <w:rFonts w:ascii="Arial" w:cs="Arial" w:eastAsia="Arial" w:hAnsi="Arial"/>
                <w:sz w:val="18"/>
                <w:szCs w:val="18"/>
                <w:color w:val="auto"/>
              </w:rPr>
              <w:t>Corporate</w:t>
            </w:r>
          </w:p>
        </w:tc>
        <w:tc>
          <w:tcPr>
            <w:tcW w:w="920" w:type="dxa"/>
            <w:vAlign w:val="bottom"/>
          </w:tcPr>
          <w:p>
            <w:pPr>
              <w:spacing w:after="0"/>
              <w:rPr>
                <w:sz w:val="18"/>
                <w:szCs w:val="18"/>
                <w:color w:val="auto"/>
              </w:rPr>
            </w:pPr>
          </w:p>
        </w:tc>
        <w:tc>
          <w:tcPr>
            <w:tcW w:w="360" w:type="dxa"/>
            <w:vAlign w:val="bottom"/>
          </w:tcPr>
          <w:p>
            <w:pPr>
              <w:jc w:val="right"/>
              <w:ind w:right="30"/>
              <w:spacing w:after="0"/>
              <w:rPr>
                <w:sz w:val="20"/>
                <w:szCs w:val="20"/>
                <w:color w:val="auto"/>
              </w:rPr>
            </w:pPr>
            <w:r>
              <w:rPr>
                <w:rFonts w:ascii="Arial" w:cs="Arial" w:eastAsia="Arial" w:hAnsi="Arial"/>
                <w:sz w:val="18"/>
                <w:szCs w:val="18"/>
                <w:b w:val="1"/>
                <w:bCs w:val="1"/>
                <w:color w:val="auto"/>
                <w:w w:val="87"/>
              </w:rPr>
              <w:t>5.5</w:t>
            </w:r>
          </w:p>
        </w:tc>
        <w:tc>
          <w:tcPr>
            <w:tcW w:w="980" w:type="dxa"/>
            <w:vAlign w:val="bottom"/>
          </w:tcPr>
          <w:p>
            <w:pPr>
              <w:spacing w:after="0"/>
              <w:rPr>
                <w:sz w:val="18"/>
                <w:szCs w:val="18"/>
                <w:color w:val="auto"/>
              </w:rPr>
            </w:pPr>
          </w:p>
        </w:tc>
        <w:tc>
          <w:tcPr>
            <w:tcW w:w="700" w:type="dxa"/>
            <w:vAlign w:val="bottom"/>
          </w:tcPr>
          <w:p>
            <w:pPr>
              <w:ind w:left="120"/>
              <w:spacing w:after="0"/>
              <w:rPr>
                <w:sz w:val="20"/>
                <w:szCs w:val="20"/>
                <w:color w:val="auto"/>
              </w:rPr>
            </w:pPr>
            <w:r>
              <w:rPr>
                <w:rFonts w:ascii="Arial" w:cs="Arial" w:eastAsia="Arial" w:hAnsi="Arial"/>
                <w:sz w:val="18"/>
                <w:szCs w:val="18"/>
                <w:b w:val="1"/>
                <w:bCs w:val="1"/>
                <w:color w:val="auto"/>
              </w:rPr>
              <w:t>—</w:t>
            </w:r>
          </w:p>
        </w:tc>
        <w:tc>
          <w:tcPr>
            <w:tcW w:w="1340" w:type="dxa"/>
            <w:vAlign w:val="bottom"/>
          </w:tcPr>
          <w:p>
            <w:pPr>
              <w:ind w:left="800"/>
              <w:spacing w:after="0"/>
              <w:rPr>
                <w:sz w:val="20"/>
                <w:szCs w:val="20"/>
                <w:color w:val="auto"/>
              </w:rPr>
            </w:pPr>
            <w:r>
              <w:rPr>
                <w:rFonts w:ascii="Arial" w:cs="Arial" w:eastAsia="Arial" w:hAnsi="Arial"/>
                <w:sz w:val="18"/>
                <w:szCs w:val="18"/>
                <w:b w:val="1"/>
                <w:bCs w:val="1"/>
                <w:color w:val="auto"/>
              </w:rPr>
              <w:t>—</w:t>
            </w: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(2.1)</w:t>
            </w:r>
          </w:p>
        </w:tc>
        <w:tc>
          <w:tcPr>
            <w:tcW w:w="22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3.4</w:t>
            </w:r>
          </w:p>
        </w:tc>
        <w:tc>
          <w:tcPr>
            <w:tcW w:w="0" w:type="dxa"/>
            <w:vAlign w:val="bottom"/>
          </w:tcPr>
          <w:p>
            <w:pPr>
              <w:spacing w:after="0"/>
              <w:rPr>
                <w:sz w:val="1"/>
                <w:szCs w:val="1"/>
                <w:color w:val="auto"/>
              </w:rPr>
            </w:pPr>
          </w:p>
        </w:tc>
      </w:tr>
      <w:tr>
        <w:trPr>
          <w:trHeight w:val="138"/>
        </w:trPr>
        <w:tc>
          <w:tcPr>
            <w:tcW w:w="446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340" w:type="dxa"/>
            <w:vAlign w:val="bottom"/>
            <w:shd w:val="clear" w:color="auto" w:fill="CCEEFF"/>
          </w:tcPr>
          <w:p>
            <w:pPr>
              <w:spacing w:after="0"/>
              <w:rPr>
                <w:sz w:val="11"/>
                <w:szCs w:val="11"/>
                <w:color w:val="auto"/>
              </w:rPr>
            </w:pPr>
          </w:p>
        </w:tc>
        <w:tc>
          <w:tcPr>
            <w:tcW w:w="1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bl>
    <w:p>
      <w:pPr>
        <w:sectPr>
          <w:pgSz w:w="11900" w:h="16900" w:orient="portrait"/>
          <w:cols w:equalWidth="0" w:num="1">
            <w:col w:w="11460"/>
          </w:cols>
          <w:pgMar w:left="240" w:top="121" w:right="199" w:bottom="0" w:gutter="0" w:footer="0" w:header="0"/>
        </w:sectPr>
      </w:pPr>
    </w:p>
    <w:bookmarkStart w:id="42" w:name="page43"/>
    <w:bookmarkEnd w:id="42"/>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Commercial mortgage-backed securities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15.2</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80"/>
              <w:spacing w:after="0"/>
              <w:rPr>
                <w:sz w:val="20"/>
                <w:szCs w:val="20"/>
                <w:color w:val="auto"/>
              </w:rPr>
            </w:pPr>
            <w:r>
              <w:rPr>
                <w:rFonts w:ascii="Arial" w:cs="Arial" w:eastAsia="Arial" w:hAnsi="Arial"/>
                <w:sz w:val="18"/>
                <w:szCs w:val="18"/>
                <w:color w:val="auto"/>
              </w:rPr>
              <w:t>Collateralized debt obligations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14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(0.2)</w:t>
            </w:r>
          </w:p>
        </w:tc>
        <w:tc>
          <w:tcPr>
            <w:tcW w:w="120" w:type="dxa"/>
            <w:vAlign w:val="bottom"/>
          </w:tcPr>
          <w:p>
            <w:pPr>
              <w:spacing w:after="0"/>
              <w:rPr>
                <w:sz w:val="18"/>
                <w:szCs w:val="18"/>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Other debt obligations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6.4</w:t>
            </w: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(1.2)</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60" w:type="dxa"/>
            <w:vAlign w:val="bottom"/>
            <w:gridSpan w:val="2"/>
            <w:vMerge w:val="restart"/>
          </w:tcPr>
          <w:p>
            <w:pPr>
              <w:spacing w:after="0"/>
              <w:rPr>
                <w:sz w:val="20"/>
                <w:szCs w:val="20"/>
                <w:color w:val="auto"/>
              </w:rPr>
            </w:pPr>
            <w:r>
              <w:rPr>
                <w:rFonts w:ascii="Arial" w:cs="Arial" w:eastAsia="Arial" w:hAnsi="Arial"/>
                <w:sz w:val="18"/>
                <w:szCs w:val="18"/>
                <w:color w:val="auto"/>
              </w:rPr>
              <w:t>Total fixed maturities, available-for-sale</w:t>
            </w:r>
          </w:p>
        </w:tc>
        <w:tc>
          <w:tcPr>
            <w:tcW w:w="920" w:type="dxa"/>
            <w:vAlign w:val="bottom"/>
            <w:tcBorders>
              <w:right w:val="single" w:sz="8" w:color="auto"/>
            </w:tcBorders>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gridSpan w:val="2"/>
            <w:vMerge w:val="continue"/>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30.5</w:t>
            </w:r>
          </w:p>
        </w:tc>
        <w:tc>
          <w:tcPr>
            <w:tcW w:w="2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(3.8)</w:t>
            </w: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26.7</w:t>
            </w:r>
          </w:p>
        </w:tc>
        <w:tc>
          <w:tcPr>
            <w:tcW w:w="1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w:t>
            </w: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Separate account assets (5)</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69.6</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rPr>
              <w:t>(29.7)</w:t>
            </w:r>
          </w:p>
        </w:tc>
        <w:tc>
          <w:tcPr>
            <w:tcW w:w="200" w:type="dxa"/>
            <w:vAlign w:val="bottom"/>
          </w:tcPr>
          <w:p>
            <w:pPr>
              <w:spacing w:after="0"/>
              <w:rPr>
                <w:sz w:val="18"/>
                <w:szCs w:val="18"/>
                <w:color w:val="auto"/>
              </w:rPr>
            </w:pPr>
          </w:p>
        </w:tc>
        <w:tc>
          <w:tcPr>
            <w:tcW w:w="1140" w:type="dxa"/>
            <w:vAlign w:val="bottom"/>
            <w:gridSpan w:val="3"/>
          </w:tcPr>
          <w:p>
            <w:pPr>
              <w:jc w:val="right"/>
              <w:ind w:right="120"/>
              <w:spacing w:after="0"/>
              <w:rPr>
                <w:sz w:val="20"/>
                <w:szCs w:val="20"/>
                <w:color w:val="auto"/>
              </w:rPr>
            </w:pPr>
            <w:r>
              <w:rPr>
                <w:rFonts w:ascii="Arial" w:cs="Arial" w:eastAsia="Arial" w:hAnsi="Arial"/>
                <w:sz w:val="18"/>
                <w:szCs w:val="18"/>
                <w:b w:val="1"/>
                <w:bCs w:val="1"/>
                <w:color w:val="auto"/>
              </w:rPr>
              <w:t>(54.7)</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0.5</w:t>
            </w:r>
          </w:p>
        </w:tc>
        <w:tc>
          <w:tcPr>
            <w:tcW w:w="120" w:type="dxa"/>
            <w:vAlign w:val="bottom"/>
          </w:tcPr>
          <w:p>
            <w:pPr>
              <w:spacing w:after="0"/>
              <w:rPr>
                <w:sz w:val="18"/>
                <w:szCs w:val="18"/>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b w:val="1"/>
                <w:bCs w:val="1"/>
                <w:color w:val="auto"/>
              </w:rPr>
              <w:t>Liabilities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Investment-type insurance contracts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3.7</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1.1</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740" w:type="dxa"/>
            <w:vAlign w:val="bottom"/>
            <w:tcBorders>
              <w:bottom w:val="single" w:sz="8" w:color="auto"/>
            </w:tcBorders>
            <w:gridSpan w:val="11"/>
          </w:tcPr>
          <w:p>
            <w:pPr>
              <w:jc w:val="center"/>
              <w:ind w:right="360"/>
              <w:spacing w:after="0"/>
              <w:rPr>
                <w:sz w:val="20"/>
                <w:szCs w:val="20"/>
                <w:color w:val="auto"/>
              </w:rPr>
            </w:pPr>
            <w:r>
              <w:rPr>
                <w:rFonts w:ascii="Arial" w:cs="Arial" w:eastAsia="Arial" w:hAnsi="Arial"/>
                <w:sz w:val="14"/>
                <w:szCs w:val="14"/>
                <w:b w:val="1"/>
                <w:bCs w:val="1"/>
                <w:color w:val="auto"/>
                <w:w w:val="91"/>
              </w:rPr>
              <w:t>For the three months ended September 30, 2014</w:t>
            </w:r>
          </w:p>
        </w:tc>
        <w:tc>
          <w:tcPr>
            <w:tcW w:w="1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40" w:type="dxa"/>
            <w:vAlign w:val="bottom"/>
          </w:tcPr>
          <w:p>
            <w:pPr>
              <w:jc w:val="center"/>
              <w:ind w:right="54"/>
              <w:spacing w:after="0" w:line="119" w:lineRule="exact"/>
              <w:rPr>
                <w:sz w:val="20"/>
                <w:szCs w:val="20"/>
                <w:color w:val="auto"/>
              </w:rPr>
            </w:pPr>
            <w:r>
              <w:rPr>
                <w:rFonts w:ascii="Arial" w:cs="Arial" w:eastAsia="Arial" w:hAnsi="Arial"/>
                <w:sz w:val="13"/>
                <w:szCs w:val="13"/>
                <w:b w:val="1"/>
                <w:bCs w:val="1"/>
                <w:color w:val="auto"/>
                <w:w w:val="96"/>
              </w:rPr>
              <w:t>Net purchases,</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vMerge w:val="restart"/>
          </w:tcPr>
          <w:p>
            <w:pPr>
              <w:jc w:val="right"/>
              <w:ind w:right="480"/>
              <w:spacing w:after="0"/>
              <w:rPr>
                <w:sz w:val="20"/>
                <w:szCs w:val="20"/>
                <w:color w:val="auto"/>
              </w:rPr>
            </w:pPr>
            <w:r>
              <w:rPr>
                <w:rFonts w:ascii="Arial" w:cs="Arial" w:eastAsia="Arial" w:hAnsi="Arial"/>
                <w:sz w:val="14"/>
                <w:szCs w:val="14"/>
                <w:b w:val="1"/>
                <w:bCs w:val="1"/>
                <w:color w:val="auto"/>
                <w:w w:val="95"/>
              </w:rPr>
              <w:t>Purchases</w:t>
            </w:r>
          </w:p>
        </w:tc>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20" w:type="dxa"/>
            <w:vAlign w:val="bottom"/>
            <w:gridSpan w:val="3"/>
            <w:vMerge w:val="restart"/>
          </w:tcPr>
          <w:p>
            <w:pPr>
              <w:jc w:val="right"/>
              <w:ind w:right="660"/>
              <w:spacing w:after="0"/>
              <w:rPr>
                <w:sz w:val="20"/>
                <w:szCs w:val="20"/>
                <w:color w:val="auto"/>
              </w:rPr>
            </w:pPr>
            <w:r>
              <w:rPr>
                <w:rFonts w:ascii="Arial" w:cs="Arial" w:eastAsia="Arial" w:hAnsi="Arial"/>
                <w:sz w:val="14"/>
                <w:szCs w:val="14"/>
                <w:b w:val="1"/>
                <w:bCs w:val="1"/>
                <w:color w:val="auto"/>
                <w:w w:val="92"/>
              </w:rPr>
              <w:t>Sales</w:t>
            </w:r>
          </w:p>
        </w:tc>
        <w:tc>
          <w:tcPr>
            <w:tcW w:w="200" w:type="dxa"/>
            <w:vAlign w:val="bottom"/>
          </w:tcPr>
          <w:p>
            <w:pPr>
              <w:spacing w:after="0"/>
              <w:rPr>
                <w:sz w:val="12"/>
                <w:szCs w:val="12"/>
                <w:color w:val="auto"/>
              </w:rPr>
            </w:pPr>
          </w:p>
        </w:tc>
        <w:tc>
          <w:tcPr>
            <w:tcW w:w="1140" w:type="dxa"/>
            <w:vAlign w:val="bottom"/>
            <w:gridSpan w:val="3"/>
            <w:vMerge w:val="restart"/>
          </w:tcPr>
          <w:p>
            <w:pPr>
              <w:jc w:val="right"/>
              <w:ind w:right="500"/>
              <w:spacing w:after="0"/>
              <w:rPr>
                <w:sz w:val="20"/>
                <w:szCs w:val="20"/>
                <w:color w:val="auto"/>
              </w:rPr>
            </w:pPr>
            <w:r>
              <w:rPr>
                <w:rFonts w:ascii="Arial" w:cs="Arial" w:eastAsia="Arial" w:hAnsi="Arial"/>
                <w:sz w:val="14"/>
                <w:szCs w:val="14"/>
                <w:b w:val="1"/>
                <w:bCs w:val="1"/>
                <w:color w:val="auto"/>
                <w:w w:val="91"/>
              </w:rPr>
              <w:t>Issuances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w w:val="95"/>
              </w:rPr>
              <w:t>Settlements</w:t>
            </w:r>
          </w:p>
        </w:tc>
        <w:tc>
          <w:tcPr>
            <w:tcW w:w="120" w:type="dxa"/>
            <w:vAlign w:val="bottom"/>
          </w:tcPr>
          <w:p>
            <w:pPr>
              <w:spacing w:after="0"/>
              <w:rPr>
                <w:sz w:val="12"/>
                <w:szCs w:val="12"/>
                <w:color w:val="auto"/>
              </w:rPr>
            </w:pPr>
          </w:p>
        </w:tc>
        <w:tc>
          <w:tcPr>
            <w:tcW w:w="13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sales, issuances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2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and settlements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gridSpan w:val="3"/>
          </w:tcPr>
          <w:p>
            <w:pPr>
              <w:jc w:val="center"/>
              <w:ind w:right="20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Fixed maturities, available-for-sale:</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Non-U.S. governments</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79"/>
              </w:rPr>
              <w:t>$</w:t>
            </w: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ind w:right="90"/>
              <w:spacing w:after="0"/>
              <w:rPr>
                <w:sz w:val="20"/>
                <w:szCs w:val="20"/>
                <w:color w:val="auto"/>
              </w:rPr>
            </w:pPr>
            <w:r>
              <w:rPr>
                <w:rFonts w:ascii="Arial" w:cs="Arial" w:eastAsia="Arial" w:hAnsi="Arial"/>
                <w:sz w:val="10"/>
                <w:szCs w:val="10"/>
                <w:color w:val="auto"/>
                <w:w w:val="71"/>
              </w:rPr>
              <w:t>$</w:t>
            </w: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gridSpan w:val="2"/>
            <w:shd w:val="clear" w:color="auto" w:fill="CCEEFF"/>
          </w:tcPr>
          <w:p>
            <w:pPr>
              <w:jc w:val="right"/>
              <w:ind w:right="60"/>
              <w:spacing w:after="0"/>
              <w:rPr>
                <w:sz w:val="20"/>
                <w:szCs w:val="20"/>
                <w:color w:val="auto"/>
              </w:rPr>
            </w:pPr>
            <w:r>
              <w:rPr>
                <w:rFonts w:ascii="Arial" w:cs="Arial" w:eastAsia="Arial" w:hAnsi="Arial"/>
                <w:sz w:val="15"/>
                <w:szCs w:val="15"/>
                <w:color w:val="auto"/>
                <w:w w:val="71"/>
              </w:rPr>
              <w:t>$</w:t>
            </w: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(0.3)</w:t>
            </w:r>
          </w:p>
        </w:tc>
        <w:tc>
          <w:tcPr>
            <w:tcW w:w="120" w:type="dxa"/>
            <w:vAlign w:val="bottom"/>
            <w:shd w:val="clear" w:color="auto" w:fill="CCEEFF"/>
          </w:tcPr>
          <w:p>
            <w:pPr>
              <w:jc w:val="right"/>
              <w:ind w:right="10"/>
              <w:spacing w:after="0"/>
              <w:rPr>
                <w:sz w:val="20"/>
                <w:szCs w:val="20"/>
                <w:color w:val="auto"/>
              </w:rPr>
            </w:pPr>
            <w:r>
              <w:rPr>
                <w:rFonts w:ascii="Arial" w:cs="Arial" w:eastAsia="Arial" w:hAnsi="Arial"/>
                <w:sz w:val="10"/>
                <w:szCs w:val="10"/>
                <w:color w:val="auto"/>
                <w:w w:val="71"/>
              </w:rPr>
              <w:t>$</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60"/>
              <w:spacing w:after="0"/>
              <w:rPr>
                <w:sz w:val="20"/>
                <w:szCs w:val="20"/>
                <w:color w:val="auto"/>
              </w:rPr>
            </w:pPr>
            <w:r>
              <w:rPr>
                <w:rFonts w:ascii="Arial" w:cs="Arial" w:eastAsia="Arial" w:hAnsi="Arial"/>
                <w:sz w:val="18"/>
                <w:szCs w:val="18"/>
                <w:color w:val="auto"/>
              </w:rPr>
              <w:t>Corporate</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46.5</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(5.5)</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(0.3)</w:t>
            </w:r>
          </w:p>
        </w:tc>
        <w:tc>
          <w:tcPr>
            <w:tcW w:w="12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40.7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Commercial mortgage-backed securities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60"/>
              <w:spacing w:after="0"/>
              <w:rPr>
                <w:sz w:val="20"/>
                <w:szCs w:val="20"/>
                <w:color w:val="auto"/>
              </w:rPr>
            </w:pPr>
            <w:r>
              <w:rPr>
                <w:rFonts w:ascii="Arial" w:cs="Arial" w:eastAsia="Arial" w:hAnsi="Arial"/>
                <w:sz w:val="18"/>
                <w:szCs w:val="18"/>
                <w:color w:val="auto"/>
              </w:rPr>
              <w:t>Collateralized debt obligations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9.5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Other debt obligations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60" w:type="dxa"/>
            <w:vAlign w:val="bottom"/>
            <w:gridSpan w:val="2"/>
            <w:vMerge w:val="restart"/>
          </w:tcPr>
          <w:p>
            <w:pPr>
              <w:spacing w:after="0"/>
              <w:rPr>
                <w:sz w:val="20"/>
                <w:szCs w:val="20"/>
                <w:color w:val="auto"/>
              </w:rPr>
            </w:pPr>
            <w:r>
              <w:rPr>
                <w:rFonts w:ascii="Arial" w:cs="Arial" w:eastAsia="Arial" w:hAnsi="Arial"/>
                <w:sz w:val="18"/>
                <w:szCs w:val="18"/>
                <w:color w:val="auto"/>
              </w:rPr>
              <w:t>Total fixed maturities, available-for-sale</w:t>
            </w:r>
          </w:p>
        </w:tc>
        <w:tc>
          <w:tcPr>
            <w:tcW w:w="9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gridSpan w:val="2"/>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gridSpan w:val="2"/>
            <w:vMerge w:val="restart"/>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gridSpan w:val="2"/>
            <w:vMerge w:val="continue"/>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58.4</w:t>
            </w:r>
          </w:p>
        </w:tc>
        <w:tc>
          <w:tcPr>
            <w:tcW w:w="2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(5.5)</w:t>
            </w: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vMerge w:val="continue"/>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50.9</w:t>
            </w:r>
          </w:p>
        </w:tc>
        <w:tc>
          <w:tcPr>
            <w:tcW w:w="1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(14.0)</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Derivative assets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9.8</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9.8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(14.1)</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Separate account assets (5)</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228.5</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(127.3)</w:t>
            </w:r>
          </w:p>
        </w:tc>
        <w:tc>
          <w:tcPr>
            <w:tcW w:w="200" w:type="dxa"/>
            <w:vAlign w:val="bottom"/>
          </w:tcPr>
          <w:p>
            <w:pPr>
              <w:spacing w:after="0"/>
              <w:rPr>
                <w:sz w:val="18"/>
                <w:szCs w:val="18"/>
                <w:color w:val="auto"/>
              </w:rPr>
            </w:pPr>
          </w:p>
        </w:tc>
        <w:tc>
          <w:tcPr>
            <w:tcW w:w="1140" w:type="dxa"/>
            <w:vAlign w:val="bottom"/>
            <w:gridSpan w:val="3"/>
          </w:tcPr>
          <w:p>
            <w:pPr>
              <w:jc w:val="right"/>
              <w:ind w:right="160"/>
              <w:spacing w:after="0"/>
              <w:rPr>
                <w:sz w:val="20"/>
                <w:szCs w:val="20"/>
                <w:color w:val="auto"/>
              </w:rPr>
            </w:pPr>
            <w:r>
              <w:rPr>
                <w:rFonts w:ascii="Arial" w:cs="Arial" w:eastAsia="Arial" w:hAnsi="Arial"/>
                <w:sz w:val="18"/>
                <w:szCs w:val="18"/>
                <w:color w:val="auto"/>
              </w:rPr>
              <w:t>(196.5)</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174.3</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79.0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b w:val="1"/>
                <w:bCs w:val="1"/>
                <w:color w:val="auto"/>
              </w:rPr>
              <w:t>Liabilities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Investment-type insurance contracts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4.2</w:t>
            </w: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Derivative liabilities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(0.6)</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1.4</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9.0</w:t>
            </w:r>
          </w:p>
        </w:tc>
        <w:tc>
          <w:tcPr>
            <w:tcW w:w="2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gridSpan w:val="2"/>
          </w:tcPr>
          <w:p>
            <w:pPr>
              <w:jc w:val="center"/>
              <w:ind w:left="831"/>
              <w:spacing w:after="0"/>
              <w:rPr>
                <w:sz w:val="20"/>
                <w:szCs w:val="20"/>
                <w:color w:val="auto"/>
              </w:rPr>
            </w:pPr>
            <w:r>
              <w:rPr>
                <w:rFonts w:ascii="Arial" w:cs="Arial" w:eastAsia="Arial" w:hAnsi="Arial"/>
                <w:sz w:val="18"/>
                <w:szCs w:val="18"/>
                <w:color w:val="auto"/>
                <w:w w:val="89"/>
              </w:rPr>
              <w:t>59</w:t>
            </w: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230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2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358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23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740" w:type="dxa"/>
            <w:vAlign w:val="bottom"/>
            <w:gridSpan w:val="8"/>
          </w:tcPr>
          <w:p>
            <w:pPr>
              <w:jc w:val="center"/>
              <w:ind w:right="320"/>
              <w:spacing w:after="0"/>
              <w:rPr>
                <w:sz w:val="20"/>
                <w:szCs w:val="20"/>
                <w:color w:val="auto"/>
              </w:rPr>
            </w:pPr>
            <w:r>
              <w:rPr>
                <w:rFonts w:ascii="Arial" w:cs="Arial" w:eastAsia="Arial" w:hAnsi="Arial"/>
                <w:sz w:val="18"/>
                <w:szCs w:val="18"/>
                <w:b w:val="1"/>
                <w:bCs w:val="1"/>
                <w:color w:val="auto"/>
                <w:w w:val="93"/>
              </w:rPr>
              <w:t>Principal Financial Group, Inc.</w:t>
            </w: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3860" w:type="dxa"/>
            <w:vAlign w:val="bottom"/>
            <w:gridSpan w:val="10"/>
          </w:tcPr>
          <w:p>
            <w:pPr>
              <w:jc w:val="center"/>
              <w:ind w:left="31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580" w:type="dxa"/>
            <w:vAlign w:val="bottom"/>
            <w:gridSpan w:val="7"/>
          </w:tcPr>
          <w:p>
            <w:pPr>
              <w:jc w:val="center"/>
              <w:ind w:right="480"/>
              <w:spacing w:after="0"/>
              <w:rPr>
                <w:sz w:val="20"/>
                <w:szCs w:val="20"/>
                <w:color w:val="auto"/>
              </w:rPr>
            </w:pPr>
            <w:r>
              <w:rPr>
                <w:rFonts w:ascii="Arial" w:cs="Arial" w:eastAsia="Arial" w:hAnsi="Arial"/>
                <w:sz w:val="18"/>
                <w:szCs w:val="18"/>
                <w:b w:val="1"/>
                <w:bCs w:val="1"/>
                <w:color w:val="auto"/>
                <w:w w:val="89"/>
              </w:rPr>
              <w:t>September 30, 2015</w:t>
            </w: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gridSpan w:val="4"/>
          </w:tcPr>
          <w:p>
            <w:pPr>
              <w:jc w:val="center"/>
              <w:ind w:left="451"/>
              <w:spacing w:after="0"/>
              <w:rPr>
                <w:sz w:val="20"/>
                <w:szCs w:val="20"/>
                <w:color w:val="auto"/>
              </w:rPr>
            </w:pPr>
            <w:r>
              <w:rPr>
                <w:rFonts w:ascii="Arial" w:cs="Arial" w:eastAsia="Arial" w:hAnsi="Arial"/>
                <w:sz w:val="18"/>
                <w:szCs w:val="18"/>
                <w:b w:val="1"/>
                <w:bCs w:val="1"/>
                <w:color w:val="auto"/>
                <w:w w:val="93"/>
              </w:rPr>
              <w:t>(Unaudited)</w:t>
            </w: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740" w:type="dxa"/>
            <w:vAlign w:val="bottom"/>
            <w:tcBorders>
              <w:bottom w:val="single" w:sz="8" w:color="auto"/>
            </w:tcBorders>
            <w:gridSpan w:val="11"/>
          </w:tcPr>
          <w:p>
            <w:pPr>
              <w:jc w:val="center"/>
              <w:ind w:right="380"/>
              <w:spacing w:after="0"/>
              <w:rPr>
                <w:sz w:val="20"/>
                <w:szCs w:val="20"/>
                <w:color w:val="auto"/>
              </w:rPr>
            </w:pPr>
            <w:r>
              <w:rPr>
                <w:rFonts w:ascii="Arial" w:cs="Arial" w:eastAsia="Arial" w:hAnsi="Arial"/>
                <w:sz w:val="14"/>
                <w:szCs w:val="14"/>
                <w:b w:val="1"/>
                <w:bCs w:val="1"/>
                <w:color w:val="auto"/>
                <w:w w:val="91"/>
              </w:rPr>
              <w:t>For the nine months ended September 30, 2015</w:t>
            </w:r>
          </w:p>
        </w:tc>
        <w:tc>
          <w:tcPr>
            <w:tcW w:w="1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40" w:type="dxa"/>
            <w:vAlign w:val="bottom"/>
          </w:tcPr>
          <w:p>
            <w:pPr>
              <w:jc w:val="center"/>
              <w:ind w:right="54"/>
              <w:spacing w:after="0" w:line="119" w:lineRule="exact"/>
              <w:rPr>
                <w:sz w:val="20"/>
                <w:szCs w:val="20"/>
                <w:color w:val="auto"/>
              </w:rPr>
            </w:pPr>
            <w:r>
              <w:rPr>
                <w:rFonts w:ascii="Arial" w:cs="Arial" w:eastAsia="Arial" w:hAnsi="Arial"/>
                <w:sz w:val="13"/>
                <w:szCs w:val="13"/>
                <w:b w:val="1"/>
                <w:bCs w:val="1"/>
                <w:color w:val="auto"/>
                <w:w w:val="96"/>
              </w:rPr>
              <w:t>Net purchases,</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vMerge w:val="restart"/>
          </w:tcPr>
          <w:p>
            <w:pPr>
              <w:jc w:val="right"/>
              <w:ind w:right="480"/>
              <w:spacing w:after="0"/>
              <w:rPr>
                <w:sz w:val="20"/>
                <w:szCs w:val="20"/>
                <w:color w:val="auto"/>
              </w:rPr>
            </w:pPr>
            <w:r>
              <w:rPr>
                <w:rFonts w:ascii="Arial" w:cs="Arial" w:eastAsia="Arial" w:hAnsi="Arial"/>
                <w:sz w:val="14"/>
                <w:szCs w:val="14"/>
                <w:b w:val="1"/>
                <w:bCs w:val="1"/>
                <w:color w:val="auto"/>
                <w:w w:val="95"/>
              </w:rPr>
              <w:t>Purchases</w:t>
            </w:r>
          </w:p>
        </w:tc>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20" w:type="dxa"/>
            <w:vAlign w:val="bottom"/>
            <w:gridSpan w:val="3"/>
            <w:vMerge w:val="restart"/>
          </w:tcPr>
          <w:p>
            <w:pPr>
              <w:jc w:val="right"/>
              <w:ind w:right="660"/>
              <w:spacing w:after="0"/>
              <w:rPr>
                <w:sz w:val="20"/>
                <w:szCs w:val="20"/>
                <w:color w:val="auto"/>
              </w:rPr>
            </w:pPr>
            <w:r>
              <w:rPr>
                <w:rFonts w:ascii="Arial" w:cs="Arial" w:eastAsia="Arial" w:hAnsi="Arial"/>
                <w:sz w:val="14"/>
                <w:szCs w:val="14"/>
                <w:b w:val="1"/>
                <w:bCs w:val="1"/>
                <w:color w:val="auto"/>
                <w:w w:val="92"/>
              </w:rPr>
              <w:t>Sales</w:t>
            </w:r>
          </w:p>
        </w:tc>
        <w:tc>
          <w:tcPr>
            <w:tcW w:w="200" w:type="dxa"/>
            <w:vAlign w:val="bottom"/>
          </w:tcPr>
          <w:p>
            <w:pPr>
              <w:spacing w:after="0"/>
              <w:rPr>
                <w:sz w:val="12"/>
                <w:szCs w:val="12"/>
                <w:color w:val="auto"/>
              </w:rPr>
            </w:pPr>
          </w:p>
        </w:tc>
        <w:tc>
          <w:tcPr>
            <w:tcW w:w="1140" w:type="dxa"/>
            <w:vAlign w:val="bottom"/>
            <w:gridSpan w:val="3"/>
            <w:vMerge w:val="restart"/>
          </w:tcPr>
          <w:p>
            <w:pPr>
              <w:jc w:val="right"/>
              <w:ind w:right="500"/>
              <w:spacing w:after="0"/>
              <w:rPr>
                <w:sz w:val="20"/>
                <w:szCs w:val="20"/>
                <w:color w:val="auto"/>
              </w:rPr>
            </w:pPr>
            <w:r>
              <w:rPr>
                <w:rFonts w:ascii="Arial" w:cs="Arial" w:eastAsia="Arial" w:hAnsi="Arial"/>
                <w:sz w:val="14"/>
                <w:szCs w:val="14"/>
                <w:b w:val="1"/>
                <w:bCs w:val="1"/>
                <w:color w:val="auto"/>
                <w:w w:val="91"/>
              </w:rPr>
              <w:t>Issuances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w w:val="95"/>
              </w:rPr>
              <w:t>Settlements</w:t>
            </w:r>
          </w:p>
        </w:tc>
        <w:tc>
          <w:tcPr>
            <w:tcW w:w="120" w:type="dxa"/>
            <w:vAlign w:val="bottom"/>
          </w:tcPr>
          <w:p>
            <w:pPr>
              <w:spacing w:after="0"/>
              <w:rPr>
                <w:sz w:val="12"/>
                <w:szCs w:val="12"/>
                <w:color w:val="auto"/>
              </w:rPr>
            </w:pPr>
          </w:p>
        </w:tc>
        <w:tc>
          <w:tcPr>
            <w:tcW w:w="13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sales, issuances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2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and settlements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gridSpan w:val="3"/>
          </w:tcPr>
          <w:p>
            <w:pPr>
              <w:jc w:val="center"/>
              <w:ind w:right="20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Fixed maturities, available-for-sale:</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Non-U.S. governments</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10.9</w:t>
            </w:r>
          </w:p>
        </w:tc>
        <w:tc>
          <w:tcPr>
            <w:tcW w:w="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jc w:val="right"/>
              <w:ind w:right="90"/>
              <w:spacing w:after="0"/>
              <w:rPr>
                <w:sz w:val="20"/>
                <w:szCs w:val="20"/>
                <w:color w:val="auto"/>
              </w:rPr>
            </w:pPr>
            <w:r>
              <w:rPr>
                <w:rFonts w:ascii="Arial" w:cs="Arial" w:eastAsia="Arial" w:hAnsi="Arial"/>
                <w:sz w:val="10"/>
                <w:szCs w:val="10"/>
                <w:b w:val="1"/>
                <w:bCs w:val="1"/>
                <w:color w:val="auto"/>
                <w:w w:val="71"/>
              </w:rPr>
              <w:t>$</w:t>
            </w: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gridSpan w:val="2"/>
            <w:shd w:val="clear" w:color="auto" w:fill="CCEEFF"/>
          </w:tcPr>
          <w:p>
            <w:pPr>
              <w:jc w:val="right"/>
              <w:ind w:right="60"/>
              <w:spacing w:after="0"/>
              <w:rPr>
                <w:sz w:val="20"/>
                <w:szCs w:val="20"/>
                <w:color w:val="auto"/>
              </w:rPr>
            </w:pPr>
            <w:r>
              <w:rPr>
                <w:rFonts w:ascii="Arial" w:cs="Arial" w:eastAsia="Arial" w:hAnsi="Arial"/>
                <w:sz w:val="15"/>
                <w:szCs w:val="15"/>
                <w:b w:val="1"/>
                <w:bCs w:val="1"/>
                <w:color w:val="auto"/>
                <w:w w:val="71"/>
              </w:rPr>
              <w:t>$</w:t>
            </w: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(0.9)</w:t>
            </w:r>
          </w:p>
        </w:tc>
        <w:tc>
          <w:tcPr>
            <w:tcW w:w="120" w:type="dxa"/>
            <w:vAlign w:val="bottom"/>
            <w:shd w:val="clear" w:color="auto" w:fill="CCEEFF"/>
          </w:tcPr>
          <w:p>
            <w:pPr>
              <w:jc w:val="right"/>
              <w:ind w:right="10"/>
              <w:spacing w:after="0"/>
              <w:rPr>
                <w:sz w:val="20"/>
                <w:szCs w:val="20"/>
                <w:color w:val="auto"/>
              </w:rPr>
            </w:pPr>
            <w:r>
              <w:rPr>
                <w:rFonts w:ascii="Arial" w:cs="Arial" w:eastAsia="Arial" w:hAnsi="Arial"/>
                <w:sz w:val="10"/>
                <w:szCs w:val="10"/>
                <w:b w:val="1"/>
                <w:bCs w:val="1"/>
                <w:color w:val="auto"/>
                <w:w w:val="71"/>
              </w:rPr>
              <w:t>$</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60"/>
              <w:spacing w:after="0"/>
              <w:rPr>
                <w:sz w:val="20"/>
                <w:szCs w:val="20"/>
                <w:color w:val="auto"/>
              </w:rPr>
            </w:pPr>
            <w:r>
              <w:rPr>
                <w:rFonts w:ascii="Arial" w:cs="Arial" w:eastAsia="Arial" w:hAnsi="Arial"/>
                <w:sz w:val="18"/>
                <w:szCs w:val="18"/>
                <w:color w:val="auto"/>
              </w:rPr>
              <w:t>Corporate</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47.1</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rPr>
              <w:t>(5.7)</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(14.3)</w:t>
            </w:r>
          </w:p>
        </w:tc>
        <w:tc>
          <w:tcPr>
            <w:tcW w:w="12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27.1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Commercial mortgage-backed securities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15.2</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60"/>
              <w:spacing w:after="0"/>
              <w:rPr>
                <w:sz w:val="20"/>
                <w:szCs w:val="20"/>
                <w:color w:val="auto"/>
              </w:rPr>
            </w:pPr>
            <w:r>
              <w:rPr>
                <w:rFonts w:ascii="Arial" w:cs="Arial" w:eastAsia="Arial" w:hAnsi="Arial"/>
                <w:sz w:val="18"/>
                <w:szCs w:val="18"/>
                <w:color w:val="auto"/>
              </w:rPr>
              <w:t>Collateralized debt obligations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24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(1.0)</w:t>
            </w:r>
          </w:p>
        </w:tc>
        <w:tc>
          <w:tcPr>
            <w:tcW w:w="120" w:type="dxa"/>
            <w:vAlign w:val="bottom"/>
          </w:tcPr>
          <w:p>
            <w:pPr>
              <w:spacing w:after="0"/>
              <w:rPr>
                <w:sz w:val="18"/>
                <w:szCs w:val="18"/>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Other debt obligations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16.5</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(9.2)</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60" w:type="dxa"/>
            <w:vAlign w:val="bottom"/>
            <w:gridSpan w:val="2"/>
            <w:vMerge w:val="restart"/>
          </w:tcPr>
          <w:p>
            <w:pPr>
              <w:spacing w:after="0"/>
              <w:rPr>
                <w:sz w:val="20"/>
                <w:szCs w:val="20"/>
                <w:color w:val="auto"/>
              </w:rPr>
            </w:pPr>
            <w:r>
              <w:rPr>
                <w:rFonts w:ascii="Arial" w:cs="Arial" w:eastAsia="Arial" w:hAnsi="Arial"/>
                <w:sz w:val="18"/>
                <w:szCs w:val="18"/>
                <w:color w:val="auto"/>
              </w:rPr>
              <w:t>Total fixed maturities, available-for-sale</w:t>
            </w:r>
          </w:p>
        </w:tc>
        <w:tc>
          <w:tcPr>
            <w:tcW w:w="9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gridSpan w:val="2"/>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gridSpan w:val="2"/>
            <w:vMerge w:val="restart"/>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gridSpan w:val="2"/>
            <w:vMerge w:val="continue"/>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89.7</w:t>
            </w:r>
          </w:p>
        </w:tc>
        <w:tc>
          <w:tcPr>
            <w:tcW w:w="2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rPr>
              <w:t>(5.7)</w:t>
            </w:r>
          </w:p>
        </w:tc>
        <w:tc>
          <w:tcPr>
            <w:tcW w:w="2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vMerge w:val="continue"/>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(25.4)</w:t>
            </w: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58.6</w:t>
            </w:r>
          </w:p>
        </w:tc>
        <w:tc>
          <w:tcPr>
            <w:tcW w:w="1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(0.2)</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Derivative assets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2.5</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rPr>
              <w:t>(0.1)</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w:t>
            </w: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(67.7)</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(65.2)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Separate account assets (5)</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430.6</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rPr>
              <w:t>(189.1)</w:t>
            </w:r>
          </w:p>
        </w:tc>
        <w:tc>
          <w:tcPr>
            <w:tcW w:w="200" w:type="dxa"/>
            <w:vAlign w:val="bottom"/>
          </w:tcPr>
          <w:p>
            <w:pPr>
              <w:spacing w:after="0"/>
              <w:rPr>
                <w:sz w:val="18"/>
                <w:szCs w:val="18"/>
                <w:color w:val="auto"/>
              </w:rPr>
            </w:pPr>
          </w:p>
        </w:tc>
        <w:tc>
          <w:tcPr>
            <w:tcW w:w="114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rPr>
              <w:t>(200.5)</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4.4</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45.4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b w:val="1"/>
                <w:bCs w:val="1"/>
                <w:color w:val="auto"/>
              </w:rPr>
              <w:t>Liabilities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Investment-type insurance contracts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1.4</w:t>
            </w: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5.2</w:t>
            </w: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Derivative liabilities</w:t>
            </w:r>
          </w:p>
        </w:tc>
        <w:tc>
          <w:tcPr>
            <w:tcW w:w="9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0.2</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0.2</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6"/>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740" w:type="dxa"/>
            <w:vAlign w:val="bottom"/>
            <w:tcBorders>
              <w:bottom w:val="single" w:sz="8" w:color="auto"/>
            </w:tcBorders>
            <w:gridSpan w:val="11"/>
          </w:tcPr>
          <w:p>
            <w:pPr>
              <w:jc w:val="center"/>
              <w:ind w:right="380"/>
              <w:spacing w:after="0"/>
              <w:rPr>
                <w:sz w:val="20"/>
                <w:szCs w:val="20"/>
                <w:color w:val="auto"/>
              </w:rPr>
            </w:pPr>
            <w:r>
              <w:rPr>
                <w:rFonts w:ascii="Arial" w:cs="Arial" w:eastAsia="Arial" w:hAnsi="Arial"/>
                <w:sz w:val="14"/>
                <w:szCs w:val="14"/>
                <w:b w:val="1"/>
                <w:bCs w:val="1"/>
                <w:color w:val="auto"/>
                <w:w w:val="91"/>
              </w:rPr>
              <w:t>For the nine months ended September 30, 2014</w:t>
            </w:r>
          </w:p>
        </w:tc>
        <w:tc>
          <w:tcPr>
            <w:tcW w:w="1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40" w:type="dxa"/>
            <w:vAlign w:val="bottom"/>
          </w:tcPr>
          <w:p>
            <w:pPr>
              <w:jc w:val="center"/>
              <w:ind w:right="54"/>
              <w:spacing w:after="0" w:line="119" w:lineRule="exact"/>
              <w:rPr>
                <w:sz w:val="20"/>
                <w:szCs w:val="20"/>
                <w:color w:val="auto"/>
              </w:rPr>
            </w:pPr>
            <w:r>
              <w:rPr>
                <w:rFonts w:ascii="Arial" w:cs="Arial" w:eastAsia="Arial" w:hAnsi="Arial"/>
                <w:sz w:val="13"/>
                <w:szCs w:val="13"/>
                <w:b w:val="1"/>
                <w:bCs w:val="1"/>
                <w:color w:val="auto"/>
                <w:w w:val="96"/>
              </w:rPr>
              <w:t>Net purchases,</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vMerge w:val="restart"/>
          </w:tcPr>
          <w:p>
            <w:pPr>
              <w:jc w:val="right"/>
              <w:ind w:right="480"/>
              <w:spacing w:after="0"/>
              <w:rPr>
                <w:sz w:val="20"/>
                <w:szCs w:val="20"/>
                <w:color w:val="auto"/>
              </w:rPr>
            </w:pPr>
            <w:r>
              <w:rPr>
                <w:rFonts w:ascii="Arial" w:cs="Arial" w:eastAsia="Arial" w:hAnsi="Arial"/>
                <w:sz w:val="14"/>
                <w:szCs w:val="14"/>
                <w:b w:val="1"/>
                <w:bCs w:val="1"/>
                <w:color w:val="auto"/>
                <w:w w:val="95"/>
              </w:rPr>
              <w:t>Purchases</w:t>
            </w:r>
          </w:p>
        </w:tc>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20" w:type="dxa"/>
            <w:vAlign w:val="bottom"/>
            <w:gridSpan w:val="3"/>
            <w:vMerge w:val="restart"/>
          </w:tcPr>
          <w:p>
            <w:pPr>
              <w:jc w:val="right"/>
              <w:ind w:right="660"/>
              <w:spacing w:after="0"/>
              <w:rPr>
                <w:sz w:val="20"/>
                <w:szCs w:val="20"/>
                <w:color w:val="auto"/>
              </w:rPr>
            </w:pPr>
            <w:r>
              <w:rPr>
                <w:rFonts w:ascii="Arial" w:cs="Arial" w:eastAsia="Arial" w:hAnsi="Arial"/>
                <w:sz w:val="14"/>
                <w:szCs w:val="14"/>
                <w:b w:val="1"/>
                <w:bCs w:val="1"/>
                <w:color w:val="auto"/>
                <w:w w:val="92"/>
              </w:rPr>
              <w:t>Sales</w:t>
            </w:r>
          </w:p>
        </w:tc>
        <w:tc>
          <w:tcPr>
            <w:tcW w:w="200" w:type="dxa"/>
            <w:vAlign w:val="bottom"/>
          </w:tcPr>
          <w:p>
            <w:pPr>
              <w:spacing w:after="0"/>
              <w:rPr>
                <w:sz w:val="12"/>
                <w:szCs w:val="12"/>
                <w:color w:val="auto"/>
              </w:rPr>
            </w:pPr>
          </w:p>
        </w:tc>
        <w:tc>
          <w:tcPr>
            <w:tcW w:w="1140" w:type="dxa"/>
            <w:vAlign w:val="bottom"/>
            <w:gridSpan w:val="3"/>
            <w:vMerge w:val="restart"/>
          </w:tcPr>
          <w:p>
            <w:pPr>
              <w:jc w:val="right"/>
              <w:ind w:right="500"/>
              <w:spacing w:after="0"/>
              <w:rPr>
                <w:sz w:val="20"/>
                <w:szCs w:val="20"/>
                <w:color w:val="auto"/>
              </w:rPr>
            </w:pPr>
            <w:r>
              <w:rPr>
                <w:rFonts w:ascii="Arial" w:cs="Arial" w:eastAsia="Arial" w:hAnsi="Arial"/>
                <w:sz w:val="14"/>
                <w:szCs w:val="14"/>
                <w:b w:val="1"/>
                <w:bCs w:val="1"/>
                <w:color w:val="auto"/>
                <w:w w:val="91"/>
              </w:rPr>
              <w:t>Issuances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w w:val="95"/>
              </w:rPr>
              <w:t>Settlements</w:t>
            </w:r>
          </w:p>
        </w:tc>
        <w:tc>
          <w:tcPr>
            <w:tcW w:w="120" w:type="dxa"/>
            <w:vAlign w:val="bottom"/>
          </w:tcPr>
          <w:p>
            <w:pPr>
              <w:spacing w:after="0"/>
              <w:rPr>
                <w:sz w:val="12"/>
                <w:szCs w:val="12"/>
                <w:color w:val="auto"/>
              </w:rPr>
            </w:pPr>
          </w:p>
        </w:tc>
        <w:tc>
          <w:tcPr>
            <w:tcW w:w="13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sales, issuances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2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and settlements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gridSpan w:val="3"/>
          </w:tcPr>
          <w:p>
            <w:pPr>
              <w:jc w:val="center"/>
              <w:ind w:right="20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40" w:type="dxa"/>
            <w:vAlign w:val="bottom"/>
            <w:tcBorders>
              <w:left w:val="single" w:sz="8" w:color="CCEEFF"/>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Fixed maturities, available-for-sale:</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Non-U.S. governments</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79"/>
              </w:rPr>
              <w:t>$</w:t>
            </w:r>
          </w:p>
        </w:tc>
        <w:tc>
          <w:tcPr>
            <w:tcW w:w="1020" w:type="dxa"/>
            <w:vAlign w:val="bottom"/>
            <w:tcBorders>
              <w:right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(10.8)</w:t>
            </w:r>
          </w:p>
        </w:tc>
        <w:tc>
          <w:tcPr>
            <w:tcW w:w="200" w:type="dxa"/>
            <w:vAlign w:val="bottom"/>
            <w:shd w:val="clear" w:color="auto" w:fill="CCEEFF"/>
          </w:tcPr>
          <w:p>
            <w:pPr>
              <w:jc w:val="right"/>
              <w:ind w:right="90"/>
              <w:spacing w:after="0"/>
              <w:rPr>
                <w:sz w:val="20"/>
                <w:szCs w:val="20"/>
                <w:color w:val="auto"/>
              </w:rPr>
            </w:pPr>
            <w:r>
              <w:rPr>
                <w:rFonts w:ascii="Arial" w:cs="Arial" w:eastAsia="Arial" w:hAnsi="Arial"/>
                <w:sz w:val="10"/>
                <w:szCs w:val="10"/>
                <w:color w:val="auto"/>
                <w:w w:val="71"/>
              </w:rPr>
              <w:t>$</w:t>
            </w: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gridSpan w:val="2"/>
            <w:shd w:val="clear" w:color="auto" w:fill="CCEEFF"/>
          </w:tcPr>
          <w:p>
            <w:pPr>
              <w:jc w:val="right"/>
              <w:ind w:right="60"/>
              <w:spacing w:after="0"/>
              <w:rPr>
                <w:sz w:val="20"/>
                <w:szCs w:val="20"/>
                <w:color w:val="auto"/>
              </w:rPr>
            </w:pPr>
            <w:r>
              <w:rPr>
                <w:rFonts w:ascii="Arial" w:cs="Arial" w:eastAsia="Arial" w:hAnsi="Arial"/>
                <w:sz w:val="15"/>
                <w:szCs w:val="15"/>
                <w:color w:val="auto"/>
                <w:w w:val="71"/>
              </w:rPr>
              <w:t>$</w:t>
            </w: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(0.9)</w:t>
            </w:r>
          </w:p>
        </w:tc>
        <w:tc>
          <w:tcPr>
            <w:tcW w:w="120" w:type="dxa"/>
            <w:vAlign w:val="bottom"/>
            <w:shd w:val="clear" w:color="auto" w:fill="CCEEFF"/>
          </w:tcPr>
          <w:p>
            <w:pPr>
              <w:jc w:val="right"/>
              <w:ind w:right="10"/>
              <w:spacing w:after="0"/>
              <w:rPr>
                <w:sz w:val="20"/>
                <w:szCs w:val="20"/>
                <w:color w:val="auto"/>
              </w:rPr>
            </w:pPr>
            <w:r>
              <w:rPr>
                <w:rFonts w:ascii="Arial" w:cs="Arial" w:eastAsia="Arial" w:hAnsi="Arial"/>
                <w:sz w:val="10"/>
                <w:szCs w:val="10"/>
                <w:color w:val="auto"/>
                <w:w w:val="71"/>
              </w:rPr>
              <w:t>$</w:t>
            </w:r>
          </w:p>
        </w:tc>
        <w:tc>
          <w:tcPr>
            <w:tcW w:w="1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60"/>
              <w:spacing w:after="0"/>
              <w:rPr>
                <w:sz w:val="20"/>
                <w:szCs w:val="20"/>
                <w:color w:val="auto"/>
              </w:rPr>
            </w:pPr>
            <w:r>
              <w:rPr>
                <w:rFonts w:ascii="Arial" w:cs="Arial" w:eastAsia="Arial" w:hAnsi="Arial"/>
                <w:sz w:val="18"/>
                <w:szCs w:val="18"/>
                <w:color w:val="auto"/>
              </w:rPr>
              <w:t>States and political subdivisions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18"/>
                <w:szCs w:val="18"/>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Corporate</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64.5</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(39.2)</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(4.3)</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60"/>
              <w:spacing w:after="0"/>
              <w:rPr>
                <w:sz w:val="20"/>
                <w:szCs w:val="20"/>
                <w:color w:val="auto"/>
              </w:rPr>
            </w:pPr>
            <w:r>
              <w:rPr>
                <w:rFonts w:ascii="Arial" w:cs="Arial" w:eastAsia="Arial" w:hAnsi="Arial"/>
                <w:sz w:val="18"/>
                <w:szCs w:val="18"/>
                <w:color w:val="auto"/>
              </w:rPr>
              <w:t>Commercial mortgage-backed securities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18"/>
                <w:szCs w:val="18"/>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Collateralized debt obligations</w:t>
            </w: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61.3</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(14.9)</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160"/>
              <w:spacing w:after="0"/>
              <w:rPr>
                <w:sz w:val="20"/>
                <w:szCs w:val="20"/>
                <w:color w:val="auto"/>
              </w:rPr>
            </w:pPr>
            <w:r>
              <w:rPr>
                <w:rFonts w:ascii="Arial" w:cs="Arial" w:eastAsia="Arial" w:hAnsi="Arial"/>
                <w:sz w:val="18"/>
                <w:szCs w:val="18"/>
                <w:color w:val="auto"/>
              </w:rPr>
              <w:t>Other debt obligations</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18"/>
                <w:szCs w:val="18"/>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(9.8)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60" w:type="dxa"/>
            <w:vAlign w:val="bottom"/>
            <w:gridSpan w:val="2"/>
            <w:vMerge w:val="restart"/>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92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gridSpan w:val="2"/>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gridSpan w:val="2"/>
            <w:vMerge w:val="restart"/>
            <w:shd w:val="clear" w:color="auto" w:fill="CCEEFF"/>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40" w:type="dxa"/>
            <w:vAlign w:val="bottom"/>
            <w:tcBorders>
              <w:left w:val="single" w:sz="8" w:color="CCEEFF"/>
              <w:right w:val="single" w:sz="8" w:color="auto"/>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gridSpan w:val="2"/>
            <w:vMerge w:val="continue"/>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131.6</w:t>
            </w:r>
          </w:p>
        </w:tc>
        <w:tc>
          <w:tcPr>
            <w:tcW w:w="22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tcBorders>
              <w:right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(50.0)</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(30.2)</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51.4</w:t>
            </w:r>
          </w:p>
        </w:tc>
        <w:tc>
          <w:tcPr>
            <w:tcW w:w="1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Fixed maturities, trading</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1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(30.1)</w:t>
            </w:r>
          </w:p>
        </w:tc>
        <w:tc>
          <w:tcPr>
            <w:tcW w:w="120" w:type="dxa"/>
            <w:vAlign w:val="bottom"/>
          </w:tcPr>
          <w:p>
            <w:pPr>
              <w:spacing w:after="0"/>
              <w:rPr>
                <w:sz w:val="18"/>
                <w:szCs w:val="18"/>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(40.1)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4"/>
        </w:trPr>
        <w:tc>
          <w:tcPr>
            <w:tcW w:w="20" w:type="dxa"/>
            <w:vAlign w:val="bottom"/>
            <w:shd w:val="clear" w:color="auto" w:fill="CCEEFF"/>
          </w:tcPr>
          <w:p>
            <w:pPr>
              <w:spacing w:after="0"/>
              <w:rPr>
                <w:sz w:val="7"/>
                <w:szCs w:val="7"/>
                <w:color w:val="auto"/>
              </w:rPr>
            </w:pPr>
          </w:p>
        </w:tc>
        <w:tc>
          <w:tcPr>
            <w:tcW w:w="1260" w:type="dxa"/>
            <w:vAlign w:val="bottom"/>
            <w:shd w:val="clear" w:color="auto" w:fill="CCEEFF"/>
          </w:tcPr>
          <w:p>
            <w:pPr>
              <w:spacing w:after="0"/>
              <w:rPr>
                <w:sz w:val="7"/>
                <w:szCs w:val="7"/>
                <w:color w:val="auto"/>
              </w:rPr>
            </w:pPr>
          </w:p>
        </w:tc>
        <w:tc>
          <w:tcPr>
            <w:tcW w:w="2300" w:type="dxa"/>
            <w:vAlign w:val="bottom"/>
            <w:shd w:val="clear" w:color="auto" w:fill="CCEEFF"/>
          </w:tcPr>
          <w:p>
            <w:pPr>
              <w:spacing w:after="0"/>
              <w:rPr>
                <w:sz w:val="7"/>
                <w:szCs w:val="7"/>
                <w:color w:val="auto"/>
              </w:rPr>
            </w:pPr>
          </w:p>
        </w:tc>
        <w:tc>
          <w:tcPr>
            <w:tcW w:w="920" w:type="dxa"/>
            <w:vAlign w:val="bottom"/>
            <w:tcBorders>
              <w:right w:val="single" w:sz="8" w:color="CCEEFF"/>
            </w:tcBorders>
            <w:shd w:val="clear" w:color="auto" w:fill="CCEEFF"/>
          </w:tcPr>
          <w:p>
            <w:pPr>
              <w:spacing w:after="0"/>
              <w:rPr>
                <w:sz w:val="7"/>
                <w:szCs w:val="7"/>
                <w:color w:val="auto"/>
              </w:rPr>
            </w:pPr>
          </w:p>
        </w:tc>
        <w:tc>
          <w:tcPr>
            <w:tcW w:w="160" w:type="dxa"/>
            <w:vAlign w:val="bottom"/>
            <w:shd w:val="clear" w:color="auto" w:fill="CCEEFF"/>
          </w:tcPr>
          <w:p>
            <w:pPr>
              <w:spacing w:after="0"/>
              <w:rPr>
                <w:sz w:val="7"/>
                <w:szCs w:val="7"/>
                <w:color w:val="auto"/>
              </w:rPr>
            </w:pPr>
          </w:p>
        </w:tc>
        <w:tc>
          <w:tcPr>
            <w:tcW w:w="960" w:type="dxa"/>
            <w:vAlign w:val="bottom"/>
            <w:shd w:val="clear" w:color="auto" w:fill="CCEEFF"/>
          </w:tcPr>
          <w:p>
            <w:pPr>
              <w:spacing w:after="0"/>
              <w:rPr>
                <w:sz w:val="7"/>
                <w:szCs w:val="7"/>
                <w:color w:val="auto"/>
              </w:rPr>
            </w:pPr>
          </w:p>
        </w:tc>
        <w:tc>
          <w:tcPr>
            <w:tcW w:w="220" w:type="dxa"/>
            <w:vAlign w:val="bottom"/>
            <w:tcBorders>
              <w:right w:val="single" w:sz="8" w:color="CCEEFF"/>
            </w:tcBorders>
            <w:shd w:val="clear" w:color="auto" w:fill="CCEEFF"/>
          </w:tcPr>
          <w:p>
            <w:pPr>
              <w:spacing w:after="0"/>
              <w:rPr>
                <w:sz w:val="7"/>
                <w:szCs w:val="7"/>
                <w:color w:val="auto"/>
              </w:rPr>
            </w:pPr>
          </w:p>
        </w:tc>
        <w:tc>
          <w:tcPr>
            <w:tcW w:w="20" w:type="dxa"/>
            <w:vAlign w:val="bottom"/>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780" w:type="dxa"/>
            <w:vAlign w:val="bottom"/>
            <w:shd w:val="clear" w:color="auto" w:fill="CCEEFF"/>
          </w:tcPr>
          <w:p>
            <w:pPr>
              <w:spacing w:after="0"/>
              <w:rPr>
                <w:sz w:val="7"/>
                <w:szCs w:val="7"/>
                <w:color w:val="auto"/>
              </w:rPr>
            </w:pPr>
          </w:p>
        </w:tc>
        <w:tc>
          <w:tcPr>
            <w:tcW w:w="20" w:type="dxa"/>
            <w:vAlign w:val="bottom"/>
            <w:shd w:val="clear" w:color="auto" w:fill="CCEEFF"/>
          </w:tcPr>
          <w:p>
            <w:pPr>
              <w:spacing w:after="0"/>
              <w:rPr>
                <w:sz w:val="7"/>
                <w:szCs w:val="7"/>
                <w:color w:val="auto"/>
              </w:rPr>
            </w:pPr>
          </w:p>
        </w:tc>
        <w:tc>
          <w:tcPr>
            <w:tcW w:w="220" w:type="dxa"/>
            <w:vAlign w:val="bottom"/>
            <w:tcBorders>
              <w:right w:val="single" w:sz="8" w:color="CCEEFF"/>
            </w:tcBorders>
            <w:shd w:val="clear" w:color="auto" w:fill="CCEEFF"/>
          </w:tcPr>
          <w:p>
            <w:pPr>
              <w:spacing w:after="0"/>
              <w:rPr>
                <w:sz w:val="7"/>
                <w:szCs w:val="7"/>
                <w:color w:val="auto"/>
              </w:rPr>
            </w:pPr>
          </w:p>
        </w:tc>
        <w:tc>
          <w:tcPr>
            <w:tcW w:w="200" w:type="dxa"/>
            <w:vAlign w:val="bottom"/>
            <w:shd w:val="clear" w:color="auto" w:fill="CCEEFF"/>
          </w:tcPr>
          <w:p>
            <w:pPr>
              <w:spacing w:after="0"/>
              <w:rPr>
                <w:sz w:val="7"/>
                <w:szCs w:val="7"/>
                <w:color w:val="auto"/>
              </w:rPr>
            </w:pPr>
          </w:p>
        </w:tc>
        <w:tc>
          <w:tcPr>
            <w:tcW w:w="92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18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1000" w:type="dxa"/>
            <w:vAlign w:val="bottom"/>
            <w:shd w:val="clear" w:color="auto" w:fill="CCEEFF"/>
          </w:tcPr>
          <w:p>
            <w:pPr>
              <w:spacing w:after="0"/>
              <w:rPr>
                <w:sz w:val="7"/>
                <w:szCs w:val="7"/>
                <w:color w:val="auto"/>
              </w:rPr>
            </w:pPr>
          </w:p>
        </w:tc>
        <w:tc>
          <w:tcPr>
            <w:tcW w:w="240" w:type="dxa"/>
            <w:vAlign w:val="bottom"/>
            <w:tcBorders>
              <w:left w:val="single" w:sz="8" w:color="CCEEFF"/>
              <w:right w:val="single" w:sz="8" w:color="CCEEFF"/>
            </w:tcBorders>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2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-5963285</wp:posOffset>
            </wp:positionV>
            <wp:extent cx="12700" cy="298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-5963285</wp:posOffset>
            </wp:positionV>
            <wp:extent cx="12700" cy="298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900" w:orient="portrait"/>
          <w:cols w:equalWidth="0" w:num="1">
            <w:col w:w="11460"/>
          </w:cols>
          <w:pgMar w:left="240" w:top="140" w:right="199" w:bottom="0" w:gutter="0" w:footer="0" w:header="0"/>
        </w:sectPr>
      </w:pPr>
    </w:p>
    <w:bookmarkStart w:id="43" w:name="page44"/>
    <w:bookmarkEnd w:id="43"/>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Derivative assets</w:t>
            </w:r>
          </w:p>
        </w:tc>
        <w:tc>
          <w:tcPr>
            <w:tcW w:w="2180" w:type="dxa"/>
            <w:vAlign w:val="bottom"/>
            <w:shd w:val="clear" w:color="auto" w:fill="CCEEFF"/>
          </w:tcPr>
          <w:p>
            <w:pPr>
              <w:jc w:val="right"/>
              <w:ind w:right="390"/>
              <w:spacing w:after="0"/>
              <w:rPr>
                <w:sz w:val="20"/>
                <w:szCs w:val="20"/>
                <w:color w:val="auto"/>
              </w:rPr>
            </w:pPr>
            <w:r>
              <w:rPr>
                <w:rFonts w:ascii="Arial" w:cs="Arial" w:eastAsia="Arial" w:hAnsi="Arial"/>
                <w:sz w:val="18"/>
                <w:szCs w:val="18"/>
                <w:color w:val="auto"/>
              </w:rPr>
              <w:t>9.9</w:t>
            </w:r>
          </w:p>
        </w:tc>
        <w:tc>
          <w:tcPr>
            <w:tcW w:w="1360" w:type="dxa"/>
            <w:vAlign w:val="bottom"/>
            <w:shd w:val="clear" w:color="auto" w:fill="CCEEFF"/>
          </w:tcPr>
          <w:p>
            <w:pPr>
              <w:jc w:val="right"/>
              <w:ind w:right="37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1480" w:type="dxa"/>
            <w:vAlign w:val="bottom"/>
            <w:shd w:val="clear" w:color="auto" w:fill="CCEEFF"/>
          </w:tcPr>
          <w:p>
            <w:pPr>
              <w:jc w:val="right"/>
              <w:ind w:right="53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Other investments</w:t>
            </w:r>
          </w:p>
        </w:tc>
        <w:tc>
          <w:tcPr>
            <w:tcW w:w="2180" w:type="dxa"/>
            <w:vAlign w:val="bottom"/>
          </w:tcPr>
          <w:p>
            <w:pPr>
              <w:jc w:val="right"/>
              <w:ind w:right="390"/>
              <w:spacing w:after="0"/>
              <w:rPr>
                <w:sz w:val="20"/>
                <w:szCs w:val="20"/>
                <w:color w:val="auto"/>
              </w:rPr>
            </w:pPr>
            <w:r>
              <w:rPr>
                <w:rFonts w:ascii="Arial" w:cs="Arial" w:eastAsia="Arial" w:hAnsi="Arial"/>
                <w:sz w:val="18"/>
                <w:szCs w:val="18"/>
                <w:color w:val="auto"/>
              </w:rPr>
              <w:t>0.2</w:t>
            </w:r>
          </w:p>
        </w:tc>
        <w:tc>
          <w:tcPr>
            <w:tcW w:w="136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470"/>
              <w:spacing w:after="0"/>
              <w:rPr>
                <w:sz w:val="20"/>
                <w:szCs w:val="20"/>
                <w:color w:val="auto"/>
              </w:rPr>
            </w:pPr>
            <w:r>
              <w:rPr>
                <w:rFonts w:ascii="Arial" w:cs="Arial" w:eastAsia="Arial" w:hAnsi="Arial"/>
                <w:sz w:val="18"/>
                <w:szCs w:val="18"/>
                <w:color w:val="auto"/>
              </w:rPr>
              <w:t>(25.4)</w:t>
            </w:r>
          </w:p>
        </w:tc>
        <w:tc>
          <w:tcPr>
            <w:tcW w:w="1080" w:type="dxa"/>
            <w:vAlign w:val="bottom"/>
          </w:tcPr>
          <w:p>
            <w:pPr>
              <w:jc w:val="right"/>
              <w:spacing w:after="0"/>
              <w:rPr>
                <w:sz w:val="20"/>
                <w:szCs w:val="20"/>
                <w:color w:val="auto"/>
              </w:rPr>
            </w:pPr>
            <w:r>
              <w:rPr>
                <w:rFonts w:ascii="Arial" w:cs="Arial" w:eastAsia="Arial" w:hAnsi="Arial"/>
                <w:sz w:val="18"/>
                <w:szCs w:val="18"/>
                <w:color w:val="auto"/>
              </w:rPr>
              <w:t>(25.2)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assets (5)</w:t>
            </w:r>
          </w:p>
        </w:tc>
        <w:tc>
          <w:tcPr>
            <w:tcW w:w="2180" w:type="dxa"/>
            <w:vAlign w:val="bottom"/>
            <w:shd w:val="clear" w:color="auto" w:fill="CCEEFF"/>
          </w:tcPr>
          <w:p>
            <w:pPr>
              <w:jc w:val="right"/>
              <w:ind w:right="390"/>
              <w:spacing w:after="0"/>
              <w:rPr>
                <w:sz w:val="20"/>
                <w:szCs w:val="20"/>
                <w:color w:val="auto"/>
              </w:rPr>
            </w:pPr>
            <w:r>
              <w:rPr>
                <w:rFonts w:ascii="Arial" w:cs="Arial" w:eastAsia="Arial" w:hAnsi="Arial"/>
                <w:sz w:val="18"/>
                <w:szCs w:val="18"/>
                <w:color w:val="auto"/>
              </w:rPr>
              <w:t>467.2</w:t>
            </w:r>
          </w:p>
        </w:tc>
        <w:tc>
          <w:tcPr>
            <w:tcW w:w="136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(257.5)</w:t>
            </w:r>
          </w:p>
        </w:tc>
        <w:tc>
          <w:tcPr>
            <w:tcW w:w="140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(290.1)</w:t>
            </w:r>
          </w:p>
        </w:tc>
        <w:tc>
          <w:tcPr>
            <w:tcW w:w="1480" w:type="dxa"/>
            <w:vAlign w:val="bottom"/>
            <w:shd w:val="clear" w:color="auto" w:fill="CCEEFF"/>
          </w:tcPr>
          <w:p>
            <w:pPr>
              <w:jc w:val="right"/>
              <w:ind w:right="530"/>
              <w:spacing w:after="0"/>
              <w:rPr>
                <w:sz w:val="20"/>
                <w:szCs w:val="20"/>
                <w:color w:val="auto"/>
              </w:rPr>
            </w:pPr>
            <w:r>
              <w:rPr>
                <w:rFonts w:ascii="Arial" w:cs="Arial" w:eastAsia="Arial" w:hAnsi="Arial"/>
                <w:sz w:val="18"/>
                <w:szCs w:val="18"/>
                <w:color w:val="auto"/>
              </w:rPr>
              <w:t>241.7</w:t>
            </w:r>
          </w:p>
        </w:tc>
        <w:tc>
          <w:tcPr>
            <w:tcW w:w="1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161.3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0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21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Investment-type insurance contracts</w:t>
            </w:r>
          </w:p>
        </w:tc>
        <w:tc>
          <w:tcPr>
            <w:tcW w:w="2180" w:type="dxa"/>
            <w:vAlign w:val="bottom"/>
          </w:tcPr>
          <w:p>
            <w:pPr>
              <w:jc w:val="right"/>
              <w:ind w:right="39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410"/>
              <w:spacing w:after="0"/>
              <w:rPr>
                <w:sz w:val="20"/>
                <w:szCs w:val="20"/>
                <w:color w:val="auto"/>
              </w:rPr>
            </w:pPr>
            <w:r>
              <w:rPr>
                <w:rFonts w:ascii="Arial" w:cs="Arial" w:eastAsia="Arial" w:hAnsi="Arial"/>
                <w:sz w:val="18"/>
                <w:szCs w:val="18"/>
                <w:color w:val="auto"/>
              </w:rPr>
              <w:t>18.7</w:t>
            </w:r>
          </w:p>
        </w:tc>
        <w:tc>
          <w:tcPr>
            <w:tcW w:w="1480" w:type="dxa"/>
            <w:vAlign w:val="bottom"/>
          </w:tcPr>
          <w:p>
            <w:pPr>
              <w:jc w:val="right"/>
              <w:ind w:right="530"/>
              <w:spacing w:after="0"/>
              <w:rPr>
                <w:sz w:val="20"/>
                <w:szCs w:val="20"/>
                <w:color w:val="auto"/>
              </w:rPr>
            </w:pPr>
            <w:r>
              <w:rPr>
                <w:rFonts w:ascii="Arial" w:cs="Arial" w:eastAsia="Arial" w:hAnsi="Arial"/>
                <w:sz w:val="18"/>
                <w:szCs w:val="18"/>
                <w:color w:val="auto"/>
              </w:rPr>
              <w:t>4.0</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22.7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Derivative liabilities</w:t>
            </w:r>
          </w:p>
        </w:tc>
        <w:tc>
          <w:tcPr>
            <w:tcW w:w="218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rPr>
              <w:t>(0.8)</w:t>
            </w:r>
          </w:p>
        </w:tc>
        <w:tc>
          <w:tcPr>
            <w:tcW w:w="1360" w:type="dxa"/>
            <w:vAlign w:val="bottom"/>
            <w:shd w:val="clear" w:color="auto" w:fill="CCEEFF"/>
          </w:tcPr>
          <w:p>
            <w:pPr>
              <w:jc w:val="right"/>
              <w:ind w:right="370"/>
              <w:spacing w:after="0"/>
              <w:rPr>
                <w:sz w:val="20"/>
                <w:szCs w:val="20"/>
                <w:color w:val="auto"/>
              </w:rPr>
            </w:pPr>
            <w:r>
              <w:rPr>
                <w:rFonts w:ascii="Arial" w:cs="Arial" w:eastAsia="Arial" w:hAnsi="Arial"/>
                <w:sz w:val="18"/>
                <w:szCs w:val="18"/>
                <w:color w:val="auto"/>
              </w:rPr>
              <w:t>1.4</w:t>
            </w:r>
          </w:p>
        </w:tc>
        <w:tc>
          <w:tcPr>
            <w:tcW w:w="1400" w:type="dxa"/>
            <w:vAlign w:val="bottom"/>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1480" w:type="dxa"/>
            <w:vAlign w:val="bottom"/>
            <w:shd w:val="clear" w:color="auto" w:fill="CCEEFF"/>
          </w:tcPr>
          <w:p>
            <w:pPr>
              <w:jc w:val="right"/>
              <w:ind w:right="53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Other liabilities</w:t>
            </w:r>
          </w:p>
        </w:tc>
        <w:tc>
          <w:tcPr>
            <w:tcW w:w="2180" w:type="dxa"/>
            <w:vAlign w:val="bottom"/>
          </w:tcPr>
          <w:p>
            <w:pPr>
              <w:jc w:val="right"/>
              <w:ind w:right="39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370"/>
              <w:spacing w:after="0"/>
              <w:rPr>
                <w:sz w:val="20"/>
                <w:szCs w:val="20"/>
                <w:color w:val="auto"/>
              </w:rPr>
            </w:pPr>
            <w:r>
              <w:rPr>
                <w:rFonts w:ascii="Arial" w:cs="Arial" w:eastAsia="Arial" w:hAnsi="Arial"/>
                <w:sz w:val="18"/>
                <w:szCs w:val="18"/>
                <w:color w:val="auto"/>
              </w:rPr>
              <w:t>9.0</w:t>
            </w:r>
          </w:p>
        </w:tc>
        <w:tc>
          <w:tcPr>
            <w:tcW w:w="140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53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1826895"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7" w:lineRule="exact"/>
        <w:rPr>
          <w:sz w:val="20"/>
          <w:szCs w:val="20"/>
          <w:color w:val="auto"/>
        </w:rPr>
      </w:pPr>
    </w:p>
    <w:p>
      <w:pPr>
        <w:ind w:left="5620" w:right="1780" w:hanging="5612"/>
        <w:spacing w:after="0" w:line="528" w:lineRule="auto"/>
        <w:tabs>
          <w:tab w:leader="none" w:pos="336" w:val="left"/>
        </w:tabs>
        <w:numPr>
          <w:ilvl w:val="0"/>
          <w:numId w:val="24"/>
        </w:numPr>
        <w:rPr>
          <w:rFonts w:ascii="Arial" w:cs="Arial" w:eastAsia="Arial" w:hAnsi="Arial"/>
          <w:sz w:val="18"/>
          <w:szCs w:val="18"/>
          <w:color w:val="auto"/>
        </w:rPr>
      </w:pPr>
      <w:r>
        <w:rPr>
          <w:rFonts w:ascii="Arial" w:cs="Arial" w:eastAsia="Arial" w:hAnsi="Arial"/>
          <w:sz w:val="18"/>
          <w:szCs w:val="18"/>
          <w:color w:val="auto"/>
        </w:rPr>
        <w:t>Issuances and settlements include amounts related to mortgage encumbrances associated with real estate in our separate accounts. 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-90170</wp:posOffset>
            </wp:positionV>
            <wp:extent cx="7267575" cy="298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17"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Transfers of assets and liabilities measured at fair value on a recurring basis between fair value hierarchy levels are summarized below.</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940" w:type="dxa"/>
            <w:vAlign w:val="bottom"/>
            <w:tcBorders>
              <w:bottom w:val="single" w:sz="8" w:color="auto"/>
            </w:tcBorders>
            <w:gridSpan w:val="13"/>
          </w:tcPr>
          <w:p>
            <w:pPr>
              <w:jc w:val="center"/>
              <w:spacing w:after="0"/>
              <w:rPr>
                <w:sz w:val="20"/>
                <w:szCs w:val="20"/>
                <w:color w:val="auto"/>
              </w:rPr>
            </w:pPr>
            <w:r>
              <w:rPr>
                <w:rFonts w:ascii="Arial" w:cs="Arial" w:eastAsia="Arial" w:hAnsi="Arial"/>
                <w:sz w:val="14"/>
                <w:szCs w:val="14"/>
                <w:b w:val="1"/>
                <w:bCs w:val="1"/>
                <w:color w:val="auto"/>
                <w:w w:val="91"/>
              </w:rPr>
              <w:t>For the three months ended September 30, 2015</w:t>
            </w: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r>
      <w:tr>
        <w:trPr>
          <w:trHeight w:val="119"/>
        </w:trPr>
        <w:tc>
          <w:tcPr>
            <w:tcW w:w="3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gridSpan w:val="3"/>
          </w:tcPr>
          <w:p>
            <w:pPr>
              <w:jc w:val="center"/>
              <w:ind w:right="32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2"/>
          </w:tcPr>
          <w:p>
            <w:pPr>
              <w:jc w:val="center"/>
              <w:ind w:right="28"/>
              <w:spacing w:after="0" w:line="119" w:lineRule="exact"/>
              <w:rPr>
                <w:sz w:val="20"/>
                <w:szCs w:val="20"/>
                <w:color w:val="auto"/>
              </w:rPr>
            </w:pPr>
            <w:r>
              <w:rPr>
                <w:rFonts w:ascii="Arial" w:cs="Arial" w:eastAsia="Arial" w:hAnsi="Arial"/>
                <w:sz w:val="13"/>
                <w:szCs w:val="13"/>
                <w:b w:val="1"/>
                <w:bCs w:val="1"/>
                <w:color w:val="auto"/>
              </w:rPr>
              <w:t>Transfers out</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gridSpan w:val="3"/>
          </w:tcPr>
          <w:p>
            <w:pPr>
              <w:jc w:val="center"/>
              <w:ind w:right="18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gridSpan w:val="3"/>
          </w:tcPr>
          <w:p>
            <w:pPr>
              <w:jc w:val="center"/>
              <w:ind w:right="26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3"/>
          </w:tcPr>
          <w:p>
            <w:pPr>
              <w:jc w:val="center"/>
              <w:ind w:right="20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gridSpan w:val="2"/>
          </w:tcPr>
          <w:p>
            <w:pPr>
              <w:jc w:val="center"/>
              <w:ind w:right="10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r>
      <w:tr>
        <w:trPr>
          <w:trHeight w:val="149"/>
        </w:trPr>
        <w:tc>
          <w:tcPr>
            <w:tcW w:w="3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of Level 1 into</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center"/>
              <w:ind w:right="28"/>
              <w:spacing w:after="0" w:line="149" w:lineRule="exact"/>
              <w:rPr>
                <w:sz w:val="20"/>
                <w:szCs w:val="20"/>
                <w:color w:val="auto"/>
              </w:rPr>
            </w:pPr>
            <w:r>
              <w:rPr>
                <w:rFonts w:ascii="Arial" w:cs="Arial" w:eastAsia="Arial" w:hAnsi="Arial"/>
                <w:sz w:val="14"/>
                <w:szCs w:val="14"/>
                <w:b w:val="1"/>
                <w:bCs w:val="1"/>
                <w:color w:val="auto"/>
                <w:w w:val="93"/>
              </w:rPr>
              <w:t>of Level 1 into</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40" w:type="dxa"/>
            <w:vAlign w:val="bottom"/>
          </w:tcPr>
          <w:p>
            <w:pPr>
              <w:spacing w:after="0"/>
              <w:rPr>
                <w:sz w:val="12"/>
                <w:szCs w:val="12"/>
                <w:color w:val="auto"/>
              </w:rPr>
            </w:pPr>
          </w:p>
        </w:tc>
      </w:tr>
      <w:tr>
        <w:trPr>
          <w:trHeight w:val="171"/>
        </w:trPr>
        <w:tc>
          <w:tcPr>
            <w:tcW w:w="3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96"/>
              </w:rPr>
              <w:t>Level 2</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2"/>
          </w:tcPr>
          <w:p>
            <w:pPr>
              <w:jc w:val="center"/>
              <w:ind w:right="28"/>
              <w:spacing w:after="0"/>
              <w:rPr>
                <w:sz w:val="20"/>
                <w:szCs w:val="20"/>
                <w:color w:val="auto"/>
              </w:rPr>
            </w:pPr>
            <w:r>
              <w:rPr>
                <w:rFonts w:ascii="Arial" w:cs="Arial" w:eastAsia="Arial" w:hAnsi="Arial"/>
                <w:sz w:val="14"/>
                <w:szCs w:val="14"/>
                <w:b w:val="1"/>
                <w:bCs w:val="1"/>
                <w:color w:val="auto"/>
                <w:w w:val="92"/>
              </w:rPr>
              <w:t>Level 3</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92"/>
              </w:rPr>
              <w:t>Level 1</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2"/>
              </w:rPr>
              <w:t>Level 3</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2"/>
              </w:rPr>
              <w:t>Level 1</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2"/>
              </w:rPr>
              <w:t>Level 2</w:t>
            </w:r>
          </w:p>
        </w:tc>
        <w:tc>
          <w:tcPr>
            <w:tcW w:w="40" w:type="dxa"/>
            <w:vAlign w:val="bottom"/>
          </w:tcPr>
          <w:p>
            <w:pPr>
              <w:spacing w:after="0"/>
              <w:rPr>
                <w:sz w:val="14"/>
                <w:szCs w:val="14"/>
                <w:color w:val="auto"/>
              </w:rPr>
            </w:pPr>
          </w:p>
        </w:tc>
      </w:tr>
      <w:tr>
        <w:trPr>
          <w:trHeight w:val="142"/>
        </w:trPr>
        <w:tc>
          <w:tcPr>
            <w:tcW w:w="33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560" w:type="dxa"/>
            <w:vAlign w:val="bottom"/>
            <w:tcBorders>
              <w:top w:val="single" w:sz="8" w:color="auto"/>
            </w:tcBorders>
            <w:gridSpan w:val="9"/>
          </w:tcPr>
          <w:p>
            <w:pPr>
              <w:jc w:val="center"/>
              <w:ind w:right="34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Corporate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60" w:type="dxa"/>
            <w:vAlign w:val="bottom"/>
            <w:gridSpan w:val="2"/>
            <w:shd w:val="clear" w:color="auto" w:fill="CCEEFF"/>
          </w:tcPr>
          <w:p>
            <w:pPr>
              <w:ind w:left="880"/>
              <w:spacing w:after="0"/>
              <w:rPr>
                <w:sz w:val="20"/>
                <w:szCs w:val="20"/>
                <w:color w:val="auto"/>
              </w:rPr>
            </w:pPr>
            <w:r>
              <w:rPr>
                <w:rFonts w:ascii="Arial" w:cs="Arial" w:eastAsia="Arial" w:hAnsi="Arial"/>
                <w:sz w:val="18"/>
                <w:szCs w:val="18"/>
                <w:b w:val="1"/>
                <w:bCs w:val="1"/>
                <w:color w:val="auto"/>
                <w:w w:val="88"/>
              </w:rPr>
              <w:t>—</w:t>
            </w: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15.0</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40" w:type="dxa"/>
            <w:vAlign w:val="bottom"/>
            <w:gridSpan w:val="3"/>
            <w:shd w:val="clear" w:color="auto" w:fill="CCEEFF"/>
          </w:tcPr>
          <w:p>
            <w:pPr>
              <w:ind w:left="86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6.1</w:t>
            </w:r>
          </w:p>
        </w:tc>
        <w:tc>
          <w:tcPr>
            <w:tcW w:w="40" w:type="dxa"/>
            <w:vAlign w:val="bottom"/>
          </w:tcPr>
          <w:p>
            <w:pPr>
              <w:spacing w:after="0"/>
              <w:rPr>
                <w:sz w:val="18"/>
                <w:szCs w:val="18"/>
                <w:color w:val="auto"/>
              </w:rPr>
            </w:pPr>
          </w:p>
        </w:tc>
      </w:tr>
      <w:tr>
        <w:trPr>
          <w:trHeight w:val="216"/>
        </w:trPr>
        <w:tc>
          <w:tcPr>
            <w:tcW w:w="3340" w:type="dxa"/>
            <w:vAlign w:val="bottom"/>
          </w:tcPr>
          <w:p>
            <w:pPr>
              <w:ind w:left="200"/>
              <w:spacing w:after="0"/>
              <w:rPr>
                <w:sz w:val="20"/>
                <w:szCs w:val="20"/>
                <w:color w:val="auto"/>
              </w:rPr>
            </w:pPr>
            <w:r>
              <w:rPr>
                <w:rFonts w:ascii="Arial" w:cs="Arial" w:eastAsia="Arial" w:hAnsi="Arial"/>
                <w:sz w:val="18"/>
                <w:szCs w:val="18"/>
                <w:color w:val="auto"/>
              </w:rPr>
              <w:t>Other debt obligations</w:t>
            </w:r>
          </w:p>
        </w:tc>
        <w:tc>
          <w:tcPr>
            <w:tcW w:w="100" w:type="dxa"/>
            <w:vAlign w:val="bottom"/>
          </w:tcPr>
          <w:p>
            <w:pPr>
              <w:spacing w:after="0"/>
              <w:rPr>
                <w:sz w:val="18"/>
                <w:szCs w:val="18"/>
                <w:color w:val="auto"/>
              </w:rPr>
            </w:pPr>
          </w:p>
        </w:tc>
        <w:tc>
          <w:tcPr>
            <w:tcW w:w="1260" w:type="dxa"/>
            <w:vAlign w:val="bottom"/>
            <w:gridSpan w:val="3"/>
          </w:tcPr>
          <w:p>
            <w:pPr>
              <w:jc w:val="right"/>
              <w:ind w:right="20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ind w:left="880"/>
              <w:spacing w:after="0"/>
              <w:rPr>
                <w:sz w:val="20"/>
                <w:szCs w:val="20"/>
                <w:color w:val="auto"/>
              </w:rPr>
            </w:pPr>
            <w:r>
              <w:rPr>
                <w:rFonts w:ascii="Arial" w:cs="Arial" w:eastAsia="Arial" w:hAnsi="Arial"/>
                <w:sz w:val="18"/>
                <w:szCs w:val="18"/>
                <w:b w:val="1"/>
                <w:bCs w:val="1"/>
                <w:color w:val="auto"/>
                <w:w w:val="88"/>
              </w:rPr>
              <w:t>—</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ind w:left="86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rPr>
              <w:t>34.0</w:t>
            </w:r>
          </w:p>
        </w:tc>
        <w:tc>
          <w:tcPr>
            <w:tcW w:w="40" w:type="dxa"/>
            <w:vAlign w:val="bottom"/>
          </w:tcPr>
          <w:p>
            <w:pPr>
              <w:spacing w:after="0"/>
              <w:rPr>
                <w:sz w:val="18"/>
                <w:szCs w:val="18"/>
                <w:color w:val="auto"/>
              </w:rPr>
            </w:pPr>
          </w:p>
        </w:tc>
      </w:tr>
      <w:tr>
        <w:trPr>
          <w:trHeight w:val="210"/>
        </w:trPr>
        <w:tc>
          <w:tcPr>
            <w:tcW w:w="33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10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gridSpan w:val="2"/>
            <w:shd w:val="clear" w:color="auto" w:fill="CCEEFF"/>
          </w:tcPr>
          <w:p>
            <w:pPr>
              <w:ind w:left="880"/>
              <w:spacing w:after="0"/>
              <w:rPr>
                <w:sz w:val="20"/>
                <w:szCs w:val="20"/>
                <w:color w:val="auto"/>
              </w:rPr>
            </w:pPr>
            <w:r>
              <w:rPr>
                <w:rFonts w:ascii="Arial" w:cs="Arial" w:eastAsia="Arial" w:hAnsi="Arial"/>
                <w:sz w:val="18"/>
                <w:szCs w:val="18"/>
                <w:b w:val="1"/>
                <w:bCs w:val="1"/>
                <w:color w:val="auto"/>
                <w:w w:val="88"/>
              </w:rPr>
              <w:t>—</w:t>
            </w:r>
          </w:p>
        </w:tc>
        <w:tc>
          <w:tcPr>
            <w:tcW w:w="1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15.0</w:t>
            </w:r>
          </w:p>
        </w:tc>
        <w:tc>
          <w:tcPr>
            <w:tcW w:w="1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gridSpan w:val="2"/>
            <w:shd w:val="clear" w:color="auto" w:fill="CCEEFF"/>
          </w:tcPr>
          <w:p>
            <w:pPr>
              <w:ind w:left="860"/>
              <w:spacing w:after="0"/>
              <w:rPr>
                <w:sz w:val="20"/>
                <w:szCs w:val="20"/>
                <w:color w:val="auto"/>
              </w:rPr>
            </w:pPr>
            <w:r>
              <w:rPr>
                <w:rFonts w:ascii="Arial" w:cs="Arial" w:eastAsia="Arial" w:hAnsi="Arial"/>
                <w:sz w:val="18"/>
                <w:szCs w:val="18"/>
                <w:b w:val="1"/>
                <w:bCs w:val="1"/>
                <w:color w:val="auto"/>
                <w:w w:val="88"/>
              </w:rPr>
              <w:t>—</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40.1</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tcPr>
          <w:p>
            <w:pPr>
              <w:spacing w:after="0"/>
              <w:rPr>
                <w:sz w:val="20"/>
                <w:szCs w:val="20"/>
                <w:color w:val="auto"/>
              </w:rPr>
            </w:pPr>
            <w:r>
              <w:rPr>
                <w:rFonts w:ascii="Arial" w:cs="Arial" w:eastAsia="Arial" w:hAnsi="Arial"/>
                <w:sz w:val="18"/>
                <w:szCs w:val="18"/>
                <w:color w:val="auto"/>
              </w:rPr>
              <w:t>Other investments</w:t>
            </w:r>
          </w:p>
        </w:tc>
        <w:tc>
          <w:tcPr>
            <w:tcW w:w="100" w:type="dxa"/>
            <w:vAlign w:val="bottom"/>
          </w:tcPr>
          <w:p>
            <w:pPr>
              <w:spacing w:after="0"/>
              <w:rPr>
                <w:sz w:val="18"/>
                <w:szCs w:val="18"/>
                <w:color w:val="auto"/>
              </w:rPr>
            </w:pPr>
          </w:p>
        </w:tc>
        <w:tc>
          <w:tcPr>
            <w:tcW w:w="1260" w:type="dxa"/>
            <w:vAlign w:val="bottom"/>
            <w:gridSpan w:val="3"/>
          </w:tcPr>
          <w:p>
            <w:pPr>
              <w:jc w:val="right"/>
              <w:ind w:right="20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ind w:left="880"/>
              <w:spacing w:after="0"/>
              <w:rPr>
                <w:sz w:val="20"/>
                <w:szCs w:val="20"/>
                <w:color w:val="auto"/>
              </w:rPr>
            </w:pPr>
            <w:r>
              <w:rPr>
                <w:rFonts w:ascii="Arial" w:cs="Arial" w:eastAsia="Arial" w:hAnsi="Arial"/>
                <w:sz w:val="18"/>
                <w:szCs w:val="18"/>
                <w:b w:val="1"/>
                <w:bCs w:val="1"/>
                <w:color w:val="auto"/>
                <w:w w:val="88"/>
              </w:rPr>
              <w:t>—</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rPr>
              <w:t>141.4</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ind w:left="86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assets</w:t>
            </w:r>
          </w:p>
        </w:tc>
        <w:tc>
          <w:tcPr>
            <w:tcW w:w="100" w:type="dxa"/>
            <w:vAlign w:val="bottom"/>
            <w:shd w:val="clear" w:color="auto" w:fill="CCEEFF"/>
          </w:tcPr>
          <w:p>
            <w:pPr>
              <w:spacing w:after="0"/>
              <w:rPr>
                <w:sz w:val="18"/>
                <w:szCs w:val="18"/>
                <w:color w:val="auto"/>
              </w:rPr>
            </w:pPr>
          </w:p>
        </w:tc>
        <w:tc>
          <w:tcPr>
            <w:tcW w:w="12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24.6</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880"/>
              <w:spacing w:after="0"/>
              <w:rPr>
                <w:sz w:val="20"/>
                <w:szCs w:val="20"/>
                <w:color w:val="auto"/>
              </w:rPr>
            </w:pPr>
            <w:r>
              <w:rPr>
                <w:rFonts w:ascii="Arial" w:cs="Arial" w:eastAsia="Arial" w:hAnsi="Arial"/>
                <w:sz w:val="18"/>
                <w:szCs w:val="18"/>
                <w:b w:val="1"/>
                <w:bCs w:val="1"/>
                <w:color w:val="auto"/>
                <w:w w:val="88"/>
              </w:rPr>
              <w:t>—</w:t>
            </w: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1.2</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0.1</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ind w:left="86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0.1</w:t>
            </w:r>
          </w:p>
        </w:tc>
        <w:tc>
          <w:tcPr>
            <w:tcW w:w="40" w:type="dxa"/>
            <w:vAlign w:val="bottom"/>
          </w:tcPr>
          <w:p>
            <w:pPr>
              <w:spacing w:after="0"/>
              <w:rPr>
                <w:sz w:val="18"/>
                <w:szCs w:val="18"/>
                <w:color w:val="auto"/>
              </w:rPr>
            </w:pPr>
          </w:p>
        </w:tc>
      </w:tr>
      <w:tr>
        <w:trPr>
          <w:trHeight w:val="365"/>
        </w:trPr>
        <w:tc>
          <w:tcPr>
            <w:tcW w:w="33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gridSpan w:val="13"/>
          </w:tcPr>
          <w:p>
            <w:pPr>
              <w:jc w:val="center"/>
              <w:spacing w:after="0"/>
              <w:rPr>
                <w:sz w:val="20"/>
                <w:szCs w:val="20"/>
                <w:color w:val="auto"/>
              </w:rPr>
            </w:pPr>
            <w:r>
              <w:rPr>
                <w:rFonts w:ascii="Arial" w:cs="Arial" w:eastAsia="Arial" w:hAnsi="Arial"/>
                <w:sz w:val="14"/>
                <w:szCs w:val="14"/>
                <w:b w:val="1"/>
                <w:bCs w:val="1"/>
                <w:color w:val="auto"/>
                <w:w w:val="91"/>
              </w:rPr>
              <w:t>For the three months ended September 30, 2014</w:t>
            </w: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19"/>
        </w:trPr>
        <w:tc>
          <w:tcPr>
            <w:tcW w:w="3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gridSpan w:val="3"/>
          </w:tcPr>
          <w:p>
            <w:pPr>
              <w:jc w:val="center"/>
              <w:ind w:right="32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2"/>
          </w:tcPr>
          <w:p>
            <w:pPr>
              <w:jc w:val="center"/>
              <w:ind w:right="28"/>
              <w:spacing w:after="0" w:line="119" w:lineRule="exact"/>
              <w:rPr>
                <w:sz w:val="20"/>
                <w:szCs w:val="20"/>
                <w:color w:val="auto"/>
              </w:rPr>
            </w:pPr>
            <w:r>
              <w:rPr>
                <w:rFonts w:ascii="Arial" w:cs="Arial" w:eastAsia="Arial" w:hAnsi="Arial"/>
                <w:sz w:val="13"/>
                <w:szCs w:val="13"/>
                <w:b w:val="1"/>
                <w:bCs w:val="1"/>
                <w:color w:val="auto"/>
              </w:rPr>
              <w:t>Transfers out</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gridSpan w:val="3"/>
          </w:tcPr>
          <w:p>
            <w:pPr>
              <w:jc w:val="center"/>
              <w:ind w:right="18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gridSpan w:val="3"/>
          </w:tcPr>
          <w:p>
            <w:pPr>
              <w:jc w:val="center"/>
              <w:ind w:right="26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3"/>
          </w:tcPr>
          <w:p>
            <w:pPr>
              <w:jc w:val="center"/>
              <w:ind w:right="20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gridSpan w:val="2"/>
          </w:tcPr>
          <w:p>
            <w:pPr>
              <w:jc w:val="center"/>
              <w:ind w:right="10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r>
      <w:tr>
        <w:trPr>
          <w:trHeight w:val="149"/>
        </w:trPr>
        <w:tc>
          <w:tcPr>
            <w:tcW w:w="3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of Level 1 into</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center"/>
              <w:ind w:right="28"/>
              <w:spacing w:after="0" w:line="149" w:lineRule="exact"/>
              <w:rPr>
                <w:sz w:val="20"/>
                <w:szCs w:val="20"/>
                <w:color w:val="auto"/>
              </w:rPr>
            </w:pPr>
            <w:r>
              <w:rPr>
                <w:rFonts w:ascii="Arial" w:cs="Arial" w:eastAsia="Arial" w:hAnsi="Arial"/>
                <w:sz w:val="14"/>
                <w:szCs w:val="14"/>
                <w:b w:val="1"/>
                <w:bCs w:val="1"/>
                <w:color w:val="auto"/>
                <w:w w:val="93"/>
              </w:rPr>
              <w:t>of Level 1 into</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40" w:type="dxa"/>
            <w:vAlign w:val="bottom"/>
          </w:tcPr>
          <w:p>
            <w:pPr>
              <w:spacing w:after="0"/>
              <w:rPr>
                <w:sz w:val="12"/>
                <w:szCs w:val="12"/>
                <w:color w:val="auto"/>
              </w:rPr>
            </w:pPr>
          </w:p>
        </w:tc>
      </w:tr>
      <w:tr>
        <w:trPr>
          <w:trHeight w:val="171"/>
        </w:trPr>
        <w:tc>
          <w:tcPr>
            <w:tcW w:w="3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96"/>
              </w:rPr>
              <w:t>Level 2</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2"/>
          </w:tcPr>
          <w:p>
            <w:pPr>
              <w:jc w:val="center"/>
              <w:ind w:right="28"/>
              <w:spacing w:after="0"/>
              <w:rPr>
                <w:sz w:val="20"/>
                <w:szCs w:val="20"/>
                <w:color w:val="auto"/>
              </w:rPr>
            </w:pPr>
            <w:r>
              <w:rPr>
                <w:rFonts w:ascii="Arial" w:cs="Arial" w:eastAsia="Arial" w:hAnsi="Arial"/>
                <w:sz w:val="14"/>
                <w:szCs w:val="14"/>
                <w:b w:val="1"/>
                <w:bCs w:val="1"/>
                <w:color w:val="auto"/>
                <w:w w:val="92"/>
              </w:rPr>
              <w:t>Level 3</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92"/>
              </w:rPr>
              <w:t>Level 1</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2"/>
              </w:rPr>
              <w:t>Level 3</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2"/>
              </w:rPr>
              <w:t>Level 1</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2"/>
              </w:rPr>
              <w:t>Level 2</w:t>
            </w:r>
          </w:p>
        </w:tc>
        <w:tc>
          <w:tcPr>
            <w:tcW w:w="40" w:type="dxa"/>
            <w:vAlign w:val="bottom"/>
          </w:tcPr>
          <w:p>
            <w:pPr>
              <w:spacing w:after="0"/>
              <w:rPr>
                <w:sz w:val="14"/>
                <w:szCs w:val="14"/>
                <w:color w:val="auto"/>
              </w:rPr>
            </w:pPr>
          </w:p>
        </w:tc>
      </w:tr>
      <w:tr>
        <w:trPr>
          <w:trHeight w:val="142"/>
        </w:trPr>
        <w:tc>
          <w:tcPr>
            <w:tcW w:w="33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560" w:type="dxa"/>
            <w:vAlign w:val="bottom"/>
            <w:tcBorders>
              <w:top w:val="single" w:sz="8" w:color="auto"/>
            </w:tcBorders>
            <w:gridSpan w:val="9"/>
          </w:tcPr>
          <w:p>
            <w:pPr>
              <w:jc w:val="center"/>
              <w:ind w:right="34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Corporate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w w:val="88"/>
              </w:rPr>
              <w:t>—</w:t>
            </w: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15.7</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3"/>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2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r>
      <w:tr>
        <w:trPr>
          <w:trHeight w:val="216"/>
        </w:trPr>
        <w:tc>
          <w:tcPr>
            <w:tcW w:w="3340" w:type="dxa"/>
            <w:vAlign w:val="bottom"/>
          </w:tcPr>
          <w:p>
            <w:pPr>
              <w:ind w:left="180"/>
              <w:spacing w:after="0"/>
              <w:rPr>
                <w:sz w:val="20"/>
                <w:szCs w:val="20"/>
                <w:color w:val="auto"/>
              </w:rPr>
            </w:pPr>
            <w:r>
              <w:rPr>
                <w:rFonts w:ascii="Arial" w:cs="Arial" w:eastAsia="Arial" w:hAnsi="Arial"/>
                <w:sz w:val="18"/>
                <w:szCs w:val="18"/>
                <w:color w:val="auto"/>
                <w:w w:val="97"/>
              </w:rPr>
              <w:t>Commercial mortgage-backed securities</w:t>
            </w:r>
          </w:p>
        </w:tc>
        <w:tc>
          <w:tcPr>
            <w:tcW w:w="100" w:type="dxa"/>
            <w:vAlign w:val="bottom"/>
          </w:tcPr>
          <w:p>
            <w:pPr>
              <w:spacing w:after="0"/>
              <w:rPr>
                <w:sz w:val="18"/>
                <w:szCs w:val="18"/>
                <w:color w:val="auto"/>
              </w:rPr>
            </w:pPr>
          </w:p>
        </w:tc>
        <w:tc>
          <w:tcPr>
            <w:tcW w:w="126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ind w:left="880"/>
              <w:spacing w:after="0"/>
              <w:rPr>
                <w:sz w:val="20"/>
                <w:szCs w:val="20"/>
                <w:color w:val="auto"/>
              </w:rPr>
            </w:pPr>
            <w:r>
              <w:rPr>
                <w:rFonts w:ascii="Arial" w:cs="Arial" w:eastAsia="Arial" w:hAnsi="Arial"/>
                <w:sz w:val="18"/>
                <w:szCs w:val="18"/>
                <w:color w:val="auto"/>
                <w:w w:val="88"/>
              </w:rPr>
              <w:t>—</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3"/>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3"/>
          </w:tcPr>
          <w:p>
            <w:pPr>
              <w:jc w:val="right"/>
              <w:ind w:right="160"/>
              <w:spacing w:after="0"/>
              <w:rPr>
                <w:sz w:val="20"/>
                <w:szCs w:val="20"/>
                <w:color w:val="auto"/>
              </w:rPr>
            </w:pPr>
            <w:r>
              <w:rPr>
                <w:rFonts w:ascii="Arial" w:cs="Arial" w:eastAsia="Arial" w:hAnsi="Arial"/>
                <w:sz w:val="18"/>
                <w:szCs w:val="18"/>
                <w:color w:val="auto"/>
              </w:rPr>
              <w:t>0.7</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ind w:left="8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1.4</w:t>
            </w:r>
          </w:p>
        </w:tc>
        <w:tc>
          <w:tcPr>
            <w:tcW w:w="40" w:type="dxa"/>
            <w:vAlign w:val="bottom"/>
          </w:tcPr>
          <w:p>
            <w:pPr>
              <w:spacing w:after="0"/>
              <w:rPr>
                <w:sz w:val="18"/>
                <w:szCs w:val="18"/>
                <w:color w:val="auto"/>
              </w:rPr>
            </w:pPr>
          </w:p>
        </w:tc>
      </w:tr>
      <w:tr>
        <w:trPr>
          <w:trHeight w:val="216"/>
        </w:trPr>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Collateralized debt obligations</w:t>
            </w:r>
          </w:p>
        </w:tc>
        <w:tc>
          <w:tcPr>
            <w:tcW w:w="100" w:type="dxa"/>
            <w:vAlign w:val="bottom"/>
            <w:shd w:val="clear" w:color="auto" w:fill="CCEEFF"/>
          </w:tcPr>
          <w:p>
            <w:pPr>
              <w:spacing w:after="0"/>
              <w:rPr>
                <w:sz w:val="18"/>
                <w:szCs w:val="18"/>
                <w:color w:val="auto"/>
              </w:rPr>
            </w:pPr>
          </w:p>
        </w:tc>
        <w:tc>
          <w:tcPr>
            <w:tcW w:w="12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w w:val="88"/>
              </w:rPr>
              <w:t>—</w:t>
            </w: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16.5</w:t>
            </w:r>
          </w:p>
        </w:tc>
        <w:tc>
          <w:tcPr>
            <w:tcW w:w="40" w:type="dxa"/>
            <w:vAlign w:val="bottom"/>
          </w:tcPr>
          <w:p>
            <w:pPr>
              <w:spacing w:after="0"/>
              <w:rPr>
                <w:sz w:val="18"/>
                <w:szCs w:val="18"/>
                <w:color w:val="auto"/>
              </w:rPr>
            </w:pPr>
          </w:p>
        </w:tc>
      </w:tr>
      <w:tr>
        <w:trPr>
          <w:trHeight w:val="210"/>
        </w:trPr>
        <w:tc>
          <w:tcPr>
            <w:tcW w:w="3340" w:type="dxa"/>
            <w:vAlign w:val="bottom"/>
          </w:tcPr>
          <w:p>
            <w:pPr>
              <w:spacing w:after="0"/>
              <w:rPr>
                <w:sz w:val="20"/>
                <w:szCs w:val="20"/>
                <w:color w:val="auto"/>
              </w:rPr>
            </w:pPr>
            <w:r>
              <w:rPr>
                <w:rFonts w:ascii="Arial" w:cs="Arial" w:eastAsia="Arial" w:hAnsi="Arial"/>
                <w:sz w:val="18"/>
                <w:szCs w:val="18"/>
                <w:color w:val="auto"/>
              </w:rPr>
              <w:t>Total fixed maturities, available-for-sale</w:t>
            </w: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gridSpan w:val="2"/>
          </w:tcPr>
          <w:p>
            <w:pPr>
              <w:ind w:left="880"/>
              <w:spacing w:after="0"/>
              <w:rPr>
                <w:sz w:val="20"/>
                <w:szCs w:val="20"/>
                <w:color w:val="auto"/>
              </w:rPr>
            </w:pPr>
            <w:r>
              <w:rPr>
                <w:rFonts w:ascii="Arial" w:cs="Arial" w:eastAsia="Arial" w:hAnsi="Arial"/>
                <w:sz w:val="18"/>
                <w:szCs w:val="18"/>
                <w:color w:val="auto"/>
                <w:w w:val="88"/>
              </w:rPr>
              <w:t>—</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16.4</w:t>
            </w: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gridSpan w:val="2"/>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17.9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assets</w:t>
            </w:r>
          </w:p>
        </w:tc>
        <w:tc>
          <w:tcPr>
            <w:tcW w:w="100" w:type="dxa"/>
            <w:vAlign w:val="bottom"/>
            <w:shd w:val="clear" w:color="auto" w:fill="CCEEFF"/>
          </w:tcPr>
          <w:p>
            <w:pPr>
              <w:spacing w:after="0"/>
              <w:rPr>
                <w:sz w:val="18"/>
                <w:szCs w:val="18"/>
                <w:color w:val="auto"/>
              </w:rPr>
            </w:pPr>
          </w:p>
        </w:tc>
        <w:tc>
          <w:tcPr>
            <w:tcW w:w="12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2.1</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w w:val="88"/>
              </w:rPr>
              <w:t>—</w:t>
            </w: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17.5</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2.3</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4.2</w:t>
            </w:r>
          </w:p>
        </w:tc>
        <w:tc>
          <w:tcPr>
            <w:tcW w:w="40" w:type="dxa"/>
            <w:vAlign w:val="bottom"/>
          </w:tcPr>
          <w:p>
            <w:pPr>
              <w:spacing w:after="0"/>
              <w:rPr>
                <w:sz w:val="18"/>
                <w:szCs w:val="18"/>
                <w:color w:val="auto"/>
              </w:rPr>
            </w:pPr>
          </w:p>
        </w:tc>
      </w:tr>
      <w:tr>
        <w:trPr>
          <w:trHeight w:val="581"/>
        </w:trPr>
        <w:tc>
          <w:tcPr>
            <w:tcW w:w="33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gridSpan w:val="11"/>
          </w:tcPr>
          <w:p>
            <w:pPr>
              <w:jc w:val="center"/>
              <w:ind w:right="200"/>
              <w:spacing w:after="0"/>
              <w:rPr>
                <w:sz w:val="20"/>
                <w:szCs w:val="20"/>
                <w:color w:val="auto"/>
              </w:rPr>
            </w:pPr>
            <w:r>
              <w:rPr>
                <w:rFonts w:ascii="Arial" w:cs="Arial" w:eastAsia="Arial" w:hAnsi="Arial"/>
                <w:sz w:val="14"/>
                <w:szCs w:val="14"/>
                <w:b w:val="1"/>
                <w:bCs w:val="1"/>
                <w:color w:val="auto"/>
                <w:w w:val="92"/>
              </w:rPr>
              <w:t>For the nine months September 30, 2015</w:t>
            </w: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19"/>
        </w:trPr>
        <w:tc>
          <w:tcPr>
            <w:tcW w:w="3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gridSpan w:val="3"/>
          </w:tcPr>
          <w:p>
            <w:pPr>
              <w:jc w:val="center"/>
              <w:ind w:right="32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2"/>
          </w:tcPr>
          <w:p>
            <w:pPr>
              <w:jc w:val="center"/>
              <w:ind w:right="88"/>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gridSpan w:val="3"/>
          </w:tcPr>
          <w:p>
            <w:pPr>
              <w:jc w:val="center"/>
              <w:ind w:right="30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gridSpan w:val="3"/>
          </w:tcPr>
          <w:p>
            <w:pPr>
              <w:jc w:val="center"/>
              <w:ind w:right="38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3"/>
          </w:tcPr>
          <w:p>
            <w:pPr>
              <w:jc w:val="center"/>
              <w:ind w:right="260"/>
              <w:spacing w:after="0" w:line="119" w:lineRule="exact"/>
              <w:rPr>
                <w:sz w:val="20"/>
                <w:szCs w:val="20"/>
                <w:color w:val="auto"/>
              </w:rPr>
            </w:pPr>
            <w:r>
              <w:rPr>
                <w:rFonts w:ascii="Arial" w:cs="Arial" w:eastAsia="Arial" w:hAnsi="Arial"/>
                <w:sz w:val="13"/>
                <w:szCs w:val="13"/>
                <w:b w:val="1"/>
                <w:bCs w:val="1"/>
                <w:color w:val="auto"/>
              </w:rPr>
              <w:t>Transfers out</w:t>
            </w: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tcPr>
          <w:p>
            <w:pPr>
              <w:jc w:val="center"/>
              <w:ind w:right="37"/>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20" w:type="dxa"/>
            <w:vAlign w:val="bottom"/>
            <w:gridSpan w:val="2"/>
          </w:tcPr>
          <w:p>
            <w:pPr>
              <w:spacing w:after="0"/>
              <w:rPr>
                <w:sz w:val="10"/>
                <w:szCs w:val="10"/>
                <w:color w:val="auto"/>
              </w:rPr>
            </w:pPr>
          </w:p>
        </w:tc>
        <w:tc>
          <w:tcPr>
            <w:tcW w:w="40" w:type="dxa"/>
            <w:vAlign w:val="bottom"/>
          </w:tcPr>
          <w:p>
            <w:pPr>
              <w:spacing w:after="0"/>
              <w:rPr>
                <w:sz w:val="10"/>
                <w:szCs w:val="10"/>
                <w:color w:val="auto"/>
              </w:rPr>
            </w:pPr>
          </w:p>
        </w:tc>
      </w:tr>
      <w:tr>
        <w:trPr>
          <w:trHeight w:val="149"/>
        </w:trPr>
        <w:tc>
          <w:tcPr>
            <w:tcW w:w="3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of Level 1 into</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center"/>
              <w:ind w:right="88"/>
              <w:spacing w:after="0" w:line="149" w:lineRule="exact"/>
              <w:rPr>
                <w:sz w:val="20"/>
                <w:szCs w:val="20"/>
                <w:color w:val="auto"/>
              </w:rPr>
            </w:pPr>
            <w:r>
              <w:rPr>
                <w:rFonts w:ascii="Arial" w:cs="Arial" w:eastAsia="Arial" w:hAnsi="Arial"/>
                <w:sz w:val="14"/>
                <w:szCs w:val="14"/>
                <w:b w:val="1"/>
                <w:bCs w:val="1"/>
                <w:color w:val="auto"/>
                <w:w w:val="91"/>
              </w:rPr>
              <w:t>of Level 1 into</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20" w:type="dxa"/>
            <w:vAlign w:val="bottom"/>
            <w:gridSpan w:val="4"/>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00" w:type="dxa"/>
            <w:vAlign w:val="bottom"/>
            <w:gridSpan w:val="4"/>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40" w:type="dxa"/>
            <w:vAlign w:val="bottom"/>
          </w:tcPr>
          <w:p>
            <w:pPr>
              <w:spacing w:after="0"/>
              <w:rPr>
                <w:sz w:val="12"/>
                <w:szCs w:val="12"/>
                <w:color w:val="auto"/>
              </w:rPr>
            </w:pPr>
          </w:p>
        </w:tc>
      </w:tr>
      <w:tr>
        <w:trPr>
          <w:trHeight w:val="171"/>
        </w:trPr>
        <w:tc>
          <w:tcPr>
            <w:tcW w:w="3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2"/>
              </w:rPr>
              <w:t>Level 2</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2"/>
          </w:tcPr>
          <w:p>
            <w:pPr>
              <w:jc w:val="center"/>
              <w:ind w:right="88"/>
              <w:spacing w:after="0"/>
              <w:rPr>
                <w:sz w:val="20"/>
                <w:szCs w:val="20"/>
                <w:color w:val="auto"/>
              </w:rPr>
            </w:pPr>
            <w:r>
              <w:rPr>
                <w:rFonts w:ascii="Arial" w:cs="Arial" w:eastAsia="Arial" w:hAnsi="Arial"/>
                <w:sz w:val="14"/>
                <w:szCs w:val="14"/>
                <w:b w:val="1"/>
                <w:bCs w:val="1"/>
                <w:color w:val="auto"/>
                <w:w w:val="96"/>
              </w:rPr>
              <w:t>Level 3</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2"/>
              </w:rPr>
              <w:t>Level 1</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2"/>
              </w:rPr>
              <w:t>Level 3</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92"/>
              </w:rPr>
              <w:t>Level 1</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92"/>
              </w:rPr>
              <w:t>Level 2</w:t>
            </w:r>
          </w:p>
        </w:tc>
        <w:tc>
          <w:tcPr>
            <w:tcW w:w="40" w:type="dxa"/>
            <w:vAlign w:val="bottom"/>
          </w:tcPr>
          <w:p>
            <w:pPr>
              <w:spacing w:after="0"/>
              <w:rPr>
                <w:sz w:val="14"/>
                <w:szCs w:val="14"/>
                <w:color w:val="auto"/>
              </w:rPr>
            </w:pPr>
          </w:p>
        </w:tc>
      </w:tr>
      <w:tr>
        <w:trPr>
          <w:trHeight w:val="142"/>
        </w:trPr>
        <w:tc>
          <w:tcPr>
            <w:tcW w:w="33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560" w:type="dxa"/>
            <w:vAlign w:val="bottom"/>
            <w:tcBorders>
              <w:top w:val="single" w:sz="8" w:color="auto"/>
            </w:tcBorders>
            <w:gridSpan w:val="9"/>
          </w:tcPr>
          <w:p>
            <w:pPr>
              <w:jc w:val="center"/>
              <w:ind w:right="38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Corporate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gridSpan w:val="2"/>
            <w:shd w:val="clear" w:color="auto" w:fill="CCEEFF"/>
          </w:tcPr>
          <w:p>
            <w:pPr>
              <w:jc w:val="right"/>
              <w:ind w:right="40"/>
              <w:spacing w:after="0"/>
              <w:rPr>
                <w:sz w:val="20"/>
                <w:szCs w:val="20"/>
                <w:color w:val="auto"/>
              </w:rPr>
            </w:pPr>
            <w:r>
              <w:rPr>
                <w:rFonts w:ascii="Arial" w:cs="Arial" w:eastAsia="Arial" w:hAnsi="Arial"/>
                <w:sz w:val="15"/>
                <w:szCs w:val="15"/>
                <w:b w:val="1"/>
                <w:bCs w:val="1"/>
                <w:color w:val="auto"/>
                <w:w w:val="71"/>
              </w:rPr>
              <w:t>$</w:t>
            </w:r>
          </w:p>
        </w:tc>
        <w:tc>
          <w:tcPr>
            <w:tcW w:w="1060" w:type="dxa"/>
            <w:vAlign w:val="bottom"/>
            <w:gridSpan w:val="2"/>
            <w:shd w:val="clear" w:color="auto" w:fill="CCEEFF"/>
          </w:tcPr>
          <w:p>
            <w:pPr>
              <w:ind w:left="840"/>
              <w:spacing w:after="0"/>
              <w:rPr>
                <w:sz w:val="20"/>
                <w:szCs w:val="20"/>
                <w:color w:val="auto"/>
              </w:rPr>
            </w:pPr>
            <w:r>
              <w:rPr>
                <w:rFonts w:ascii="Arial" w:cs="Arial" w:eastAsia="Arial" w:hAnsi="Arial"/>
                <w:sz w:val="18"/>
                <w:szCs w:val="18"/>
                <w:b w:val="1"/>
                <w:bCs w:val="1"/>
                <w:color w:val="auto"/>
              </w:rPr>
              <w:t>—</w:t>
            </w:r>
          </w:p>
        </w:tc>
        <w:tc>
          <w:tcPr>
            <w:tcW w:w="340" w:type="dxa"/>
            <w:vAlign w:val="bottom"/>
            <w:gridSpan w:val="3"/>
            <w:shd w:val="clear" w:color="auto" w:fill="CCEEFF"/>
          </w:tcPr>
          <w:p>
            <w:pPr>
              <w:jc w:val="right"/>
              <w:ind w:right="8"/>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41.2</w:t>
            </w:r>
          </w:p>
        </w:tc>
        <w:tc>
          <w:tcPr>
            <w:tcW w:w="16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w w:val="79"/>
              </w:rPr>
              <w:t>$</w:t>
            </w:r>
          </w:p>
        </w:tc>
        <w:tc>
          <w:tcPr>
            <w:tcW w:w="1140" w:type="dxa"/>
            <w:vAlign w:val="bottom"/>
            <w:gridSpan w:val="3"/>
            <w:shd w:val="clear" w:color="auto" w:fill="CCEEFF"/>
          </w:tcPr>
          <w:p>
            <w:pPr>
              <w:ind w:left="84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73.6</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tcPr>
          <w:p>
            <w:pPr>
              <w:ind w:left="180"/>
              <w:spacing w:after="0"/>
              <w:rPr>
                <w:sz w:val="20"/>
                <w:szCs w:val="20"/>
                <w:color w:val="auto"/>
              </w:rPr>
            </w:pPr>
            <w:r>
              <w:rPr>
                <w:rFonts w:ascii="Arial" w:cs="Arial" w:eastAsia="Arial" w:hAnsi="Arial"/>
                <w:sz w:val="18"/>
                <w:szCs w:val="18"/>
                <w:color w:val="auto"/>
              </w:rPr>
              <w:t>Other debt obligations</w:t>
            </w:r>
          </w:p>
        </w:tc>
        <w:tc>
          <w:tcPr>
            <w:tcW w:w="100" w:type="dxa"/>
            <w:vAlign w:val="bottom"/>
          </w:tcPr>
          <w:p>
            <w:pPr>
              <w:spacing w:after="0"/>
              <w:rPr>
                <w:sz w:val="18"/>
                <w:szCs w:val="18"/>
                <w:color w:val="auto"/>
              </w:rPr>
            </w:pPr>
          </w:p>
        </w:tc>
        <w:tc>
          <w:tcPr>
            <w:tcW w:w="126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ind w:left="8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3"/>
          </w:tcPr>
          <w:p>
            <w:pPr>
              <w:jc w:val="right"/>
              <w:ind w:right="2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ind w:left="84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58.3</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0"/>
        </w:trPr>
        <w:tc>
          <w:tcPr>
            <w:tcW w:w="33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10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top w:val="single" w:sz="8" w:color="CCEEFF"/>
            </w:tcBorders>
            <w:gridSpan w:val="2"/>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ind w:left="840"/>
              <w:spacing w:after="0"/>
              <w:rPr>
                <w:sz w:val="20"/>
                <w:szCs w:val="20"/>
                <w:color w:val="auto"/>
              </w:rPr>
            </w:pPr>
            <w:r>
              <w:rPr>
                <w:rFonts w:ascii="Arial" w:cs="Arial" w:eastAsia="Arial" w:hAnsi="Arial"/>
                <w:sz w:val="18"/>
                <w:szCs w:val="18"/>
                <w:b w:val="1"/>
                <w:bCs w:val="1"/>
                <w:color w:val="auto"/>
                <w:w w:val="88"/>
              </w:rPr>
              <w:t>—</w:t>
            </w:r>
          </w:p>
        </w:tc>
        <w:tc>
          <w:tcPr>
            <w:tcW w:w="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0" w:type="dxa"/>
            <w:vAlign w:val="bottom"/>
            <w:tcBorders>
              <w:top w:val="single" w:sz="8" w:color="CCEEFF"/>
            </w:tcBorders>
            <w:gridSpan w:val="2"/>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41.2</w:t>
            </w:r>
          </w:p>
        </w:tc>
        <w:tc>
          <w:tcPr>
            <w:tcW w:w="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ind w:left="840"/>
              <w:spacing w:after="0"/>
              <w:rPr>
                <w:sz w:val="20"/>
                <w:szCs w:val="20"/>
                <w:color w:val="auto"/>
              </w:rPr>
            </w:pPr>
            <w:r>
              <w:rPr>
                <w:rFonts w:ascii="Arial" w:cs="Arial" w:eastAsia="Arial" w:hAnsi="Arial"/>
                <w:sz w:val="18"/>
                <w:szCs w:val="18"/>
                <w:b w:val="1"/>
                <w:bCs w:val="1"/>
                <w:color w:val="auto"/>
                <w:w w:val="88"/>
              </w:rPr>
              <w:t>—</w:t>
            </w:r>
          </w:p>
        </w:tc>
        <w:tc>
          <w:tcPr>
            <w:tcW w:w="120" w:type="dxa"/>
            <w:vAlign w:val="bottom"/>
            <w:tcBorders>
              <w:top w:val="single" w:sz="8" w:color="CCEEFF"/>
            </w:tcBorders>
            <w:gridSpan w:val="2"/>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131.9</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tcPr>
          <w:p>
            <w:pPr>
              <w:spacing w:after="0"/>
              <w:rPr>
                <w:sz w:val="20"/>
                <w:szCs w:val="20"/>
                <w:color w:val="auto"/>
              </w:rPr>
            </w:pPr>
            <w:r>
              <w:rPr>
                <w:rFonts w:ascii="Arial" w:cs="Arial" w:eastAsia="Arial" w:hAnsi="Arial"/>
                <w:sz w:val="18"/>
                <w:szCs w:val="18"/>
                <w:color w:val="auto"/>
              </w:rPr>
              <w:t>Other investments</w:t>
            </w:r>
          </w:p>
        </w:tc>
        <w:tc>
          <w:tcPr>
            <w:tcW w:w="100" w:type="dxa"/>
            <w:vAlign w:val="bottom"/>
          </w:tcPr>
          <w:p>
            <w:pPr>
              <w:spacing w:after="0"/>
              <w:rPr>
                <w:sz w:val="18"/>
                <w:szCs w:val="18"/>
                <w:color w:val="auto"/>
              </w:rPr>
            </w:pPr>
          </w:p>
        </w:tc>
        <w:tc>
          <w:tcPr>
            <w:tcW w:w="126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ind w:left="8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141.4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3"/>
          </w:tcPr>
          <w:p>
            <w:pPr>
              <w:jc w:val="right"/>
              <w:ind w:right="2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ind w:left="84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35.0</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assets</w:t>
            </w: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26.6</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8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8.0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0.2</w:t>
            </w: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ind w:left="84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0.2</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432"/>
        </w:trPr>
        <w:tc>
          <w:tcPr>
            <w:tcW w:w="3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ind w:left="800"/>
              <w:spacing w:after="0"/>
              <w:rPr>
                <w:sz w:val="20"/>
                <w:szCs w:val="20"/>
                <w:color w:val="auto"/>
              </w:rPr>
            </w:pPr>
            <w:r>
              <w:rPr>
                <w:rFonts w:ascii="Arial" w:cs="Arial" w:eastAsia="Arial" w:hAnsi="Arial"/>
                <w:sz w:val="18"/>
                <w:szCs w:val="18"/>
                <w:color w:val="auto"/>
                <w:w w:val="99"/>
              </w:rPr>
              <w:t>61</w:t>
            </w: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3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p>
      <w:pPr>
        <w:ind w:left="6080"/>
        <w:spacing w:after="0"/>
        <w:rPr>
          <w:sz w:val="20"/>
          <w:szCs w:val="20"/>
          <w:color w:val="auto"/>
        </w:rPr>
      </w:pPr>
      <w:r>
        <w:rPr>
          <w:rFonts w:ascii="Arial" w:cs="Arial" w:eastAsia="Arial" w:hAnsi="Arial"/>
          <w:sz w:val="14"/>
          <w:szCs w:val="14"/>
          <w:b w:val="1"/>
          <w:bCs w:val="1"/>
          <w:color w:val="auto"/>
        </w:rPr>
        <w:t>For the nine months September 30, 2014</w:t>
      </w:r>
    </w:p>
    <w:p>
      <w:pPr>
        <w:spacing w:after="0" w:line="10" w:lineRule="exact"/>
        <w:rPr>
          <w:sz w:val="20"/>
          <w:szCs w:val="20"/>
          <w:color w:val="auto"/>
        </w:rPr>
      </w:pPr>
    </w:p>
    <w:tbl>
      <w:tblPr>
        <w:tblLayout w:type="fixed"/>
        <w:tblInd w:w="3340" w:type="dxa"/>
        <w:tblCellMar>
          <w:top w:w="0" w:type="dxa"/>
          <w:left w:w="0" w:type="dxa"/>
          <w:bottom w:w="0" w:type="dxa"/>
          <w:right w:w="0" w:type="dxa"/>
        </w:tblCellMar>
      </w:tblPr>
      <w:tr>
        <w:trPr>
          <w:trHeight w:val="119"/>
        </w:trPr>
        <w:tc>
          <w:tcPr>
            <w:tcW w:w="1240" w:type="dxa"/>
            <w:vAlign w:val="bottom"/>
            <w:tcBorders>
              <w:top w:val="single" w:sz="8" w:color="auto"/>
            </w:tcBorders>
          </w:tcPr>
          <w:p>
            <w:pPr>
              <w:jc w:val="center"/>
              <w:ind w:right="30"/>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38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36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36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8"/>
              </w:rPr>
              <w:t>Transfers out</w:t>
            </w:r>
          </w:p>
        </w:tc>
        <w:tc>
          <w:tcPr>
            <w:tcW w:w="136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rPr>
              <w:t>Transfers out</w:t>
            </w:r>
          </w:p>
        </w:tc>
        <w:tc>
          <w:tcPr>
            <w:tcW w:w="1260" w:type="dxa"/>
            <w:vAlign w:val="bottom"/>
            <w:tcBorders>
              <w:top w:val="single" w:sz="8" w:color="auto"/>
            </w:tcBorders>
          </w:tcPr>
          <w:p>
            <w:pPr>
              <w:jc w:val="center"/>
              <w:ind w:left="50"/>
              <w:spacing w:after="0" w:line="119" w:lineRule="exact"/>
              <w:rPr>
                <w:sz w:val="20"/>
                <w:szCs w:val="20"/>
                <w:color w:val="auto"/>
              </w:rPr>
            </w:pPr>
            <w:r>
              <w:rPr>
                <w:rFonts w:ascii="Arial" w:cs="Arial" w:eastAsia="Arial" w:hAnsi="Arial"/>
                <w:sz w:val="13"/>
                <w:szCs w:val="13"/>
                <w:b w:val="1"/>
                <w:bCs w:val="1"/>
                <w:color w:val="auto"/>
                <w:w w:val="98"/>
              </w:rPr>
              <w:t>Transfers out</w:t>
            </w:r>
          </w:p>
        </w:tc>
      </w:tr>
      <w:tr>
        <w:trPr>
          <w:trHeight w:val="149"/>
        </w:trPr>
        <w:tc>
          <w:tcPr>
            <w:tcW w:w="1240" w:type="dxa"/>
            <w:vAlign w:val="bottom"/>
          </w:tcPr>
          <w:p>
            <w:pPr>
              <w:jc w:val="center"/>
              <w:ind w:right="50"/>
              <w:spacing w:after="0" w:line="149" w:lineRule="exact"/>
              <w:rPr>
                <w:sz w:val="20"/>
                <w:szCs w:val="20"/>
                <w:color w:val="auto"/>
              </w:rPr>
            </w:pPr>
            <w:r>
              <w:rPr>
                <w:rFonts w:ascii="Arial" w:cs="Arial" w:eastAsia="Arial" w:hAnsi="Arial"/>
                <w:sz w:val="14"/>
                <w:szCs w:val="14"/>
                <w:b w:val="1"/>
                <w:bCs w:val="1"/>
                <w:color w:val="auto"/>
                <w:w w:val="93"/>
              </w:rPr>
              <w:t>of Level 1 into</w:t>
            </w:r>
          </w:p>
        </w:tc>
        <w:tc>
          <w:tcPr>
            <w:tcW w:w="13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of Level 1 into</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of Level 2 into</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of Level 3 into</w:t>
            </w:r>
          </w:p>
        </w:tc>
        <w:tc>
          <w:tcPr>
            <w:tcW w:w="1260" w:type="dxa"/>
            <w:vAlign w:val="bottom"/>
          </w:tcPr>
          <w:p>
            <w:pPr>
              <w:jc w:val="center"/>
              <w:ind w:left="30"/>
              <w:spacing w:after="0" w:line="149" w:lineRule="exact"/>
              <w:rPr>
                <w:sz w:val="20"/>
                <w:szCs w:val="20"/>
                <w:color w:val="auto"/>
              </w:rPr>
            </w:pPr>
            <w:r>
              <w:rPr>
                <w:rFonts w:ascii="Arial" w:cs="Arial" w:eastAsia="Arial" w:hAnsi="Arial"/>
                <w:sz w:val="14"/>
                <w:szCs w:val="14"/>
                <w:b w:val="1"/>
                <w:bCs w:val="1"/>
                <w:color w:val="auto"/>
                <w:w w:val="93"/>
              </w:rPr>
              <w:t>of Level 3 into</w:t>
            </w:r>
          </w:p>
        </w:tc>
      </w:tr>
      <w:tr>
        <w:trPr>
          <w:trHeight w:val="178"/>
        </w:trPr>
        <w:tc>
          <w:tcPr>
            <w:tcW w:w="1240" w:type="dxa"/>
            <w:vAlign w:val="bottom"/>
          </w:tcPr>
          <w:p>
            <w:pPr>
              <w:jc w:val="center"/>
              <w:ind w:right="50"/>
              <w:spacing w:after="0"/>
              <w:rPr>
                <w:sz w:val="20"/>
                <w:szCs w:val="20"/>
                <w:color w:val="auto"/>
              </w:rPr>
            </w:pPr>
            <w:r>
              <w:rPr>
                <w:rFonts w:ascii="Arial" w:cs="Arial" w:eastAsia="Arial" w:hAnsi="Arial"/>
                <w:sz w:val="14"/>
                <w:szCs w:val="14"/>
                <w:b w:val="1"/>
                <w:bCs w:val="1"/>
                <w:color w:val="auto"/>
                <w:w w:val="92"/>
              </w:rPr>
              <w:t>Level 2</w:t>
            </w:r>
          </w:p>
        </w:tc>
        <w:tc>
          <w:tcPr>
            <w:tcW w:w="1380" w:type="dxa"/>
            <w:vAlign w:val="bottom"/>
          </w:tcPr>
          <w:p>
            <w:pPr>
              <w:jc w:val="center"/>
              <w:spacing w:after="0"/>
              <w:rPr>
                <w:sz w:val="20"/>
                <w:szCs w:val="20"/>
                <w:color w:val="auto"/>
              </w:rPr>
            </w:pPr>
            <w:r>
              <w:rPr>
                <w:rFonts w:ascii="Arial" w:cs="Arial" w:eastAsia="Arial" w:hAnsi="Arial"/>
                <w:sz w:val="14"/>
                <w:szCs w:val="14"/>
                <w:b w:val="1"/>
                <w:bCs w:val="1"/>
                <w:color w:val="auto"/>
                <w:w w:val="96"/>
              </w:rPr>
              <w:t>Level 3</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2"/>
              </w:rPr>
              <w:t>Level 1</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2"/>
              </w:rPr>
              <w:t>Level 3</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2"/>
              </w:rPr>
              <w:t>Level 1</w:t>
            </w:r>
          </w:p>
        </w:tc>
        <w:tc>
          <w:tcPr>
            <w:tcW w:w="1260" w:type="dxa"/>
            <w:vAlign w:val="bottom"/>
          </w:tcPr>
          <w:p>
            <w:pPr>
              <w:jc w:val="center"/>
              <w:ind w:left="30"/>
              <w:spacing w:after="0"/>
              <w:rPr>
                <w:sz w:val="20"/>
                <w:szCs w:val="20"/>
                <w:color w:val="auto"/>
              </w:rPr>
            </w:pPr>
            <w:r>
              <w:rPr>
                <w:rFonts w:ascii="Arial" w:cs="Arial" w:eastAsia="Arial" w:hAnsi="Arial"/>
                <w:sz w:val="14"/>
                <w:szCs w:val="14"/>
                <w:b w:val="1"/>
                <w:bCs w:val="1"/>
                <w:color w:val="auto"/>
                <w:w w:val="92"/>
              </w:rPr>
              <w:t>Level 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2114550</wp:posOffset>
            </wp:positionH>
            <wp:positionV relativeFrom="paragraph">
              <wp:posOffset>-3810</wp:posOffset>
            </wp:positionV>
            <wp:extent cx="505968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5059680" cy="8890"/>
                    </a:xfrm>
                    <a:prstGeom prst="rect">
                      <a:avLst/>
                    </a:prstGeom>
                    <a:noFill/>
                  </pic:spPr>
                </pic:pic>
              </a:graphicData>
            </a:graphic>
          </wp:anchor>
        </w:drawing>
      </w:r>
    </w:p>
    <w:p>
      <w:pPr>
        <w:ind w:left="6940"/>
        <w:spacing w:after="0"/>
        <w:rPr>
          <w:sz w:val="20"/>
          <w:szCs w:val="20"/>
          <w:color w:val="auto"/>
        </w:rPr>
      </w:pPr>
      <w:r>
        <w:rPr>
          <w:rFonts w:ascii="Arial" w:cs="Arial" w:eastAsia="Arial" w:hAnsi="Arial"/>
          <w:sz w:val="14"/>
          <w:szCs w:val="14"/>
          <w:b w:val="1"/>
          <w:bCs w:val="1"/>
          <w:color w:val="auto"/>
        </w:rPr>
        <w:t>(in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7246620" cy="7048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46620" cy="70485"/>
                    </a:xfrm>
                    <a:prstGeom prst="rect">
                      <a:avLst/>
                    </a:prstGeom>
                    <a:noFill/>
                  </pic:spPr>
                </pic:pic>
              </a:graphicData>
            </a:graphic>
          </wp:anchor>
        </w:drawing>
      </w:r>
    </w:p>
    <w:p>
      <w:pPr>
        <w:sectPr>
          <w:pgSz w:w="11900" w:h="16838" w:orient="portrait"/>
          <w:cols w:equalWidth="0" w:num="1">
            <w:col w:w="11460"/>
          </w:cols>
          <w:pgMar w:left="240" w:top="140" w:right="199" w:bottom="0" w:gutter="0" w:footer="0" w:header="0"/>
        </w:sectPr>
      </w:pPr>
    </w:p>
    <w:bookmarkStart w:id="44" w:name="page45"/>
    <w:bookmarkEnd w:id="44"/>
    <w:tbl>
      <w:tblPr>
        <w:tblLayout w:type="fixed"/>
        <w:tblInd w:w="0" w:type="dxa"/>
        <w:tblCellMar>
          <w:top w:w="0" w:type="dxa"/>
          <w:left w:w="0" w:type="dxa"/>
          <w:bottom w:w="0" w:type="dxa"/>
          <w:right w:w="0" w:type="dxa"/>
        </w:tblCellMar>
      </w:tblP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4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33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4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3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Corporate</w:t>
            </w:r>
          </w:p>
        </w:tc>
        <w:tc>
          <w:tcPr>
            <w:tcW w:w="460" w:type="dxa"/>
            <w:vAlign w:val="bottom"/>
            <w:shd w:val="clear" w:color="auto" w:fill="CCEEFF"/>
          </w:tcPr>
          <w:p>
            <w:pPr>
              <w:jc w:val="right"/>
              <w:ind w:right="305"/>
              <w:spacing w:after="0"/>
              <w:rPr>
                <w:sz w:val="20"/>
                <w:szCs w:val="20"/>
                <w:color w:val="auto"/>
              </w:rPr>
            </w:pPr>
            <w:r>
              <w:rPr>
                <w:rFonts w:ascii="Arial" w:cs="Arial" w:eastAsia="Arial" w:hAnsi="Arial"/>
                <w:sz w:val="15"/>
                <w:szCs w:val="15"/>
                <w:color w:val="auto"/>
                <w:w w:val="71"/>
              </w:rPr>
              <w:t>$</w:t>
            </w:r>
          </w:p>
        </w:tc>
        <w:tc>
          <w:tcPr>
            <w:tcW w:w="1420" w:type="dxa"/>
            <w:vAlign w:val="bottom"/>
            <w:gridSpan w:val="3"/>
            <w:shd w:val="clear" w:color="auto" w:fill="CCEEFF"/>
          </w:tcPr>
          <w:p>
            <w:pPr>
              <w:ind w:left="500"/>
              <w:spacing w:after="0"/>
              <w:rPr>
                <w:sz w:val="20"/>
                <w:szCs w:val="20"/>
                <w:color w:val="auto"/>
              </w:rPr>
            </w:pPr>
            <w:r>
              <w:rPr>
                <w:rFonts w:ascii="Arial" w:cs="Arial" w:eastAsia="Arial" w:hAnsi="Arial"/>
                <w:sz w:val="18"/>
                <w:szCs w:val="18"/>
                <w:color w:val="auto"/>
              </w:rPr>
              <w:t>—   $</w:t>
            </w:r>
          </w:p>
        </w:tc>
        <w:tc>
          <w:tcPr>
            <w:tcW w:w="130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   $</w:t>
            </w:r>
          </w:p>
        </w:tc>
        <w:tc>
          <w:tcPr>
            <w:tcW w:w="1360" w:type="dxa"/>
            <w:vAlign w:val="bottom"/>
            <w:gridSpan w:val="3"/>
            <w:shd w:val="clear" w:color="auto" w:fill="CCEEFF"/>
          </w:tcPr>
          <w:p>
            <w:pPr>
              <w:ind w:left="500"/>
              <w:spacing w:after="0"/>
              <w:rPr>
                <w:sz w:val="20"/>
                <w:szCs w:val="20"/>
                <w:color w:val="auto"/>
              </w:rPr>
            </w:pPr>
            <w:r>
              <w:rPr>
                <w:rFonts w:ascii="Arial" w:cs="Arial" w:eastAsia="Arial" w:hAnsi="Arial"/>
                <w:sz w:val="18"/>
                <w:szCs w:val="18"/>
                <w:color w:val="auto"/>
              </w:rPr>
              <w:t>—   $</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46.6</w:t>
            </w:r>
          </w:p>
        </w:tc>
        <w:tc>
          <w:tcPr>
            <w:tcW w:w="6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130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   $</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20" w:type="dxa"/>
            <w:vAlign w:val="bottom"/>
            <w:shd w:val="clear" w:color="auto" w:fill="CCEEFF"/>
          </w:tcPr>
          <w:p>
            <w:pPr>
              <w:spacing w:after="0"/>
              <w:rPr>
                <w:sz w:val="18"/>
                <w:szCs w:val="18"/>
                <w:color w:val="auto"/>
              </w:rPr>
            </w:pPr>
          </w:p>
        </w:tc>
      </w:tr>
      <w:tr>
        <w:trPr>
          <w:trHeight w:val="216"/>
        </w:trPr>
        <w:tc>
          <w:tcPr>
            <w:tcW w:w="3340" w:type="dxa"/>
            <w:vAlign w:val="bottom"/>
          </w:tcPr>
          <w:p>
            <w:pPr>
              <w:ind w:left="200"/>
              <w:spacing w:after="0"/>
              <w:rPr>
                <w:sz w:val="20"/>
                <w:szCs w:val="20"/>
                <w:color w:val="auto"/>
              </w:rPr>
            </w:pPr>
            <w:r>
              <w:rPr>
                <w:rFonts w:ascii="Arial" w:cs="Arial" w:eastAsia="Arial" w:hAnsi="Arial"/>
                <w:sz w:val="18"/>
                <w:szCs w:val="18"/>
                <w:color w:val="auto"/>
                <w:w w:val="96"/>
              </w:rPr>
              <w:t>Commercial mortgage-backed securities</w:t>
            </w:r>
          </w:p>
        </w:tc>
        <w:tc>
          <w:tcPr>
            <w:tcW w:w="460" w:type="dxa"/>
            <w:vAlign w:val="bottom"/>
          </w:tcPr>
          <w:p>
            <w:pPr>
              <w:spacing w:after="0"/>
              <w:rPr>
                <w:sz w:val="18"/>
                <w:szCs w:val="18"/>
                <w:color w:val="auto"/>
              </w:rPr>
            </w:pPr>
          </w:p>
        </w:tc>
        <w:tc>
          <w:tcPr>
            <w:tcW w:w="1420" w:type="dxa"/>
            <w:vAlign w:val="bottom"/>
            <w:gridSpan w:val="3"/>
          </w:tcPr>
          <w:p>
            <w:pPr>
              <w:jc w:val="right"/>
              <w:ind w:right="740"/>
              <w:spacing w:after="0"/>
              <w:rPr>
                <w:sz w:val="20"/>
                <w:szCs w:val="20"/>
                <w:color w:val="auto"/>
              </w:rPr>
            </w:pPr>
            <w:r>
              <w:rPr>
                <w:rFonts w:ascii="Arial" w:cs="Arial" w:eastAsia="Arial" w:hAnsi="Arial"/>
                <w:sz w:val="18"/>
                <w:szCs w:val="18"/>
                <w:color w:val="auto"/>
              </w:rPr>
              <w:t>—</w:t>
            </w:r>
          </w:p>
        </w:tc>
        <w:tc>
          <w:tcPr>
            <w:tcW w:w="130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1360" w:type="dxa"/>
            <w:vAlign w:val="bottom"/>
            <w:gridSpan w:val="3"/>
          </w:tcPr>
          <w:p>
            <w:pPr>
              <w:jc w:val="right"/>
              <w:ind w:right="68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6.8</w:t>
            </w: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30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18"/>
                <w:szCs w:val="18"/>
                <w:color w:val="auto"/>
              </w:rPr>
            </w:pPr>
          </w:p>
        </w:tc>
      </w:tr>
      <w:tr>
        <w:trPr>
          <w:trHeight w:val="216"/>
        </w:trPr>
        <w:tc>
          <w:tcPr>
            <w:tcW w:w="3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Collateralized debt obligations</w:t>
            </w:r>
          </w:p>
        </w:tc>
        <w:tc>
          <w:tcPr>
            <w:tcW w:w="460" w:type="dxa"/>
            <w:vAlign w:val="bottom"/>
            <w:shd w:val="clear" w:color="auto" w:fill="CCEEFF"/>
          </w:tcPr>
          <w:p>
            <w:pPr>
              <w:spacing w:after="0"/>
              <w:rPr>
                <w:sz w:val="18"/>
                <w:szCs w:val="18"/>
                <w:color w:val="auto"/>
              </w:rPr>
            </w:pPr>
          </w:p>
        </w:tc>
        <w:tc>
          <w:tcPr>
            <w:tcW w:w="1420" w:type="dxa"/>
            <w:vAlign w:val="bottom"/>
            <w:gridSpan w:val="3"/>
            <w:shd w:val="clear" w:color="auto" w:fill="CCEEFF"/>
          </w:tcPr>
          <w:p>
            <w:pPr>
              <w:jc w:val="right"/>
              <w:ind w:right="740"/>
              <w:spacing w:after="0"/>
              <w:rPr>
                <w:sz w:val="20"/>
                <w:szCs w:val="20"/>
                <w:color w:val="auto"/>
              </w:rPr>
            </w:pPr>
            <w:r>
              <w:rPr>
                <w:rFonts w:ascii="Arial" w:cs="Arial" w:eastAsia="Arial" w:hAnsi="Arial"/>
                <w:sz w:val="18"/>
                <w:szCs w:val="18"/>
                <w:color w:val="auto"/>
              </w:rPr>
              <w:t>—</w:t>
            </w:r>
          </w:p>
        </w:tc>
        <w:tc>
          <w:tcPr>
            <w:tcW w:w="130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36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24.0</w:t>
            </w:r>
          </w:p>
        </w:tc>
      </w:tr>
      <w:tr>
        <w:trPr>
          <w:trHeight w:val="216"/>
        </w:trPr>
        <w:tc>
          <w:tcPr>
            <w:tcW w:w="3340" w:type="dxa"/>
            <w:vAlign w:val="bottom"/>
          </w:tcPr>
          <w:p>
            <w:pPr>
              <w:ind w:left="200"/>
              <w:spacing w:after="0"/>
              <w:rPr>
                <w:sz w:val="20"/>
                <w:szCs w:val="20"/>
                <w:color w:val="auto"/>
              </w:rPr>
            </w:pPr>
            <w:r>
              <w:rPr>
                <w:rFonts w:ascii="Arial" w:cs="Arial" w:eastAsia="Arial" w:hAnsi="Arial"/>
                <w:sz w:val="18"/>
                <w:szCs w:val="18"/>
                <w:color w:val="auto"/>
              </w:rPr>
              <w:t>Other debt obligations</w:t>
            </w:r>
          </w:p>
        </w:tc>
        <w:tc>
          <w:tcPr>
            <w:tcW w:w="460" w:type="dxa"/>
            <w:vAlign w:val="bottom"/>
          </w:tcPr>
          <w:p>
            <w:pPr>
              <w:spacing w:after="0"/>
              <w:rPr>
                <w:sz w:val="18"/>
                <w:szCs w:val="18"/>
                <w:color w:val="auto"/>
              </w:rPr>
            </w:pPr>
          </w:p>
        </w:tc>
        <w:tc>
          <w:tcPr>
            <w:tcW w:w="1420" w:type="dxa"/>
            <w:vAlign w:val="bottom"/>
            <w:gridSpan w:val="3"/>
          </w:tcPr>
          <w:p>
            <w:pPr>
              <w:jc w:val="right"/>
              <w:ind w:right="740"/>
              <w:spacing w:after="0"/>
              <w:rPr>
                <w:sz w:val="20"/>
                <w:szCs w:val="20"/>
                <w:color w:val="auto"/>
              </w:rPr>
            </w:pPr>
            <w:r>
              <w:rPr>
                <w:rFonts w:ascii="Arial" w:cs="Arial" w:eastAsia="Arial" w:hAnsi="Arial"/>
                <w:sz w:val="18"/>
                <w:szCs w:val="18"/>
                <w:color w:val="auto"/>
              </w:rPr>
              <w:t>—</w:t>
            </w:r>
          </w:p>
        </w:tc>
        <w:tc>
          <w:tcPr>
            <w:tcW w:w="130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1360" w:type="dxa"/>
            <w:vAlign w:val="bottom"/>
            <w:gridSpan w:val="3"/>
          </w:tcPr>
          <w:p>
            <w:pPr>
              <w:jc w:val="right"/>
              <w:ind w:right="68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30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29.7</w:t>
            </w:r>
          </w:p>
        </w:tc>
      </w:tr>
      <w:tr>
        <w:trPr>
          <w:trHeight w:val="210"/>
        </w:trPr>
        <w:tc>
          <w:tcPr>
            <w:tcW w:w="33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maturities, available-for-sale</w:t>
            </w:r>
          </w:p>
        </w:tc>
        <w:tc>
          <w:tcPr>
            <w:tcW w:w="4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53.4</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62.3</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334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460" w:type="dxa"/>
            <w:vAlign w:val="bottom"/>
          </w:tcPr>
          <w:p>
            <w:pPr>
              <w:spacing w:after="0"/>
              <w:rPr>
                <w:sz w:val="18"/>
                <w:szCs w:val="18"/>
                <w:color w:val="auto"/>
              </w:rPr>
            </w:pPr>
          </w:p>
        </w:tc>
        <w:tc>
          <w:tcPr>
            <w:tcW w:w="1420" w:type="dxa"/>
            <w:vAlign w:val="bottom"/>
            <w:gridSpan w:val="3"/>
          </w:tcPr>
          <w:p>
            <w:pPr>
              <w:jc w:val="right"/>
              <w:ind w:right="740"/>
              <w:spacing w:after="0"/>
              <w:rPr>
                <w:sz w:val="20"/>
                <w:szCs w:val="20"/>
                <w:color w:val="auto"/>
              </w:rPr>
            </w:pPr>
            <w:r>
              <w:rPr>
                <w:rFonts w:ascii="Arial" w:cs="Arial" w:eastAsia="Arial" w:hAnsi="Arial"/>
                <w:sz w:val="18"/>
                <w:szCs w:val="18"/>
                <w:color w:val="auto"/>
              </w:rPr>
              <w:t>—</w:t>
            </w:r>
          </w:p>
        </w:tc>
        <w:tc>
          <w:tcPr>
            <w:tcW w:w="130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1360" w:type="dxa"/>
            <w:vAlign w:val="bottom"/>
            <w:gridSpan w:val="3"/>
          </w:tcPr>
          <w:p>
            <w:pPr>
              <w:jc w:val="right"/>
              <w:ind w:right="68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30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assets</w:t>
            </w:r>
          </w:p>
        </w:tc>
        <w:tc>
          <w:tcPr>
            <w:tcW w:w="4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17.5</w:t>
            </w:r>
          </w:p>
        </w:tc>
        <w:tc>
          <w:tcPr>
            <w:tcW w:w="52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71.3</w:t>
            </w:r>
          </w:p>
        </w:tc>
        <w:tc>
          <w:tcPr>
            <w:tcW w:w="4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w:t>
            </w:r>
          </w:p>
        </w:tc>
        <w:tc>
          <w:tcPr>
            <w:tcW w:w="120" w:type="dxa"/>
            <w:vAlign w:val="bottom"/>
            <w:shd w:val="clear" w:color="auto" w:fill="CCEEFF"/>
          </w:tcPr>
          <w:p>
            <w:pPr>
              <w:spacing w:after="0"/>
              <w:rPr>
                <w:sz w:val="18"/>
                <w:szCs w:val="18"/>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Transfers between fair value hierarchy levels are recognized at the beginning of the reporting period.</w:t>
      </w:r>
    </w:p>
    <w:p>
      <w:pPr>
        <w:spacing w:after="0" w:line="225" w:lineRule="exact"/>
        <w:rPr>
          <w:sz w:val="20"/>
          <w:szCs w:val="20"/>
          <w:color w:val="auto"/>
        </w:rPr>
      </w:pPr>
    </w:p>
    <w:p>
      <w:pPr>
        <w:ind w:right="60" w:firstLine="648"/>
        <w:spacing w:after="0" w:line="308" w:lineRule="auto"/>
        <w:rPr>
          <w:sz w:val="20"/>
          <w:szCs w:val="20"/>
          <w:color w:val="auto"/>
        </w:rPr>
      </w:pPr>
      <w:r>
        <w:rPr>
          <w:rFonts w:ascii="Arial" w:cs="Arial" w:eastAsia="Arial" w:hAnsi="Arial"/>
          <w:sz w:val="17"/>
          <w:szCs w:val="17"/>
          <w:color w:val="auto"/>
        </w:rPr>
        <w:t>Assets transferred from Level 2 into Level 1 for the three and nine months ended September 30, 2015, primarily included assets valued using a NAV with a quoted price in an active market for identical assets as a result of additional analysis to clarify the source of the quoted price.</w:t>
      </w:r>
    </w:p>
    <w:p>
      <w:pPr>
        <w:spacing w:after="0" w:line="147" w:lineRule="exact"/>
        <w:rPr>
          <w:sz w:val="20"/>
          <w:szCs w:val="20"/>
          <w:color w:val="auto"/>
        </w:rPr>
      </w:pPr>
    </w:p>
    <w:p>
      <w:pPr>
        <w:jc w:val="both"/>
        <w:ind w:right="120" w:firstLine="648"/>
        <w:spacing w:after="0" w:line="264" w:lineRule="auto"/>
        <w:rPr>
          <w:sz w:val="20"/>
          <w:szCs w:val="20"/>
          <w:color w:val="auto"/>
        </w:rPr>
      </w:pPr>
      <w:r>
        <w:rPr>
          <w:rFonts w:ascii="Arial" w:cs="Arial" w:eastAsia="Arial" w:hAnsi="Arial"/>
          <w:sz w:val="18"/>
          <w:szCs w:val="18"/>
          <w:color w:val="auto"/>
        </w:rPr>
        <w:t>Assets transferred into Level 3 during the three and nine months ended September 30, 2015 and 2014, primarily included those assets for which we are now unable to obtain pricing from a recognized third party pricing vendor as well as assets that were previously priced using a matrix valuation approach that may no longer be relevant when applied to asset-specific situations.</w:t>
      </w:r>
    </w:p>
    <w:p>
      <w:pPr>
        <w:spacing w:after="0" w:line="181"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Assets transferred out of Level 3 during the three and nine months ended September 30, 2015 and 2014, included those for which we are now able to obtain pricing from a recognized third party pricing vendor or from internal models using substantially all market observable information. In addition, for the nine months ended September 30, 2015, assets transferred out of Level 3 included assets valued using the measurement alternative for CCFEs for which the corresponding liabilities have the more observable fair value and are reflected in Level 2.</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Information about Level 3 Fair Value Measurements</w:t>
      </w:r>
    </w:p>
    <w:p>
      <w:pPr>
        <w:spacing w:after="0" w:line="229"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The following table provides quantitative information about the significant unobservable inputs used for recurring fair value measurements categorized within Level 3, excluding assets and liabilities for which significant quantitative unobservable inputs are not developed internally, which primarily consists of those valued using broker quotes or the measurement alternative for CCFEs. Refer to “Assets and liabilities measured at fair value on a recurring basis” for a complete valuation hierarchy summary.</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5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tcPr>
          <w:p>
            <w:pPr>
              <w:spacing w:after="0"/>
              <w:rPr>
                <w:sz w:val="14"/>
                <w:szCs w:val="14"/>
                <w:color w:val="auto"/>
              </w:rPr>
            </w:pPr>
          </w:p>
        </w:tc>
        <w:tc>
          <w:tcPr>
            <w:tcW w:w="262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As of September 30, 2015</w:t>
            </w:r>
          </w:p>
        </w:tc>
        <w:tc>
          <w:tcPr>
            <w:tcW w:w="11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tcPr>
          <w:p>
            <w:pPr>
              <w:jc w:val="center"/>
              <w:ind w:right="400"/>
              <w:spacing w:after="0" w:line="119" w:lineRule="exact"/>
              <w:rPr>
                <w:sz w:val="20"/>
                <w:szCs w:val="20"/>
                <w:color w:val="auto"/>
              </w:rPr>
            </w:pPr>
            <w:r>
              <w:rPr>
                <w:rFonts w:ascii="Arial" w:cs="Arial" w:eastAsia="Arial" w:hAnsi="Arial"/>
                <w:sz w:val="13"/>
                <w:szCs w:val="13"/>
                <w:b w:val="1"/>
                <w:bCs w:val="1"/>
                <w:color w:val="auto"/>
                <w:w w:val="92"/>
              </w:rPr>
              <w:t>Assets /</w:t>
            </w:r>
          </w:p>
        </w:tc>
        <w:tc>
          <w:tcPr>
            <w:tcW w:w="20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5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2080" w:type="dxa"/>
            <w:vAlign w:val="bottom"/>
            <w:vMerge w:val="restart"/>
          </w:tcPr>
          <w:p>
            <w:pPr>
              <w:ind w:left="740"/>
              <w:spacing w:after="0"/>
              <w:rPr>
                <w:sz w:val="20"/>
                <w:szCs w:val="20"/>
                <w:color w:val="auto"/>
              </w:rPr>
            </w:pPr>
            <w:r>
              <w:rPr>
                <w:rFonts w:ascii="Arial" w:cs="Arial" w:eastAsia="Arial" w:hAnsi="Arial"/>
                <w:sz w:val="14"/>
                <w:szCs w:val="14"/>
                <w:b w:val="1"/>
                <w:bCs w:val="1"/>
                <w:color w:val="auto"/>
              </w:rPr>
              <w:t>Valuation</w:t>
            </w:r>
          </w:p>
        </w:tc>
        <w:tc>
          <w:tcPr>
            <w:tcW w:w="280" w:type="dxa"/>
            <w:vAlign w:val="bottom"/>
          </w:tcPr>
          <w:p>
            <w:pPr>
              <w:spacing w:after="0"/>
              <w:rPr>
                <w:sz w:val="12"/>
                <w:szCs w:val="12"/>
                <w:color w:val="auto"/>
              </w:rPr>
            </w:pPr>
          </w:p>
        </w:tc>
        <w:tc>
          <w:tcPr>
            <w:tcW w:w="23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2"/>
              </w:rPr>
              <w:t>Unobservable</w:t>
            </w:r>
          </w:p>
        </w:tc>
        <w:tc>
          <w:tcPr>
            <w:tcW w:w="148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Input/range of</w:t>
            </w:r>
          </w:p>
        </w:tc>
        <w:tc>
          <w:tcPr>
            <w:tcW w:w="1120" w:type="dxa"/>
            <w:vAlign w:val="bottom"/>
            <w:gridSpan w:val="2"/>
            <w:vMerge w:val="restart"/>
          </w:tcPr>
          <w:p>
            <w:pPr>
              <w:jc w:val="right"/>
              <w:ind w:right="420"/>
              <w:spacing w:after="0"/>
              <w:rPr>
                <w:sz w:val="20"/>
                <w:szCs w:val="20"/>
                <w:color w:val="auto"/>
              </w:rPr>
            </w:pPr>
            <w:r>
              <w:rPr>
                <w:rFonts w:ascii="Arial" w:cs="Arial" w:eastAsia="Arial" w:hAnsi="Arial"/>
                <w:sz w:val="14"/>
                <w:szCs w:val="14"/>
                <w:b w:val="1"/>
                <w:bCs w:val="1"/>
                <w:color w:val="auto"/>
              </w:rPr>
              <w:t>Weighted</w:t>
            </w:r>
          </w:p>
        </w:tc>
        <w:tc>
          <w:tcPr>
            <w:tcW w:w="0" w:type="dxa"/>
            <w:vAlign w:val="bottom"/>
          </w:tcPr>
          <w:p>
            <w:pPr>
              <w:spacing w:after="0"/>
              <w:rPr>
                <w:sz w:val="1"/>
                <w:szCs w:val="1"/>
                <w:color w:val="auto"/>
              </w:rPr>
            </w:pPr>
          </w:p>
        </w:tc>
      </w:tr>
      <w:tr>
        <w:trPr>
          <w:trHeight w:val="149"/>
        </w:trPr>
        <w:tc>
          <w:tcPr>
            <w:tcW w:w="25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2"/>
              </w:rPr>
              <w:t>measured at</w:t>
            </w:r>
          </w:p>
        </w:tc>
        <w:tc>
          <w:tcPr>
            <w:tcW w:w="208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340" w:type="dxa"/>
            <w:vAlign w:val="bottom"/>
            <w:gridSpan w:val="2"/>
            <w:vMerge w:val="continue"/>
          </w:tcPr>
          <w:p>
            <w:pPr>
              <w:spacing w:after="0"/>
              <w:rPr>
                <w:sz w:val="12"/>
                <w:szCs w:val="12"/>
                <w:color w:val="auto"/>
              </w:rPr>
            </w:pPr>
          </w:p>
        </w:tc>
        <w:tc>
          <w:tcPr>
            <w:tcW w:w="1480" w:type="dxa"/>
            <w:vAlign w:val="bottom"/>
            <w:gridSpan w:val="2"/>
            <w:vMerge w:val="continue"/>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5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4"/>
              </w:rPr>
              <w:t>fair value</w:t>
            </w:r>
          </w:p>
        </w:tc>
        <w:tc>
          <w:tcPr>
            <w:tcW w:w="2080" w:type="dxa"/>
            <w:vAlign w:val="bottom"/>
          </w:tcPr>
          <w:p>
            <w:pPr>
              <w:ind w:left="660"/>
              <w:spacing w:after="0"/>
              <w:rPr>
                <w:sz w:val="20"/>
                <w:szCs w:val="20"/>
                <w:color w:val="auto"/>
              </w:rPr>
            </w:pPr>
            <w:r>
              <w:rPr>
                <w:rFonts w:ascii="Arial" w:cs="Arial" w:eastAsia="Arial" w:hAnsi="Arial"/>
                <w:sz w:val="14"/>
                <w:szCs w:val="14"/>
                <w:b w:val="1"/>
                <w:bCs w:val="1"/>
                <w:color w:val="auto"/>
              </w:rPr>
              <w:t>technique(s)</w:t>
            </w:r>
          </w:p>
        </w:tc>
        <w:tc>
          <w:tcPr>
            <w:tcW w:w="280" w:type="dxa"/>
            <w:vAlign w:val="bottom"/>
          </w:tcPr>
          <w:p>
            <w:pPr>
              <w:spacing w:after="0"/>
              <w:rPr>
                <w:sz w:val="14"/>
                <w:szCs w:val="14"/>
                <w:color w:val="auto"/>
              </w:rPr>
            </w:pPr>
          </w:p>
        </w:tc>
        <w:tc>
          <w:tcPr>
            <w:tcW w:w="23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input description</w:t>
            </w:r>
          </w:p>
        </w:tc>
        <w:tc>
          <w:tcPr>
            <w:tcW w:w="1480" w:type="dxa"/>
            <w:vAlign w:val="bottom"/>
            <w:gridSpan w:val="2"/>
          </w:tcPr>
          <w:p>
            <w:pPr>
              <w:jc w:val="right"/>
              <w:ind w:right="720"/>
              <w:spacing w:after="0"/>
              <w:rPr>
                <w:sz w:val="20"/>
                <w:szCs w:val="20"/>
                <w:color w:val="auto"/>
              </w:rPr>
            </w:pPr>
            <w:r>
              <w:rPr>
                <w:rFonts w:ascii="Arial" w:cs="Arial" w:eastAsia="Arial" w:hAnsi="Arial"/>
                <w:sz w:val="14"/>
                <w:szCs w:val="14"/>
                <w:b w:val="1"/>
                <w:bCs w:val="1"/>
                <w:color w:val="auto"/>
              </w:rPr>
              <w:t>inputs</w:t>
            </w:r>
          </w:p>
        </w:tc>
        <w:tc>
          <w:tcPr>
            <w:tcW w:w="112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42"/>
        </w:trPr>
        <w:tc>
          <w:tcPr>
            <w:tcW w:w="25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jc w:val="center"/>
              <w:ind w:right="48"/>
              <w:spacing w:after="0" w:line="142"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Pr>
          <w:p>
            <w:pPr>
              <w:spacing w:after="0"/>
              <w:rPr>
                <w:sz w:val="12"/>
                <w:szCs w:val="12"/>
                <w:color w:val="auto"/>
              </w:rPr>
            </w:pPr>
          </w:p>
        </w:tc>
        <w:tc>
          <w:tcPr>
            <w:tcW w:w="208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40" w:type="dxa"/>
            <w:vAlign w:val="bottom"/>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540" w:type="dxa"/>
            <w:vAlign w:val="bottom"/>
            <w:shd w:val="clear" w:color="auto" w:fill="CCEEFF"/>
          </w:tcPr>
          <w:p>
            <w:pPr>
              <w:ind w:left="200"/>
              <w:spacing w:after="0" w:line="130" w:lineRule="exact"/>
              <w:rPr>
                <w:sz w:val="20"/>
                <w:szCs w:val="20"/>
                <w:color w:val="auto"/>
              </w:rPr>
            </w:pPr>
            <w:r>
              <w:rPr>
                <w:rFonts w:ascii="Arial" w:cs="Arial" w:eastAsia="Arial" w:hAnsi="Arial"/>
                <w:sz w:val="14"/>
                <w:szCs w:val="14"/>
                <w:color w:val="auto"/>
              </w:rPr>
              <w:t>Non-U.S. governments</w:t>
            </w:r>
          </w:p>
        </w:tc>
        <w:tc>
          <w:tcPr>
            <w:tcW w:w="400" w:type="dxa"/>
            <w:vAlign w:val="bottom"/>
            <w:gridSpan w:val="2"/>
            <w:shd w:val="clear" w:color="auto" w:fill="CCEEFF"/>
          </w:tcPr>
          <w:p>
            <w:pPr>
              <w:jc w:val="right"/>
              <w:ind w:right="40"/>
              <w:spacing w:after="0" w:line="130" w:lineRule="exact"/>
              <w:rPr>
                <w:sz w:val="20"/>
                <w:szCs w:val="20"/>
                <w:color w:val="auto"/>
              </w:rPr>
            </w:pPr>
            <w:r>
              <w:rPr>
                <w:rFonts w:ascii="Arial" w:cs="Arial" w:eastAsia="Arial" w:hAnsi="Arial"/>
                <w:sz w:val="14"/>
                <w:szCs w:val="14"/>
                <w:b w:val="1"/>
                <w:bCs w:val="1"/>
                <w:color w:val="auto"/>
              </w:rPr>
              <w:t>$</w:t>
            </w:r>
          </w:p>
        </w:tc>
        <w:tc>
          <w:tcPr>
            <w:tcW w:w="1180" w:type="dxa"/>
            <w:vAlign w:val="bottom"/>
            <w:gridSpan w:val="2"/>
            <w:shd w:val="clear" w:color="auto" w:fill="CCEEFF"/>
          </w:tcPr>
          <w:p>
            <w:pPr>
              <w:jc w:val="right"/>
              <w:ind w:right="280"/>
              <w:spacing w:after="0" w:line="130" w:lineRule="exact"/>
              <w:rPr>
                <w:sz w:val="20"/>
                <w:szCs w:val="20"/>
                <w:color w:val="auto"/>
              </w:rPr>
            </w:pPr>
            <w:r>
              <w:rPr>
                <w:rFonts w:ascii="Arial" w:cs="Arial" w:eastAsia="Arial" w:hAnsi="Arial"/>
                <w:sz w:val="14"/>
                <w:szCs w:val="14"/>
                <w:b w:val="1"/>
                <w:bCs w:val="1"/>
                <w:color w:val="auto"/>
              </w:rPr>
              <w:t>9.4</w:t>
            </w:r>
          </w:p>
        </w:tc>
        <w:tc>
          <w:tcPr>
            <w:tcW w:w="208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Discounted cash flow</w:t>
            </w:r>
          </w:p>
        </w:tc>
        <w:tc>
          <w:tcPr>
            <w:tcW w:w="2620" w:type="dxa"/>
            <w:vAlign w:val="bottom"/>
            <w:gridSpan w:val="3"/>
            <w:shd w:val="clear" w:color="auto" w:fill="CCEEFF"/>
          </w:tcPr>
          <w:p>
            <w:pPr>
              <w:ind w:left="280"/>
              <w:spacing w:after="0" w:line="130" w:lineRule="exact"/>
              <w:rPr>
                <w:sz w:val="20"/>
                <w:szCs w:val="20"/>
                <w:color w:val="auto"/>
              </w:rPr>
            </w:pPr>
            <w:r>
              <w:rPr>
                <w:rFonts w:ascii="Arial" w:cs="Arial" w:eastAsia="Arial" w:hAnsi="Arial"/>
                <w:sz w:val="14"/>
                <w:szCs w:val="14"/>
                <w:color w:val="auto"/>
              </w:rPr>
              <w:t>Discount rate (1)</w:t>
            </w:r>
          </w:p>
        </w:tc>
        <w:tc>
          <w:tcPr>
            <w:tcW w:w="1480" w:type="dxa"/>
            <w:vAlign w:val="bottom"/>
            <w:gridSpan w:val="2"/>
            <w:shd w:val="clear" w:color="auto" w:fill="CCEEFF"/>
          </w:tcPr>
          <w:p>
            <w:pPr>
              <w:jc w:val="right"/>
              <w:ind w:right="340"/>
              <w:spacing w:after="0" w:line="130" w:lineRule="exact"/>
              <w:rPr>
                <w:sz w:val="20"/>
                <w:szCs w:val="20"/>
                <w:color w:val="auto"/>
              </w:rPr>
            </w:pPr>
            <w:r>
              <w:rPr>
                <w:rFonts w:ascii="Arial" w:cs="Arial" w:eastAsia="Arial" w:hAnsi="Arial"/>
                <w:sz w:val="14"/>
                <w:szCs w:val="14"/>
                <w:color w:val="auto"/>
              </w:rPr>
              <w:t>1.7%</w:t>
            </w:r>
          </w:p>
        </w:tc>
        <w:tc>
          <w:tcPr>
            <w:tcW w:w="1120" w:type="dxa"/>
            <w:vAlign w:val="bottom"/>
            <w:gridSpan w:val="2"/>
            <w:shd w:val="clear" w:color="auto" w:fill="CCEEFF"/>
          </w:tcPr>
          <w:p>
            <w:pPr>
              <w:jc w:val="right"/>
              <w:ind w:right="200"/>
              <w:spacing w:after="0" w:line="130" w:lineRule="exact"/>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149"/>
        </w:trPr>
        <w:tc>
          <w:tcPr>
            <w:tcW w:w="25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80" w:type="dxa"/>
            <w:vAlign w:val="bottom"/>
            <w:shd w:val="clear" w:color="auto" w:fill="CCEEFF"/>
          </w:tcPr>
          <w:p>
            <w:pPr>
              <w:spacing w:after="0"/>
              <w:rPr>
                <w:sz w:val="12"/>
                <w:szCs w:val="12"/>
                <w:color w:val="auto"/>
              </w:rPr>
            </w:pPr>
          </w:p>
        </w:tc>
        <w:tc>
          <w:tcPr>
            <w:tcW w:w="2620" w:type="dxa"/>
            <w:vAlign w:val="bottom"/>
            <w:gridSpan w:val="3"/>
            <w:shd w:val="clear" w:color="auto" w:fill="CCEEFF"/>
          </w:tcPr>
          <w:p>
            <w:pPr>
              <w:ind w:left="280"/>
              <w:spacing w:after="0" w:line="149" w:lineRule="exact"/>
              <w:rPr>
                <w:sz w:val="20"/>
                <w:szCs w:val="20"/>
                <w:color w:val="auto"/>
              </w:rPr>
            </w:pPr>
            <w:r>
              <w:rPr>
                <w:rFonts w:ascii="Arial" w:cs="Arial" w:eastAsia="Arial" w:hAnsi="Arial"/>
                <w:sz w:val="14"/>
                <w:szCs w:val="14"/>
                <w:color w:val="auto"/>
              </w:rPr>
              <w:t>Illiquidity premium</w:t>
            </w:r>
          </w:p>
        </w:tc>
        <w:tc>
          <w:tcPr>
            <w:tcW w:w="1480" w:type="dxa"/>
            <w:vAlign w:val="bottom"/>
            <w:gridSpan w:val="2"/>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50 basis points</w:t>
            </w:r>
          </w:p>
        </w:tc>
        <w:tc>
          <w:tcPr>
            <w:tcW w:w="11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50bps</w:t>
            </w:r>
          </w:p>
        </w:tc>
        <w:tc>
          <w:tcPr>
            <w:tcW w:w="0" w:type="dxa"/>
            <w:vAlign w:val="bottom"/>
          </w:tcPr>
          <w:p>
            <w:pPr>
              <w:spacing w:after="0"/>
              <w:rPr>
                <w:sz w:val="1"/>
                <w:szCs w:val="1"/>
                <w:color w:val="auto"/>
              </w:rPr>
            </w:pPr>
          </w:p>
        </w:tc>
      </w:tr>
      <w:tr>
        <w:trPr>
          <w:trHeight w:val="167"/>
        </w:trPr>
        <w:tc>
          <w:tcPr>
            <w:tcW w:w="254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480" w:type="dxa"/>
            <w:vAlign w:val="bottom"/>
            <w:gridSpan w:val="2"/>
            <w:shd w:val="clear" w:color="auto" w:fill="CCEEFF"/>
          </w:tcPr>
          <w:p>
            <w:pPr>
              <w:jc w:val="right"/>
              <w:ind w:right="340"/>
              <w:spacing w:after="0"/>
              <w:rPr>
                <w:sz w:val="20"/>
                <w:szCs w:val="20"/>
                <w:color w:val="auto"/>
              </w:rPr>
            </w:pPr>
            <w:r>
              <w:rPr>
                <w:rFonts w:ascii="Arial" w:cs="Arial" w:eastAsia="Arial" w:hAnsi="Arial"/>
                <w:sz w:val="14"/>
                <w:szCs w:val="14"/>
                <w:color w:val="auto"/>
              </w:rPr>
              <w:t>("bps")</w:t>
            </w:r>
          </w:p>
        </w:tc>
        <w:tc>
          <w:tcPr>
            <w:tcW w:w="8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540" w:type="dxa"/>
            <w:vAlign w:val="bottom"/>
          </w:tcPr>
          <w:p>
            <w:pPr>
              <w:ind w:left="200"/>
              <w:spacing w:after="0" w:line="130" w:lineRule="exact"/>
              <w:rPr>
                <w:sz w:val="20"/>
                <w:szCs w:val="20"/>
                <w:color w:val="auto"/>
              </w:rPr>
            </w:pPr>
            <w:r>
              <w:rPr>
                <w:rFonts w:ascii="Arial" w:cs="Arial" w:eastAsia="Arial" w:hAnsi="Arial"/>
                <w:sz w:val="14"/>
                <w:szCs w:val="14"/>
                <w:color w:val="auto"/>
              </w:rPr>
              <w:t>Corporate</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jc w:val="right"/>
              <w:ind w:right="280"/>
              <w:spacing w:after="0" w:line="130" w:lineRule="exact"/>
              <w:rPr>
                <w:sz w:val="20"/>
                <w:szCs w:val="20"/>
                <w:color w:val="auto"/>
              </w:rPr>
            </w:pPr>
            <w:r>
              <w:rPr>
                <w:rFonts w:ascii="Arial" w:cs="Arial" w:eastAsia="Arial" w:hAnsi="Arial"/>
                <w:sz w:val="14"/>
                <w:szCs w:val="14"/>
                <w:b w:val="1"/>
                <w:bCs w:val="1"/>
                <w:color w:val="auto"/>
              </w:rPr>
              <w:t>42.0</w:t>
            </w:r>
          </w:p>
        </w:tc>
        <w:tc>
          <w:tcPr>
            <w:tcW w:w="2080" w:type="dxa"/>
            <w:vAlign w:val="bottom"/>
          </w:tcPr>
          <w:p>
            <w:pPr>
              <w:spacing w:after="0" w:line="130" w:lineRule="exact"/>
              <w:rPr>
                <w:sz w:val="20"/>
                <w:szCs w:val="20"/>
                <w:color w:val="auto"/>
              </w:rPr>
            </w:pPr>
            <w:r>
              <w:rPr>
                <w:rFonts w:ascii="Arial" w:cs="Arial" w:eastAsia="Arial" w:hAnsi="Arial"/>
                <w:sz w:val="14"/>
                <w:szCs w:val="14"/>
                <w:color w:val="auto"/>
              </w:rPr>
              <w:t>Discounted cash flow</w:t>
            </w:r>
          </w:p>
        </w:tc>
        <w:tc>
          <w:tcPr>
            <w:tcW w:w="2620" w:type="dxa"/>
            <w:vAlign w:val="bottom"/>
            <w:gridSpan w:val="3"/>
          </w:tcPr>
          <w:p>
            <w:pPr>
              <w:ind w:left="280"/>
              <w:spacing w:after="0" w:line="130" w:lineRule="exact"/>
              <w:rPr>
                <w:sz w:val="20"/>
                <w:szCs w:val="20"/>
                <w:color w:val="auto"/>
              </w:rPr>
            </w:pPr>
            <w:r>
              <w:rPr>
                <w:rFonts w:ascii="Arial" w:cs="Arial" w:eastAsia="Arial" w:hAnsi="Arial"/>
                <w:sz w:val="14"/>
                <w:szCs w:val="14"/>
                <w:color w:val="auto"/>
              </w:rPr>
              <w:t>Discount rate (1)</w:t>
            </w:r>
          </w:p>
        </w:tc>
        <w:tc>
          <w:tcPr>
            <w:tcW w:w="1480" w:type="dxa"/>
            <w:vAlign w:val="bottom"/>
            <w:gridSpan w:val="2"/>
          </w:tcPr>
          <w:p>
            <w:pPr>
              <w:jc w:val="right"/>
              <w:ind w:right="340"/>
              <w:spacing w:after="0" w:line="130" w:lineRule="exact"/>
              <w:rPr>
                <w:sz w:val="20"/>
                <w:szCs w:val="20"/>
                <w:color w:val="auto"/>
              </w:rPr>
            </w:pPr>
            <w:r>
              <w:rPr>
                <w:rFonts w:ascii="Arial" w:cs="Arial" w:eastAsia="Arial" w:hAnsi="Arial"/>
                <w:sz w:val="14"/>
                <w:szCs w:val="14"/>
                <w:color w:val="auto"/>
              </w:rPr>
              <w:t>1.6%-7.6%</w:t>
            </w:r>
          </w:p>
        </w:tc>
        <w:tc>
          <w:tcPr>
            <w:tcW w:w="1120" w:type="dxa"/>
            <w:vAlign w:val="bottom"/>
            <w:gridSpan w:val="2"/>
          </w:tcPr>
          <w:p>
            <w:pPr>
              <w:jc w:val="right"/>
              <w:ind w:right="200"/>
              <w:spacing w:after="0" w:line="130" w:lineRule="exact"/>
              <w:rPr>
                <w:sz w:val="20"/>
                <w:szCs w:val="20"/>
                <w:color w:val="auto"/>
              </w:rPr>
            </w:pPr>
            <w:r>
              <w:rPr>
                <w:rFonts w:ascii="Arial" w:cs="Arial" w:eastAsia="Arial" w:hAnsi="Arial"/>
                <w:sz w:val="14"/>
                <w:szCs w:val="14"/>
                <w:color w:val="auto"/>
              </w:rPr>
              <w:t>4.8%</w:t>
            </w:r>
          </w:p>
        </w:tc>
        <w:tc>
          <w:tcPr>
            <w:tcW w:w="0" w:type="dxa"/>
            <w:vAlign w:val="bottom"/>
          </w:tcPr>
          <w:p>
            <w:pPr>
              <w:spacing w:after="0"/>
              <w:rPr>
                <w:sz w:val="1"/>
                <w:szCs w:val="1"/>
                <w:color w:val="auto"/>
              </w:rPr>
            </w:pPr>
          </w:p>
        </w:tc>
      </w:tr>
      <w:tr>
        <w:trPr>
          <w:trHeight w:val="149"/>
        </w:trPr>
        <w:tc>
          <w:tcPr>
            <w:tcW w:w="25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2620" w:type="dxa"/>
            <w:vAlign w:val="bottom"/>
            <w:gridSpan w:val="3"/>
          </w:tcPr>
          <w:p>
            <w:pPr>
              <w:ind w:left="280"/>
              <w:spacing w:after="0" w:line="149" w:lineRule="exact"/>
              <w:rPr>
                <w:sz w:val="20"/>
                <w:szCs w:val="20"/>
                <w:color w:val="auto"/>
              </w:rPr>
            </w:pPr>
            <w:r>
              <w:rPr>
                <w:rFonts w:ascii="Arial" w:cs="Arial" w:eastAsia="Arial" w:hAnsi="Arial"/>
                <w:sz w:val="14"/>
                <w:szCs w:val="14"/>
                <w:color w:val="auto"/>
              </w:rPr>
              <w:t>Comparability adjustment</w:t>
            </w:r>
          </w:p>
        </w:tc>
        <w:tc>
          <w:tcPr>
            <w:tcW w:w="1480" w:type="dxa"/>
            <w:vAlign w:val="bottom"/>
            <w:gridSpan w:val="2"/>
          </w:tcPr>
          <w:p>
            <w:pPr>
              <w:jc w:val="right"/>
              <w:ind w:right="340"/>
              <w:spacing w:after="0" w:line="149" w:lineRule="exact"/>
              <w:rPr>
                <w:sz w:val="20"/>
                <w:szCs w:val="20"/>
                <w:color w:val="auto"/>
              </w:rPr>
            </w:pPr>
            <w:r>
              <w:rPr>
                <w:rFonts w:ascii="Arial" w:cs="Arial" w:eastAsia="Arial" w:hAnsi="Arial"/>
                <w:sz w:val="14"/>
                <w:szCs w:val="14"/>
                <w:color w:val="auto"/>
              </w:rPr>
              <w:t>0bps-14bps</w:t>
            </w:r>
          </w:p>
        </w:tc>
        <w:tc>
          <w:tcPr>
            <w:tcW w:w="11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3bps</w:t>
            </w:r>
          </w:p>
        </w:tc>
        <w:tc>
          <w:tcPr>
            <w:tcW w:w="0" w:type="dxa"/>
            <w:vAlign w:val="bottom"/>
          </w:tcPr>
          <w:p>
            <w:pPr>
              <w:spacing w:after="0"/>
              <w:rPr>
                <w:sz w:val="1"/>
                <w:szCs w:val="1"/>
                <w:color w:val="auto"/>
              </w:rPr>
            </w:pPr>
          </w:p>
        </w:tc>
      </w:tr>
      <w:tr>
        <w:trPr>
          <w:trHeight w:val="167"/>
        </w:trPr>
        <w:tc>
          <w:tcPr>
            <w:tcW w:w="25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2620" w:type="dxa"/>
            <w:vAlign w:val="bottom"/>
            <w:gridSpan w:val="3"/>
          </w:tcPr>
          <w:p>
            <w:pPr>
              <w:ind w:left="280"/>
              <w:spacing w:after="0"/>
              <w:rPr>
                <w:sz w:val="20"/>
                <w:szCs w:val="20"/>
                <w:color w:val="auto"/>
              </w:rPr>
            </w:pPr>
            <w:r>
              <w:rPr>
                <w:rFonts w:ascii="Arial" w:cs="Arial" w:eastAsia="Arial" w:hAnsi="Arial"/>
                <w:sz w:val="14"/>
                <w:szCs w:val="14"/>
                <w:color w:val="auto"/>
              </w:rPr>
              <w:t>Illiquidity premium</w:t>
            </w:r>
          </w:p>
        </w:tc>
        <w:tc>
          <w:tcPr>
            <w:tcW w:w="1480" w:type="dxa"/>
            <w:vAlign w:val="bottom"/>
            <w:gridSpan w:val="2"/>
          </w:tcPr>
          <w:p>
            <w:pPr>
              <w:jc w:val="right"/>
              <w:ind w:right="340"/>
              <w:spacing w:after="0"/>
              <w:rPr>
                <w:sz w:val="20"/>
                <w:szCs w:val="20"/>
                <w:color w:val="auto"/>
              </w:rPr>
            </w:pPr>
            <w:r>
              <w:rPr>
                <w:rFonts w:ascii="Arial" w:cs="Arial" w:eastAsia="Arial" w:hAnsi="Arial"/>
                <w:sz w:val="14"/>
                <w:szCs w:val="14"/>
                <w:color w:val="auto"/>
              </w:rPr>
              <w:t>0bps-60bps</w:t>
            </w:r>
          </w:p>
        </w:tc>
        <w:tc>
          <w:tcPr>
            <w:tcW w:w="1120" w:type="dxa"/>
            <w:vAlign w:val="bottom"/>
            <w:gridSpan w:val="2"/>
          </w:tcPr>
          <w:p>
            <w:pPr>
              <w:jc w:val="right"/>
              <w:ind w:right="120"/>
              <w:spacing w:after="0"/>
              <w:rPr>
                <w:sz w:val="20"/>
                <w:szCs w:val="20"/>
                <w:color w:val="auto"/>
              </w:rPr>
            </w:pPr>
            <w:r>
              <w:rPr>
                <w:rFonts w:ascii="Arial" w:cs="Arial" w:eastAsia="Arial" w:hAnsi="Arial"/>
                <w:sz w:val="14"/>
                <w:szCs w:val="14"/>
                <w:color w:val="auto"/>
              </w:rPr>
              <w:t>34bps</w:t>
            </w:r>
          </w:p>
        </w:tc>
        <w:tc>
          <w:tcPr>
            <w:tcW w:w="0" w:type="dxa"/>
            <w:vAlign w:val="bottom"/>
          </w:tcPr>
          <w:p>
            <w:pPr>
              <w:spacing w:after="0"/>
              <w:rPr>
                <w:sz w:val="1"/>
                <w:szCs w:val="1"/>
                <w:color w:val="auto"/>
              </w:rPr>
            </w:pPr>
          </w:p>
        </w:tc>
      </w:tr>
      <w:tr>
        <w:trPr>
          <w:trHeight w:val="149"/>
        </w:trPr>
        <w:tc>
          <w:tcPr>
            <w:tcW w:w="25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w w:val="92"/>
              </w:rPr>
              <w:t>Commercial mortgage-backed securities</w:t>
            </w: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b w:val="1"/>
                <w:bCs w:val="1"/>
                <w:color w:val="auto"/>
              </w:rPr>
              <w:t>15.3</w:t>
            </w:r>
          </w:p>
        </w:tc>
        <w:tc>
          <w:tcPr>
            <w:tcW w:w="2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Discounted cash flow</w:t>
            </w:r>
          </w:p>
        </w:tc>
        <w:tc>
          <w:tcPr>
            <w:tcW w:w="2620" w:type="dxa"/>
            <w:vAlign w:val="bottom"/>
            <w:gridSpan w:val="3"/>
            <w:shd w:val="clear" w:color="auto" w:fill="CCEEFF"/>
          </w:tcPr>
          <w:p>
            <w:pPr>
              <w:ind w:left="280"/>
              <w:spacing w:after="0" w:line="149" w:lineRule="exact"/>
              <w:rPr>
                <w:sz w:val="20"/>
                <w:szCs w:val="20"/>
                <w:color w:val="auto"/>
              </w:rPr>
            </w:pPr>
            <w:r>
              <w:rPr>
                <w:rFonts w:ascii="Arial" w:cs="Arial" w:eastAsia="Arial" w:hAnsi="Arial"/>
                <w:sz w:val="14"/>
                <w:szCs w:val="14"/>
                <w:color w:val="auto"/>
              </w:rPr>
              <w:t>Discount rate (1)</w:t>
            </w:r>
          </w:p>
        </w:tc>
        <w:tc>
          <w:tcPr>
            <w:tcW w:w="1480" w:type="dxa"/>
            <w:vAlign w:val="bottom"/>
            <w:gridSpan w:val="2"/>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3.7%-4.9%</w:t>
            </w:r>
          </w:p>
        </w:tc>
        <w:tc>
          <w:tcPr>
            <w:tcW w:w="11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4.3%</w:t>
            </w:r>
          </w:p>
        </w:tc>
        <w:tc>
          <w:tcPr>
            <w:tcW w:w="0" w:type="dxa"/>
            <w:vAlign w:val="bottom"/>
          </w:tcPr>
          <w:p>
            <w:pPr>
              <w:spacing w:after="0"/>
              <w:rPr>
                <w:sz w:val="1"/>
                <w:szCs w:val="1"/>
                <w:color w:val="auto"/>
              </w:rPr>
            </w:pPr>
          </w:p>
        </w:tc>
      </w:tr>
      <w:tr>
        <w:trPr>
          <w:trHeight w:val="130"/>
        </w:trPr>
        <w:tc>
          <w:tcPr>
            <w:tcW w:w="2540" w:type="dxa"/>
            <w:vAlign w:val="bottom"/>
          </w:tcPr>
          <w:p>
            <w:pPr>
              <w:ind w:left="200"/>
              <w:spacing w:after="0" w:line="130" w:lineRule="exact"/>
              <w:rPr>
                <w:sz w:val="20"/>
                <w:szCs w:val="20"/>
                <w:color w:val="auto"/>
              </w:rPr>
            </w:pPr>
            <w:r>
              <w:rPr>
                <w:rFonts w:ascii="Arial" w:cs="Arial" w:eastAsia="Arial" w:hAnsi="Arial"/>
                <w:sz w:val="14"/>
                <w:szCs w:val="14"/>
                <w:color w:val="auto"/>
              </w:rPr>
              <w:t>Collateralized debt obligations</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jc w:val="right"/>
              <w:ind w:right="280"/>
              <w:spacing w:after="0" w:line="130" w:lineRule="exact"/>
              <w:rPr>
                <w:sz w:val="20"/>
                <w:szCs w:val="20"/>
                <w:color w:val="auto"/>
              </w:rPr>
            </w:pPr>
            <w:r>
              <w:rPr>
                <w:rFonts w:ascii="Arial" w:cs="Arial" w:eastAsia="Arial" w:hAnsi="Arial"/>
                <w:sz w:val="14"/>
                <w:szCs w:val="14"/>
                <w:b w:val="1"/>
                <w:bCs w:val="1"/>
                <w:color w:val="auto"/>
              </w:rPr>
              <w:t>3.1</w:t>
            </w:r>
          </w:p>
        </w:tc>
        <w:tc>
          <w:tcPr>
            <w:tcW w:w="2080" w:type="dxa"/>
            <w:vAlign w:val="bottom"/>
          </w:tcPr>
          <w:p>
            <w:pPr>
              <w:spacing w:after="0" w:line="130" w:lineRule="exact"/>
              <w:rPr>
                <w:sz w:val="20"/>
                <w:szCs w:val="20"/>
                <w:color w:val="auto"/>
              </w:rPr>
            </w:pPr>
            <w:r>
              <w:rPr>
                <w:rFonts w:ascii="Arial" w:cs="Arial" w:eastAsia="Arial" w:hAnsi="Arial"/>
                <w:sz w:val="14"/>
                <w:szCs w:val="14"/>
                <w:color w:val="auto"/>
              </w:rPr>
              <w:t>Discounted cash flow</w:t>
            </w:r>
          </w:p>
        </w:tc>
        <w:tc>
          <w:tcPr>
            <w:tcW w:w="2620" w:type="dxa"/>
            <w:vAlign w:val="bottom"/>
            <w:gridSpan w:val="3"/>
          </w:tcPr>
          <w:p>
            <w:pPr>
              <w:ind w:left="280"/>
              <w:spacing w:after="0" w:line="130" w:lineRule="exact"/>
              <w:rPr>
                <w:sz w:val="20"/>
                <w:szCs w:val="20"/>
                <w:color w:val="auto"/>
              </w:rPr>
            </w:pPr>
            <w:r>
              <w:rPr>
                <w:rFonts w:ascii="Arial" w:cs="Arial" w:eastAsia="Arial" w:hAnsi="Arial"/>
                <w:sz w:val="14"/>
                <w:szCs w:val="14"/>
                <w:color w:val="auto"/>
              </w:rPr>
              <w:t>Discount rate (1)</w:t>
            </w:r>
          </w:p>
        </w:tc>
        <w:tc>
          <w:tcPr>
            <w:tcW w:w="1480" w:type="dxa"/>
            <w:vAlign w:val="bottom"/>
            <w:gridSpan w:val="2"/>
          </w:tcPr>
          <w:p>
            <w:pPr>
              <w:jc w:val="right"/>
              <w:ind w:right="340"/>
              <w:spacing w:after="0" w:line="130" w:lineRule="exact"/>
              <w:rPr>
                <w:sz w:val="20"/>
                <w:szCs w:val="20"/>
                <w:color w:val="auto"/>
              </w:rPr>
            </w:pPr>
            <w:r>
              <w:rPr>
                <w:rFonts w:ascii="Arial" w:cs="Arial" w:eastAsia="Arial" w:hAnsi="Arial"/>
                <w:sz w:val="14"/>
                <w:szCs w:val="14"/>
                <w:color w:val="auto"/>
              </w:rPr>
              <w:t>12.1%</w:t>
            </w:r>
          </w:p>
        </w:tc>
        <w:tc>
          <w:tcPr>
            <w:tcW w:w="1120" w:type="dxa"/>
            <w:vAlign w:val="bottom"/>
            <w:gridSpan w:val="2"/>
          </w:tcPr>
          <w:p>
            <w:pPr>
              <w:jc w:val="right"/>
              <w:ind w:right="200"/>
              <w:spacing w:after="0" w:line="130" w:lineRule="exact"/>
              <w:rPr>
                <w:sz w:val="20"/>
                <w:szCs w:val="20"/>
                <w:color w:val="auto"/>
              </w:rPr>
            </w:pPr>
            <w:r>
              <w:rPr>
                <w:rFonts w:ascii="Arial" w:cs="Arial" w:eastAsia="Arial" w:hAnsi="Arial"/>
                <w:sz w:val="14"/>
                <w:szCs w:val="14"/>
                <w:color w:val="auto"/>
              </w:rPr>
              <w:t>12.1%</w:t>
            </w:r>
          </w:p>
        </w:tc>
        <w:tc>
          <w:tcPr>
            <w:tcW w:w="0" w:type="dxa"/>
            <w:vAlign w:val="bottom"/>
          </w:tcPr>
          <w:p>
            <w:pPr>
              <w:spacing w:after="0"/>
              <w:rPr>
                <w:sz w:val="1"/>
                <w:szCs w:val="1"/>
                <w:color w:val="auto"/>
              </w:rPr>
            </w:pPr>
          </w:p>
        </w:tc>
      </w:tr>
      <w:tr>
        <w:trPr>
          <w:trHeight w:val="149"/>
        </w:trPr>
        <w:tc>
          <w:tcPr>
            <w:tcW w:w="25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2620" w:type="dxa"/>
            <w:vAlign w:val="bottom"/>
            <w:gridSpan w:val="3"/>
          </w:tcPr>
          <w:p>
            <w:pPr>
              <w:ind w:left="280"/>
              <w:spacing w:after="0" w:line="149" w:lineRule="exact"/>
              <w:rPr>
                <w:sz w:val="20"/>
                <w:szCs w:val="20"/>
                <w:color w:val="auto"/>
              </w:rPr>
            </w:pPr>
            <w:r>
              <w:rPr>
                <w:rFonts w:ascii="Arial" w:cs="Arial" w:eastAsia="Arial" w:hAnsi="Arial"/>
                <w:sz w:val="14"/>
                <w:szCs w:val="14"/>
                <w:color w:val="auto"/>
              </w:rPr>
              <w:t>Probability of default</w:t>
            </w:r>
          </w:p>
        </w:tc>
        <w:tc>
          <w:tcPr>
            <w:tcW w:w="1480" w:type="dxa"/>
            <w:vAlign w:val="bottom"/>
            <w:gridSpan w:val="2"/>
          </w:tcPr>
          <w:p>
            <w:pPr>
              <w:jc w:val="right"/>
              <w:ind w:right="340"/>
              <w:spacing w:after="0" w:line="149" w:lineRule="exact"/>
              <w:rPr>
                <w:sz w:val="20"/>
                <w:szCs w:val="20"/>
                <w:color w:val="auto"/>
              </w:rPr>
            </w:pPr>
            <w:r>
              <w:rPr>
                <w:rFonts w:ascii="Arial" w:cs="Arial" w:eastAsia="Arial" w:hAnsi="Arial"/>
                <w:sz w:val="14"/>
                <w:szCs w:val="14"/>
                <w:color w:val="auto"/>
              </w:rPr>
              <w:t>100.0%</w:t>
            </w:r>
          </w:p>
        </w:tc>
        <w:tc>
          <w:tcPr>
            <w:tcW w:w="11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100.0%</w:t>
            </w:r>
          </w:p>
        </w:tc>
        <w:tc>
          <w:tcPr>
            <w:tcW w:w="0" w:type="dxa"/>
            <w:vAlign w:val="bottom"/>
          </w:tcPr>
          <w:p>
            <w:pPr>
              <w:spacing w:after="0"/>
              <w:rPr>
                <w:sz w:val="1"/>
                <w:szCs w:val="1"/>
                <w:color w:val="auto"/>
              </w:rPr>
            </w:pPr>
          </w:p>
        </w:tc>
      </w:tr>
      <w:tr>
        <w:trPr>
          <w:trHeight w:val="167"/>
        </w:trPr>
        <w:tc>
          <w:tcPr>
            <w:tcW w:w="25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2620" w:type="dxa"/>
            <w:vAlign w:val="bottom"/>
            <w:gridSpan w:val="3"/>
          </w:tcPr>
          <w:p>
            <w:pPr>
              <w:ind w:left="280"/>
              <w:spacing w:after="0"/>
              <w:rPr>
                <w:sz w:val="20"/>
                <w:szCs w:val="20"/>
                <w:color w:val="auto"/>
              </w:rPr>
            </w:pPr>
            <w:r>
              <w:rPr>
                <w:rFonts w:ascii="Arial" w:cs="Arial" w:eastAsia="Arial" w:hAnsi="Arial"/>
                <w:sz w:val="14"/>
                <w:szCs w:val="14"/>
                <w:color w:val="auto"/>
              </w:rPr>
              <w:t>Potential loss severity</w:t>
            </w:r>
          </w:p>
        </w:tc>
        <w:tc>
          <w:tcPr>
            <w:tcW w:w="1480" w:type="dxa"/>
            <w:vAlign w:val="bottom"/>
            <w:gridSpan w:val="2"/>
          </w:tcPr>
          <w:p>
            <w:pPr>
              <w:jc w:val="right"/>
              <w:ind w:right="340"/>
              <w:spacing w:after="0"/>
              <w:rPr>
                <w:sz w:val="20"/>
                <w:szCs w:val="20"/>
                <w:color w:val="auto"/>
              </w:rPr>
            </w:pPr>
            <w:r>
              <w:rPr>
                <w:rFonts w:ascii="Arial" w:cs="Arial" w:eastAsia="Arial" w:hAnsi="Arial"/>
                <w:sz w:val="14"/>
                <w:szCs w:val="14"/>
                <w:color w:val="auto"/>
              </w:rPr>
              <w:t>67.0%</w:t>
            </w:r>
          </w:p>
        </w:tc>
        <w:tc>
          <w:tcPr>
            <w:tcW w:w="1120" w:type="dxa"/>
            <w:vAlign w:val="bottom"/>
            <w:gridSpan w:val="2"/>
          </w:tcPr>
          <w:p>
            <w:pPr>
              <w:jc w:val="right"/>
              <w:ind w:right="200"/>
              <w:spacing w:after="0"/>
              <w:rPr>
                <w:sz w:val="20"/>
                <w:szCs w:val="20"/>
                <w:color w:val="auto"/>
              </w:rPr>
            </w:pPr>
            <w:r>
              <w:rPr>
                <w:rFonts w:ascii="Arial" w:cs="Arial" w:eastAsia="Arial" w:hAnsi="Arial"/>
                <w:sz w:val="14"/>
                <w:szCs w:val="14"/>
                <w:color w:val="auto"/>
              </w:rPr>
              <w:t>67.0%</w:t>
            </w:r>
          </w:p>
        </w:tc>
        <w:tc>
          <w:tcPr>
            <w:tcW w:w="0" w:type="dxa"/>
            <w:vAlign w:val="bottom"/>
          </w:tcPr>
          <w:p>
            <w:pPr>
              <w:spacing w:after="0"/>
              <w:rPr>
                <w:sz w:val="1"/>
                <w:szCs w:val="1"/>
                <w:color w:val="auto"/>
              </w:rPr>
            </w:pPr>
          </w:p>
        </w:tc>
      </w:tr>
      <w:tr>
        <w:trPr>
          <w:trHeight w:val="130"/>
        </w:trPr>
        <w:tc>
          <w:tcPr>
            <w:tcW w:w="2540" w:type="dxa"/>
            <w:vAlign w:val="bottom"/>
            <w:shd w:val="clear" w:color="auto" w:fill="CCEEFF"/>
          </w:tcPr>
          <w:p>
            <w:pPr>
              <w:ind w:left="200"/>
              <w:spacing w:after="0" w:line="130" w:lineRule="exact"/>
              <w:rPr>
                <w:sz w:val="20"/>
                <w:szCs w:val="20"/>
                <w:color w:val="auto"/>
              </w:rPr>
            </w:pPr>
            <w:r>
              <w:rPr>
                <w:rFonts w:ascii="Arial" w:cs="Arial" w:eastAsia="Arial" w:hAnsi="Arial"/>
                <w:sz w:val="14"/>
                <w:szCs w:val="14"/>
                <w:color w:val="auto"/>
              </w:rPr>
              <w:t>Other debt obligations</w:t>
            </w: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80" w:type="dxa"/>
            <w:vAlign w:val="bottom"/>
            <w:gridSpan w:val="2"/>
            <w:shd w:val="clear" w:color="auto" w:fill="CCEEFF"/>
          </w:tcPr>
          <w:p>
            <w:pPr>
              <w:jc w:val="right"/>
              <w:ind w:right="280"/>
              <w:spacing w:after="0" w:line="130" w:lineRule="exact"/>
              <w:rPr>
                <w:sz w:val="20"/>
                <w:szCs w:val="20"/>
                <w:color w:val="auto"/>
              </w:rPr>
            </w:pPr>
            <w:r>
              <w:rPr>
                <w:rFonts w:ascii="Arial" w:cs="Arial" w:eastAsia="Arial" w:hAnsi="Arial"/>
                <w:sz w:val="14"/>
                <w:szCs w:val="14"/>
                <w:b w:val="1"/>
                <w:bCs w:val="1"/>
                <w:color w:val="auto"/>
              </w:rPr>
              <w:t>7.8</w:t>
            </w:r>
          </w:p>
        </w:tc>
        <w:tc>
          <w:tcPr>
            <w:tcW w:w="208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Discounted cash flow</w:t>
            </w:r>
          </w:p>
        </w:tc>
        <w:tc>
          <w:tcPr>
            <w:tcW w:w="2620" w:type="dxa"/>
            <w:vAlign w:val="bottom"/>
            <w:gridSpan w:val="3"/>
            <w:shd w:val="clear" w:color="auto" w:fill="CCEEFF"/>
          </w:tcPr>
          <w:p>
            <w:pPr>
              <w:ind w:left="280"/>
              <w:spacing w:after="0" w:line="130" w:lineRule="exact"/>
              <w:rPr>
                <w:sz w:val="20"/>
                <w:szCs w:val="20"/>
                <w:color w:val="auto"/>
              </w:rPr>
            </w:pPr>
            <w:r>
              <w:rPr>
                <w:rFonts w:ascii="Arial" w:cs="Arial" w:eastAsia="Arial" w:hAnsi="Arial"/>
                <w:sz w:val="14"/>
                <w:szCs w:val="14"/>
                <w:color w:val="auto"/>
              </w:rPr>
              <w:t>Discount rate (1)</w:t>
            </w:r>
          </w:p>
        </w:tc>
        <w:tc>
          <w:tcPr>
            <w:tcW w:w="1480" w:type="dxa"/>
            <w:vAlign w:val="bottom"/>
            <w:gridSpan w:val="2"/>
            <w:shd w:val="clear" w:color="auto" w:fill="CCEEFF"/>
          </w:tcPr>
          <w:p>
            <w:pPr>
              <w:jc w:val="right"/>
              <w:ind w:right="340"/>
              <w:spacing w:after="0" w:line="130" w:lineRule="exact"/>
              <w:rPr>
                <w:sz w:val="20"/>
                <w:szCs w:val="20"/>
                <w:color w:val="auto"/>
              </w:rPr>
            </w:pPr>
            <w:r>
              <w:rPr>
                <w:rFonts w:ascii="Arial" w:cs="Arial" w:eastAsia="Arial" w:hAnsi="Arial"/>
                <w:sz w:val="14"/>
                <w:szCs w:val="14"/>
                <w:color w:val="auto"/>
              </w:rPr>
              <w:t>5.0%</w:t>
            </w:r>
          </w:p>
        </w:tc>
        <w:tc>
          <w:tcPr>
            <w:tcW w:w="1120" w:type="dxa"/>
            <w:vAlign w:val="bottom"/>
            <w:gridSpan w:val="2"/>
            <w:shd w:val="clear" w:color="auto" w:fill="CCEEFF"/>
          </w:tcPr>
          <w:p>
            <w:pPr>
              <w:jc w:val="right"/>
              <w:ind w:right="200"/>
              <w:spacing w:after="0" w:line="130" w:lineRule="exact"/>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167"/>
        </w:trPr>
        <w:tc>
          <w:tcPr>
            <w:tcW w:w="254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80" w:type="dxa"/>
            <w:vAlign w:val="bottom"/>
            <w:shd w:val="clear" w:color="auto" w:fill="CCEEFF"/>
          </w:tcPr>
          <w:p>
            <w:pPr>
              <w:spacing w:after="0"/>
              <w:rPr>
                <w:sz w:val="14"/>
                <w:szCs w:val="14"/>
                <w:color w:val="auto"/>
              </w:rPr>
            </w:pPr>
          </w:p>
        </w:tc>
        <w:tc>
          <w:tcPr>
            <w:tcW w:w="2620" w:type="dxa"/>
            <w:vAlign w:val="bottom"/>
            <w:gridSpan w:val="3"/>
            <w:shd w:val="clear" w:color="auto" w:fill="CCEEFF"/>
          </w:tcPr>
          <w:p>
            <w:pPr>
              <w:ind w:left="280"/>
              <w:spacing w:after="0"/>
              <w:rPr>
                <w:sz w:val="20"/>
                <w:szCs w:val="20"/>
                <w:color w:val="auto"/>
              </w:rPr>
            </w:pPr>
            <w:r>
              <w:rPr>
                <w:rFonts w:ascii="Arial" w:cs="Arial" w:eastAsia="Arial" w:hAnsi="Arial"/>
                <w:sz w:val="14"/>
                <w:szCs w:val="14"/>
                <w:color w:val="auto"/>
              </w:rPr>
              <w:t>Illiquidity premium</w:t>
            </w:r>
          </w:p>
        </w:tc>
        <w:tc>
          <w:tcPr>
            <w:tcW w:w="1480" w:type="dxa"/>
            <w:vAlign w:val="bottom"/>
            <w:gridSpan w:val="2"/>
            <w:shd w:val="clear" w:color="auto" w:fill="CCEEFF"/>
          </w:tcPr>
          <w:p>
            <w:pPr>
              <w:jc w:val="right"/>
              <w:ind w:right="340"/>
              <w:spacing w:after="0"/>
              <w:rPr>
                <w:sz w:val="20"/>
                <w:szCs w:val="20"/>
                <w:color w:val="auto"/>
              </w:rPr>
            </w:pPr>
            <w:r>
              <w:rPr>
                <w:rFonts w:ascii="Arial" w:cs="Arial" w:eastAsia="Arial" w:hAnsi="Arial"/>
                <w:sz w:val="14"/>
                <w:szCs w:val="14"/>
                <w:color w:val="auto"/>
              </w:rPr>
              <w:t>750bps</w:t>
            </w: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750bps</w:t>
            </w:r>
          </w:p>
        </w:tc>
        <w:tc>
          <w:tcPr>
            <w:tcW w:w="0" w:type="dxa"/>
            <w:vAlign w:val="bottom"/>
          </w:tcPr>
          <w:p>
            <w:pPr>
              <w:spacing w:after="0"/>
              <w:rPr>
                <w:sz w:val="1"/>
                <w:szCs w:val="1"/>
                <w:color w:val="auto"/>
              </w:rPr>
            </w:pPr>
          </w:p>
        </w:tc>
      </w:tr>
      <w:tr>
        <w:trPr>
          <w:trHeight w:val="130"/>
        </w:trPr>
        <w:tc>
          <w:tcPr>
            <w:tcW w:w="2540" w:type="dxa"/>
            <w:vAlign w:val="bottom"/>
          </w:tcPr>
          <w:p>
            <w:pPr>
              <w:spacing w:after="0" w:line="130" w:lineRule="exact"/>
              <w:rPr>
                <w:sz w:val="20"/>
                <w:szCs w:val="20"/>
                <w:color w:val="auto"/>
              </w:rPr>
            </w:pPr>
            <w:r>
              <w:rPr>
                <w:rFonts w:ascii="Arial" w:cs="Arial" w:eastAsia="Arial" w:hAnsi="Arial"/>
                <w:sz w:val="14"/>
                <w:szCs w:val="14"/>
                <w:color w:val="auto"/>
              </w:rPr>
              <w:t>Fixed maturities, trading</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jc w:val="right"/>
              <w:ind w:right="280"/>
              <w:spacing w:after="0" w:line="130" w:lineRule="exact"/>
              <w:rPr>
                <w:sz w:val="20"/>
                <w:szCs w:val="20"/>
                <w:color w:val="auto"/>
              </w:rPr>
            </w:pPr>
            <w:r>
              <w:rPr>
                <w:rFonts w:ascii="Arial" w:cs="Arial" w:eastAsia="Arial" w:hAnsi="Arial"/>
                <w:sz w:val="14"/>
                <w:szCs w:val="14"/>
                <w:b w:val="1"/>
                <w:bCs w:val="1"/>
                <w:color w:val="auto"/>
              </w:rPr>
              <w:t>14.2</w:t>
            </w:r>
          </w:p>
        </w:tc>
        <w:tc>
          <w:tcPr>
            <w:tcW w:w="2080" w:type="dxa"/>
            <w:vAlign w:val="bottom"/>
          </w:tcPr>
          <w:p>
            <w:pPr>
              <w:spacing w:after="0" w:line="130" w:lineRule="exact"/>
              <w:rPr>
                <w:sz w:val="20"/>
                <w:szCs w:val="20"/>
                <w:color w:val="auto"/>
              </w:rPr>
            </w:pPr>
            <w:r>
              <w:rPr>
                <w:rFonts w:ascii="Arial" w:cs="Arial" w:eastAsia="Arial" w:hAnsi="Arial"/>
                <w:sz w:val="14"/>
                <w:szCs w:val="14"/>
                <w:color w:val="auto"/>
              </w:rPr>
              <w:t>Discounted cash flow</w:t>
            </w:r>
          </w:p>
        </w:tc>
        <w:tc>
          <w:tcPr>
            <w:tcW w:w="2620" w:type="dxa"/>
            <w:vAlign w:val="bottom"/>
            <w:gridSpan w:val="3"/>
          </w:tcPr>
          <w:p>
            <w:pPr>
              <w:ind w:left="280"/>
              <w:spacing w:after="0" w:line="130" w:lineRule="exact"/>
              <w:rPr>
                <w:sz w:val="20"/>
                <w:szCs w:val="20"/>
                <w:color w:val="auto"/>
              </w:rPr>
            </w:pPr>
            <w:r>
              <w:rPr>
                <w:rFonts w:ascii="Arial" w:cs="Arial" w:eastAsia="Arial" w:hAnsi="Arial"/>
                <w:sz w:val="14"/>
                <w:szCs w:val="14"/>
                <w:color w:val="auto"/>
              </w:rPr>
              <w:t>Discount rate (1)</w:t>
            </w:r>
          </w:p>
        </w:tc>
        <w:tc>
          <w:tcPr>
            <w:tcW w:w="1480" w:type="dxa"/>
            <w:vAlign w:val="bottom"/>
            <w:gridSpan w:val="2"/>
          </w:tcPr>
          <w:p>
            <w:pPr>
              <w:jc w:val="right"/>
              <w:ind w:right="340"/>
              <w:spacing w:after="0" w:line="130" w:lineRule="exact"/>
              <w:rPr>
                <w:sz w:val="20"/>
                <w:szCs w:val="20"/>
                <w:color w:val="auto"/>
              </w:rPr>
            </w:pPr>
            <w:r>
              <w:rPr>
                <w:rFonts w:ascii="Arial" w:cs="Arial" w:eastAsia="Arial" w:hAnsi="Arial"/>
                <w:sz w:val="14"/>
                <w:szCs w:val="14"/>
                <w:color w:val="auto"/>
              </w:rPr>
              <w:t>2.1%-16.0%</w:t>
            </w:r>
          </w:p>
        </w:tc>
        <w:tc>
          <w:tcPr>
            <w:tcW w:w="1120" w:type="dxa"/>
            <w:vAlign w:val="bottom"/>
            <w:gridSpan w:val="2"/>
          </w:tcPr>
          <w:p>
            <w:pPr>
              <w:jc w:val="right"/>
              <w:ind w:right="200"/>
              <w:spacing w:after="0" w:line="130" w:lineRule="exact"/>
              <w:rPr>
                <w:sz w:val="20"/>
                <w:szCs w:val="20"/>
                <w:color w:val="auto"/>
              </w:rPr>
            </w:pPr>
            <w:r>
              <w:rPr>
                <w:rFonts w:ascii="Arial" w:cs="Arial" w:eastAsia="Arial" w:hAnsi="Arial"/>
                <w:sz w:val="14"/>
                <w:szCs w:val="14"/>
                <w:color w:val="auto"/>
              </w:rPr>
              <w:t>6.4%</w:t>
            </w:r>
          </w:p>
        </w:tc>
        <w:tc>
          <w:tcPr>
            <w:tcW w:w="0" w:type="dxa"/>
            <w:vAlign w:val="bottom"/>
          </w:tcPr>
          <w:p>
            <w:pPr>
              <w:spacing w:after="0"/>
              <w:rPr>
                <w:sz w:val="1"/>
                <w:szCs w:val="1"/>
                <w:color w:val="auto"/>
              </w:rPr>
            </w:pPr>
          </w:p>
        </w:tc>
      </w:tr>
      <w:tr>
        <w:trPr>
          <w:trHeight w:val="167"/>
        </w:trPr>
        <w:tc>
          <w:tcPr>
            <w:tcW w:w="25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2620" w:type="dxa"/>
            <w:vAlign w:val="bottom"/>
            <w:gridSpan w:val="3"/>
          </w:tcPr>
          <w:p>
            <w:pPr>
              <w:ind w:left="280"/>
              <w:spacing w:after="0"/>
              <w:rPr>
                <w:sz w:val="20"/>
                <w:szCs w:val="20"/>
                <w:color w:val="auto"/>
              </w:rPr>
            </w:pPr>
            <w:r>
              <w:rPr>
                <w:rFonts w:ascii="Arial" w:cs="Arial" w:eastAsia="Arial" w:hAnsi="Arial"/>
                <w:sz w:val="14"/>
                <w:szCs w:val="14"/>
                <w:color w:val="auto"/>
              </w:rPr>
              <w:t>Illiquidity premium</w:t>
            </w:r>
          </w:p>
        </w:tc>
        <w:tc>
          <w:tcPr>
            <w:tcW w:w="1480" w:type="dxa"/>
            <w:vAlign w:val="bottom"/>
            <w:gridSpan w:val="2"/>
          </w:tcPr>
          <w:p>
            <w:pPr>
              <w:jc w:val="right"/>
              <w:ind w:right="340"/>
              <w:spacing w:after="0"/>
              <w:rPr>
                <w:sz w:val="20"/>
                <w:szCs w:val="20"/>
                <w:color w:val="auto"/>
              </w:rPr>
            </w:pPr>
            <w:r>
              <w:rPr>
                <w:rFonts w:ascii="Arial" w:cs="Arial" w:eastAsia="Arial" w:hAnsi="Arial"/>
                <w:sz w:val="14"/>
                <w:szCs w:val="14"/>
                <w:color w:val="auto"/>
              </w:rPr>
              <w:t>200bps-800bps</w:t>
            </w:r>
          </w:p>
        </w:tc>
        <w:tc>
          <w:tcPr>
            <w:tcW w:w="1120" w:type="dxa"/>
            <w:vAlign w:val="bottom"/>
            <w:gridSpan w:val="2"/>
          </w:tcPr>
          <w:p>
            <w:pPr>
              <w:jc w:val="right"/>
              <w:ind w:right="120"/>
              <w:spacing w:after="0"/>
              <w:rPr>
                <w:sz w:val="20"/>
                <w:szCs w:val="20"/>
                <w:color w:val="auto"/>
              </w:rPr>
            </w:pPr>
            <w:r>
              <w:rPr>
                <w:rFonts w:ascii="Arial" w:cs="Arial" w:eastAsia="Arial" w:hAnsi="Arial"/>
                <w:sz w:val="14"/>
                <w:szCs w:val="14"/>
                <w:color w:val="auto"/>
              </w:rPr>
              <w:t>430bps</w:t>
            </w:r>
          </w:p>
        </w:tc>
        <w:tc>
          <w:tcPr>
            <w:tcW w:w="0" w:type="dxa"/>
            <w:vAlign w:val="bottom"/>
          </w:tcPr>
          <w:p>
            <w:pPr>
              <w:spacing w:after="0"/>
              <w:rPr>
                <w:sz w:val="1"/>
                <w:szCs w:val="1"/>
                <w:color w:val="auto"/>
              </w:rPr>
            </w:pPr>
          </w:p>
        </w:tc>
      </w:tr>
      <w:tr>
        <w:trPr>
          <w:trHeight w:val="130"/>
        </w:trPr>
        <w:tc>
          <w:tcPr>
            <w:tcW w:w="254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Other investments</w:t>
            </w: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80" w:type="dxa"/>
            <w:vAlign w:val="bottom"/>
            <w:gridSpan w:val="2"/>
            <w:shd w:val="clear" w:color="auto" w:fill="CCEEFF"/>
          </w:tcPr>
          <w:p>
            <w:pPr>
              <w:jc w:val="right"/>
              <w:ind w:right="280"/>
              <w:spacing w:after="0" w:line="130" w:lineRule="exact"/>
              <w:rPr>
                <w:sz w:val="20"/>
                <w:szCs w:val="20"/>
                <w:color w:val="auto"/>
              </w:rPr>
            </w:pPr>
            <w:r>
              <w:rPr>
                <w:rFonts w:ascii="Arial" w:cs="Arial" w:eastAsia="Arial" w:hAnsi="Arial"/>
                <w:sz w:val="14"/>
                <w:szCs w:val="14"/>
                <w:b w:val="1"/>
                <w:bCs w:val="1"/>
                <w:color w:val="auto"/>
              </w:rPr>
              <w:t>31.5</w:t>
            </w:r>
          </w:p>
        </w:tc>
        <w:tc>
          <w:tcPr>
            <w:tcW w:w="208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Discounted cash flow - equity</w:t>
            </w:r>
          </w:p>
        </w:tc>
        <w:tc>
          <w:tcPr>
            <w:tcW w:w="2620" w:type="dxa"/>
            <w:vAlign w:val="bottom"/>
            <w:gridSpan w:val="3"/>
            <w:shd w:val="clear" w:color="auto" w:fill="CCEEFF"/>
          </w:tcPr>
          <w:p>
            <w:pPr>
              <w:ind w:left="280"/>
              <w:spacing w:after="0" w:line="130" w:lineRule="exact"/>
              <w:rPr>
                <w:sz w:val="20"/>
                <w:szCs w:val="20"/>
                <w:color w:val="auto"/>
              </w:rPr>
            </w:pPr>
            <w:r>
              <w:rPr>
                <w:rFonts w:ascii="Arial" w:cs="Arial" w:eastAsia="Arial" w:hAnsi="Arial"/>
                <w:sz w:val="14"/>
                <w:szCs w:val="14"/>
                <w:color w:val="auto"/>
              </w:rPr>
              <w:t>Discount rate (1)</w:t>
            </w:r>
          </w:p>
        </w:tc>
        <w:tc>
          <w:tcPr>
            <w:tcW w:w="1480" w:type="dxa"/>
            <w:vAlign w:val="bottom"/>
            <w:gridSpan w:val="2"/>
            <w:shd w:val="clear" w:color="auto" w:fill="CCEEFF"/>
          </w:tcPr>
          <w:p>
            <w:pPr>
              <w:jc w:val="right"/>
              <w:ind w:right="340"/>
              <w:spacing w:after="0" w:line="130" w:lineRule="exact"/>
              <w:rPr>
                <w:sz w:val="20"/>
                <w:szCs w:val="20"/>
                <w:color w:val="auto"/>
              </w:rPr>
            </w:pPr>
            <w:r>
              <w:rPr>
                <w:rFonts w:ascii="Arial" w:cs="Arial" w:eastAsia="Arial" w:hAnsi="Arial"/>
                <w:sz w:val="14"/>
                <w:szCs w:val="14"/>
                <w:color w:val="auto"/>
              </w:rPr>
              <w:t>7.9%</w:t>
            </w:r>
          </w:p>
        </w:tc>
        <w:tc>
          <w:tcPr>
            <w:tcW w:w="1120" w:type="dxa"/>
            <w:vAlign w:val="bottom"/>
            <w:gridSpan w:val="2"/>
            <w:shd w:val="clear" w:color="auto" w:fill="CCEEFF"/>
          </w:tcPr>
          <w:p>
            <w:pPr>
              <w:jc w:val="right"/>
              <w:ind w:right="200"/>
              <w:spacing w:after="0" w:line="130" w:lineRule="exact"/>
              <w:rPr>
                <w:sz w:val="20"/>
                <w:szCs w:val="20"/>
                <w:color w:val="auto"/>
              </w:rPr>
            </w:pPr>
            <w:r>
              <w:rPr>
                <w:rFonts w:ascii="Arial" w:cs="Arial" w:eastAsia="Arial" w:hAnsi="Arial"/>
                <w:sz w:val="14"/>
                <w:szCs w:val="14"/>
                <w:color w:val="auto"/>
              </w:rPr>
              <w:t>7.9%</w:t>
            </w:r>
          </w:p>
        </w:tc>
        <w:tc>
          <w:tcPr>
            <w:tcW w:w="0" w:type="dxa"/>
            <w:vAlign w:val="bottom"/>
          </w:tcPr>
          <w:p>
            <w:pPr>
              <w:spacing w:after="0"/>
              <w:rPr>
                <w:sz w:val="1"/>
                <w:szCs w:val="1"/>
                <w:color w:val="auto"/>
              </w:rPr>
            </w:pPr>
          </w:p>
        </w:tc>
      </w:tr>
      <w:tr>
        <w:trPr>
          <w:trHeight w:val="167"/>
        </w:trPr>
        <w:tc>
          <w:tcPr>
            <w:tcW w:w="254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8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6"/>
              </w:rPr>
              <w:t>method real estate investments</w:t>
            </w:r>
          </w:p>
        </w:tc>
        <w:tc>
          <w:tcPr>
            <w:tcW w:w="2620" w:type="dxa"/>
            <w:vAlign w:val="bottom"/>
            <w:gridSpan w:val="3"/>
            <w:vMerge w:val="restart"/>
            <w:shd w:val="clear" w:color="auto" w:fill="CCEEFF"/>
          </w:tcPr>
          <w:p>
            <w:pPr>
              <w:ind w:left="280"/>
              <w:spacing w:after="0"/>
              <w:rPr>
                <w:sz w:val="20"/>
                <w:szCs w:val="20"/>
                <w:color w:val="auto"/>
              </w:rPr>
            </w:pPr>
            <w:r>
              <w:rPr>
                <w:rFonts w:ascii="Arial" w:cs="Arial" w:eastAsia="Arial" w:hAnsi="Arial"/>
                <w:sz w:val="14"/>
                <w:szCs w:val="14"/>
                <w:color w:val="auto"/>
              </w:rPr>
              <w:t>Terminal capitalization rate</w:t>
            </w:r>
          </w:p>
        </w:tc>
        <w:tc>
          <w:tcPr>
            <w:tcW w:w="1480" w:type="dxa"/>
            <w:vAlign w:val="bottom"/>
            <w:gridSpan w:val="2"/>
            <w:vMerge w:val="restart"/>
            <w:shd w:val="clear" w:color="auto" w:fill="CCEEFF"/>
          </w:tcPr>
          <w:p>
            <w:pPr>
              <w:jc w:val="right"/>
              <w:ind w:right="340"/>
              <w:spacing w:after="0"/>
              <w:rPr>
                <w:sz w:val="20"/>
                <w:szCs w:val="20"/>
                <w:color w:val="auto"/>
              </w:rPr>
            </w:pPr>
            <w:r>
              <w:rPr>
                <w:rFonts w:ascii="Arial" w:cs="Arial" w:eastAsia="Arial" w:hAnsi="Arial"/>
                <w:sz w:val="14"/>
                <w:szCs w:val="14"/>
                <w:color w:val="auto"/>
              </w:rPr>
              <w:t>6.8%</w:t>
            </w:r>
          </w:p>
        </w:tc>
        <w:tc>
          <w:tcPr>
            <w:tcW w:w="11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6.8%</w:t>
            </w:r>
          </w:p>
        </w:tc>
        <w:tc>
          <w:tcPr>
            <w:tcW w:w="0" w:type="dxa"/>
            <w:vAlign w:val="bottom"/>
          </w:tcPr>
          <w:p>
            <w:pPr>
              <w:spacing w:after="0"/>
              <w:rPr>
                <w:sz w:val="1"/>
                <w:szCs w:val="1"/>
                <w:color w:val="auto"/>
              </w:rPr>
            </w:pPr>
          </w:p>
        </w:tc>
      </w:tr>
      <w:tr>
        <w:trPr>
          <w:trHeight w:val="130"/>
        </w:trPr>
        <w:tc>
          <w:tcPr>
            <w:tcW w:w="25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2080" w:type="dxa"/>
            <w:vAlign w:val="bottom"/>
            <w:shd w:val="clear" w:color="auto" w:fill="CCEEFF"/>
          </w:tcPr>
          <w:p>
            <w:pPr>
              <w:spacing w:after="0"/>
              <w:rPr>
                <w:sz w:val="11"/>
                <w:szCs w:val="11"/>
                <w:color w:val="auto"/>
              </w:rPr>
            </w:pPr>
          </w:p>
        </w:tc>
        <w:tc>
          <w:tcPr>
            <w:tcW w:w="2620" w:type="dxa"/>
            <w:vAlign w:val="bottom"/>
            <w:gridSpan w:val="3"/>
            <w:vMerge w:val="continue"/>
            <w:shd w:val="clear" w:color="auto" w:fill="CCEEFF"/>
          </w:tcPr>
          <w:p>
            <w:pPr>
              <w:spacing w:after="0"/>
              <w:rPr>
                <w:sz w:val="11"/>
                <w:szCs w:val="11"/>
                <w:color w:val="auto"/>
              </w:rPr>
            </w:pPr>
          </w:p>
        </w:tc>
        <w:tc>
          <w:tcPr>
            <w:tcW w:w="1480" w:type="dxa"/>
            <w:vAlign w:val="bottom"/>
            <w:gridSpan w:val="2"/>
            <w:vMerge w:val="continue"/>
            <w:shd w:val="clear" w:color="auto" w:fill="CCEEFF"/>
          </w:tcPr>
          <w:p>
            <w:pPr>
              <w:spacing w:after="0"/>
              <w:rPr>
                <w:sz w:val="11"/>
                <w:szCs w:val="11"/>
                <w:color w:val="auto"/>
              </w:rPr>
            </w:pPr>
          </w:p>
        </w:tc>
        <w:tc>
          <w:tcPr>
            <w:tcW w:w="1120" w:type="dxa"/>
            <w:vAlign w:val="bottom"/>
            <w:gridSpan w:val="2"/>
            <w:vMerge w:val="continue"/>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5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80" w:type="dxa"/>
            <w:vAlign w:val="bottom"/>
            <w:shd w:val="clear" w:color="auto" w:fill="CCEEFF"/>
          </w:tcPr>
          <w:p>
            <w:pPr>
              <w:spacing w:after="0"/>
              <w:rPr>
                <w:sz w:val="12"/>
                <w:szCs w:val="12"/>
                <w:color w:val="auto"/>
              </w:rPr>
            </w:pPr>
          </w:p>
        </w:tc>
        <w:tc>
          <w:tcPr>
            <w:tcW w:w="2620" w:type="dxa"/>
            <w:vAlign w:val="bottom"/>
            <w:gridSpan w:val="3"/>
            <w:shd w:val="clear" w:color="auto" w:fill="CCEEFF"/>
          </w:tcPr>
          <w:p>
            <w:pPr>
              <w:ind w:left="280"/>
              <w:spacing w:after="0" w:line="149" w:lineRule="exact"/>
              <w:rPr>
                <w:sz w:val="20"/>
                <w:szCs w:val="20"/>
                <w:color w:val="auto"/>
              </w:rPr>
            </w:pPr>
            <w:r>
              <w:rPr>
                <w:rFonts w:ascii="Arial" w:cs="Arial" w:eastAsia="Arial" w:hAnsi="Arial"/>
                <w:sz w:val="14"/>
                <w:szCs w:val="14"/>
                <w:color w:val="auto"/>
              </w:rPr>
              <w:t>Average market rent growth rate</w:t>
            </w:r>
          </w:p>
        </w:tc>
        <w:tc>
          <w:tcPr>
            <w:tcW w:w="1480" w:type="dxa"/>
            <w:vAlign w:val="bottom"/>
            <w:gridSpan w:val="2"/>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3.3%</w:t>
            </w:r>
          </w:p>
        </w:tc>
        <w:tc>
          <w:tcPr>
            <w:tcW w:w="11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3.3%</w:t>
            </w:r>
          </w:p>
        </w:tc>
        <w:tc>
          <w:tcPr>
            <w:tcW w:w="0" w:type="dxa"/>
            <w:vAlign w:val="bottom"/>
          </w:tcPr>
          <w:p>
            <w:pPr>
              <w:spacing w:after="0"/>
              <w:rPr>
                <w:sz w:val="1"/>
                <w:szCs w:val="1"/>
                <w:color w:val="auto"/>
              </w:rPr>
            </w:pPr>
          </w:p>
        </w:tc>
      </w:tr>
      <w:tr>
        <w:trPr>
          <w:trHeight w:val="149"/>
        </w:trPr>
        <w:tc>
          <w:tcPr>
            <w:tcW w:w="25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Discounted cash flow - equity</w:t>
            </w:r>
          </w:p>
        </w:tc>
        <w:tc>
          <w:tcPr>
            <w:tcW w:w="2620" w:type="dxa"/>
            <w:vAlign w:val="bottom"/>
            <w:gridSpan w:val="3"/>
            <w:shd w:val="clear" w:color="auto" w:fill="CCEEFF"/>
          </w:tcPr>
          <w:p>
            <w:pPr>
              <w:ind w:left="280"/>
              <w:spacing w:after="0" w:line="149" w:lineRule="exact"/>
              <w:rPr>
                <w:sz w:val="20"/>
                <w:szCs w:val="20"/>
                <w:color w:val="auto"/>
              </w:rPr>
            </w:pPr>
            <w:r>
              <w:rPr>
                <w:rFonts w:ascii="Arial" w:cs="Arial" w:eastAsia="Arial" w:hAnsi="Arial"/>
                <w:sz w:val="14"/>
                <w:szCs w:val="14"/>
                <w:color w:val="auto"/>
              </w:rPr>
              <w:t>Loan to value</w:t>
            </w:r>
          </w:p>
        </w:tc>
        <w:tc>
          <w:tcPr>
            <w:tcW w:w="1480" w:type="dxa"/>
            <w:vAlign w:val="bottom"/>
            <w:gridSpan w:val="2"/>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54.9%</w:t>
            </w:r>
          </w:p>
        </w:tc>
        <w:tc>
          <w:tcPr>
            <w:tcW w:w="11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54.9%</w:t>
            </w:r>
          </w:p>
        </w:tc>
        <w:tc>
          <w:tcPr>
            <w:tcW w:w="0" w:type="dxa"/>
            <w:vAlign w:val="bottom"/>
          </w:tcPr>
          <w:p>
            <w:pPr>
              <w:spacing w:after="0"/>
              <w:rPr>
                <w:sz w:val="1"/>
                <w:szCs w:val="1"/>
                <w:color w:val="auto"/>
              </w:rPr>
            </w:pPr>
          </w:p>
        </w:tc>
      </w:tr>
      <w:tr>
        <w:trPr>
          <w:trHeight w:val="149"/>
        </w:trPr>
        <w:tc>
          <w:tcPr>
            <w:tcW w:w="25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80" w:type="dxa"/>
            <w:vAlign w:val="bottom"/>
            <w:shd w:val="clear" w:color="auto" w:fill="CCEEFF"/>
          </w:tcPr>
          <w:p>
            <w:pPr>
              <w:ind w:left="180"/>
              <w:spacing w:after="0" w:line="149" w:lineRule="exact"/>
              <w:rPr>
                <w:sz w:val="20"/>
                <w:szCs w:val="20"/>
                <w:color w:val="auto"/>
              </w:rPr>
            </w:pPr>
            <w:r>
              <w:rPr>
                <w:rFonts w:ascii="Arial" w:cs="Arial" w:eastAsia="Arial" w:hAnsi="Arial"/>
                <w:sz w:val="14"/>
                <w:szCs w:val="14"/>
                <w:color w:val="auto"/>
                <w:w w:val="92"/>
              </w:rPr>
              <w:t>method real estate investments -</w:t>
            </w: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54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debt</w:t>
            </w:r>
          </w:p>
        </w:tc>
        <w:tc>
          <w:tcPr>
            <w:tcW w:w="2620" w:type="dxa"/>
            <w:vAlign w:val="bottom"/>
            <w:gridSpan w:val="3"/>
            <w:vMerge w:val="restart"/>
            <w:shd w:val="clear" w:color="auto" w:fill="CCEEFF"/>
          </w:tcPr>
          <w:p>
            <w:pPr>
              <w:ind w:left="280"/>
              <w:spacing w:after="0"/>
              <w:rPr>
                <w:sz w:val="20"/>
                <w:szCs w:val="20"/>
                <w:color w:val="auto"/>
              </w:rPr>
            </w:pPr>
            <w:r>
              <w:rPr>
                <w:rFonts w:ascii="Arial" w:cs="Arial" w:eastAsia="Arial" w:hAnsi="Arial"/>
                <w:sz w:val="14"/>
                <w:szCs w:val="14"/>
                <w:color w:val="auto"/>
              </w:rPr>
              <w:t>Credit spread rate</w:t>
            </w:r>
          </w:p>
        </w:tc>
        <w:tc>
          <w:tcPr>
            <w:tcW w:w="1480" w:type="dxa"/>
            <w:vAlign w:val="bottom"/>
            <w:gridSpan w:val="2"/>
            <w:vMerge w:val="restart"/>
            <w:shd w:val="clear" w:color="auto" w:fill="CCEEFF"/>
          </w:tcPr>
          <w:p>
            <w:pPr>
              <w:jc w:val="right"/>
              <w:ind w:right="340"/>
              <w:spacing w:after="0"/>
              <w:rPr>
                <w:sz w:val="20"/>
                <w:szCs w:val="20"/>
                <w:color w:val="auto"/>
              </w:rPr>
            </w:pPr>
            <w:r>
              <w:rPr>
                <w:rFonts w:ascii="Arial" w:cs="Arial" w:eastAsia="Arial" w:hAnsi="Arial"/>
                <w:sz w:val="14"/>
                <w:szCs w:val="14"/>
                <w:color w:val="auto"/>
              </w:rPr>
              <w:t>2.3%</w:t>
            </w:r>
          </w:p>
        </w:tc>
        <w:tc>
          <w:tcPr>
            <w:tcW w:w="11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149"/>
        </w:trPr>
        <w:tc>
          <w:tcPr>
            <w:tcW w:w="25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80" w:type="dxa"/>
            <w:vAlign w:val="bottom"/>
            <w:shd w:val="clear" w:color="auto" w:fill="CCEEFF"/>
          </w:tcPr>
          <w:p>
            <w:pPr>
              <w:spacing w:after="0"/>
              <w:rPr>
                <w:sz w:val="12"/>
                <w:szCs w:val="12"/>
                <w:color w:val="auto"/>
              </w:rPr>
            </w:pPr>
          </w:p>
        </w:tc>
        <w:tc>
          <w:tcPr>
            <w:tcW w:w="2620" w:type="dxa"/>
            <w:vAlign w:val="bottom"/>
            <w:gridSpan w:val="3"/>
            <w:vMerge w:val="continue"/>
            <w:shd w:val="clear" w:color="auto" w:fill="CCEEFF"/>
          </w:tcPr>
          <w:p>
            <w:pPr>
              <w:spacing w:after="0"/>
              <w:rPr>
                <w:sz w:val="12"/>
                <w:szCs w:val="12"/>
                <w:color w:val="auto"/>
              </w:rPr>
            </w:pPr>
          </w:p>
        </w:tc>
        <w:tc>
          <w:tcPr>
            <w:tcW w:w="1480" w:type="dxa"/>
            <w:vAlign w:val="bottom"/>
            <w:gridSpan w:val="2"/>
            <w:vMerge w:val="continue"/>
            <w:shd w:val="clear" w:color="auto" w:fill="CCEEFF"/>
          </w:tcPr>
          <w:p>
            <w:pPr>
              <w:spacing w:after="0"/>
              <w:rPr>
                <w:sz w:val="12"/>
                <w:szCs w:val="12"/>
                <w:color w:val="auto"/>
              </w:rPr>
            </w:pPr>
          </w:p>
        </w:tc>
        <w:tc>
          <w:tcPr>
            <w:tcW w:w="1120" w:type="dxa"/>
            <w:vAlign w:val="bottom"/>
            <w:gridSpan w:val="2"/>
            <w:vMerge w:val="continue"/>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p>
      <w:pPr>
        <w:ind w:left="6220"/>
        <w:spacing w:after="0"/>
        <w:rPr>
          <w:sz w:val="20"/>
          <w:szCs w:val="20"/>
          <w:color w:val="auto"/>
        </w:rPr>
      </w:pPr>
      <w:r>
        <w:rPr>
          <w:rFonts w:ascii="Arial" w:cs="Arial" w:eastAsia="Arial" w:hAnsi="Arial"/>
          <w:sz w:val="14"/>
          <w:szCs w:val="14"/>
          <w:b w:val="1"/>
          <w:bCs w:val="1"/>
          <w:color w:val="auto"/>
        </w:rPr>
        <w:t>As of September 30,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1814830</wp:posOffset>
            </wp:positionH>
            <wp:positionV relativeFrom="paragraph">
              <wp:posOffset>6350</wp:posOffset>
            </wp:positionV>
            <wp:extent cx="5248275"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5248275" cy="8890"/>
                    </a:xfrm>
                    <a:prstGeom prst="rect">
                      <a:avLst/>
                    </a:prstGeom>
                    <a:noFill/>
                  </pic:spPr>
                </pic:pic>
              </a:graphicData>
            </a:graphic>
          </wp:anchor>
        </w:drawing>
      </w:r>
    </w:p>
    <w:tbl>
      <w:tblPr>
        <w:tblLayout w:type="fixed"/>
        <w:tblInd w:w="3000" w:type="dxa"/>
        <w:tblCellMar>
          <w:top w:w="0" w:type="dxa"/>
          <w:left w:w="0" w:type="dxa"/>
          <w:bottom w:w="0" w:type="dxa"/>
          <w:right w:w="0" w:type="dxa"/>
        </w:tblCellMar>
      </w:tblPr>
      <w:tr>
        <w:trPr>
          <w:trHeight w:val="150"/>
        </w:trPr>
        <w:tc>
          <w:tcPr>
            <w:tcW w:w="1340" w:type="dxa"/>
            <w:vAlign w:val="bottom"/>
          </w:tcPr>
          <w:p>
            <w:pPr>
              <w:jc w:val="center"/>
              <w:ind w:right="528"/>
              <w:spacing w:after="0" w:line="150" w:lineRule="exact"/>
              <w:rPr>
                <w:sz w:val="20"/>
                <w:szCs w:val="20"/>
                <w:color w:val="auto"/>
              </w:rPr>
            </w:pPr>
            <w:r>
              <w:rPr>
                <w:rFonts w:ascii="Arial" w:cs="Arial" w:eastAsia="Arial" w:hAnsi="Arial"/>
                <w:sz w:val="14"/>
                <w:szCs w:val="14"/>
                <w:b w:val="1"/>
                <w:bCs w:val="1"/>
                <w:color w:val="auto"/>
                <w:w w:val="85"/>
              </w:rPr>
              <w:t>Assets /</w:t>
            </w:r>
          </w:p>
        </w:tc>
        <w:tc>
          <w:tcPr>
            <w:tcW w:w="1980" w:type="dxa"/>
            <w:vAlign w:val="bottom"/>
          </w:tcPr>
          <w:p>
            <w:pPr>
              <w:spacing w:after="0"/>
              <w:rPr>
                <w:sz w:val="13"/>
                <w:szCs w:val="13"/>
                <w:color w:val="auto"/>
              </w:rPr>
            </w:pPr>
          </w:p>
        </w:tc>
        <w:tc>
          <w:tcPr>
            <w:tcW w:w="2160" w:type="dxa"/>
            <w:vAlign w:val="bottom"/>
          </w:tcPr>
          <w:p>
            <w:pPr>
              <w:spacing w:after="0"/>
              <w:rPr>
                <w:sz w:val="13"/>
                <w:szCs w:val="13"/>
                <w:color w:val="auto"/>
              </w:rPr>
            </w:pPr>
          </w:p>
        </w:tc>
        <w:tc>
          <w:tcPr>
            <w:tcW w:w="16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340" w:type="dxa"/>
            <w:vAlign w:val="bottom"/>
          </w:tcPr>
          <w:p>
            <w:pPr>
              <w:jc w:val="center"/>
              <w:ind w:right="528"/>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980" w:type="dxa"/>
            <w:vAlign w:val="bottom"/>
            <w:vMerge w:val="restart"/>
          </w:tcPr>
          <w:p>
            <w:pPr>
              <w:ind w:left="580"/>
              <w:spacing w:after="0"/>
              <w:rPr>
                <w:sz w:val="20"/>
                <w:szCs w:val="20"/>
                <w:color w:val="auto"/>
              </w:rPr>
            </w:pPr>
            <w:r>
              <w:rPr>
                <w:rFonts w:ascii="Arial" w:cs="Arial" w:eastAsia="Arial" w:hAnsi="Arial"/>
                <w:sz w:val="14"/>
                <w:szCs w:val="14"/>
                <w:b w:val="1"/>
                <w:bCs w:val="1"/>
                <w:color w:val="auto"/>
              </w:rPr>
              <w:t>Valuation</w:t>
            </w:r>
          </w:p>
        </w:tc>
        <w:tc>
          <w:tcPr>
            <w:tcW w:w="2160" w:type="dxa"/>
            <w:vAlign w:val="bottom"/>
            <w:vMerge w:val="restart"/>
          </w:tcPr>
          <w:p>
            <w:pPr>
              <w:ind w:left="800"/>
              <w:spacing w:after="0"/>
              <w:rPr>
                <w:sz w:val="20"/>
                <w:szCs w:val="20"/>
                <w:color w:val="auto"/>
              </w:rPr>
            </w:pPr>
            <w:r>
              <w:rPr>
                <w:rFonts w:ascii="Arial" w:cs="Arial" w:eastAsia="Arial" w:hAnsi="Arial"/>
                <w:sz w:val="14"/>
                <w:szCs w:val="14"/>
                <w:b w:val="1"/>
                <w:bCs w:val="1"/>
                <w:color w:val="auto"/>
              </w:rPr>
              <w:t>Unobservable</w:t>
            </w:r>
          </w:p>
        </w:tc>
        <w:tc>
          <w:tcPr>
            <w:tcW w:w="1660" w:type="dxa"/>
            <w:vAlign w:val="bottom"/>
            <w:vMerge w:val="restart"/>
          </w:tcPr>
          <w:p>
            <w:pPr>
              <w:ind w:left="500"/>
              <w:spacing w:after="0"/>
              <w:rPr>
                <w:sz w:val="20"/>
                <w:szCs w:val="20"/>
                <w:color w:val="auto"/>
              </w:rPr>
            </w:pPr>
            <w:r>
              <w:rPr>
                <w:rFonts w:ascii="Arial" w:cs="Arial" w:eastAsia="Arial" w:hAnsi="Arial"/>
                <w:sz w:val="14"/>
                <w:szCs w:val="14"/>
                <w:b w:val="1"/>
                <w:bCs w:val="1"/>
                <w:color w:val="auto"/>
              </w:rPr>
              <w:t>Input/range of</w:t>
            </w:r>
          </w:p>
        </w:tc>
        <w:tc>
          <w:tcPr>
            <w:tcW w:w="880" w:type="dxa"/>
            <w:vAlign w:val="bottom"/>
            <w:vMerge w:val="restart"/>
          </w:tcPr>
          <w:p>
            <w:pPr>
              <w:ind w:left="300"/>
              <w:spacing w:after="0"/>
              <w:rPr>
                <w:sz w:val="20"/>
                <w:szCs w:val="20"/>
                <w:color w:val="auto"/>
              </w:rPr>
            </w:pPr>
            <w:r>
              <w:rPr>
                <w:rFonts w:ascii="Arial" w:cs="Arial" w:eastAsia="Arial" w:hAnsi="Arial"/>
                <w:sz w:val="14"/>
                <w:szCs w:val="14"/>
                <w:b w:val="1"/>
                <w:bCs w:val="1"/>
                <w:color w:val="auto"/>
                <w:w w:val="88"/>
              </w:rPr>
              <w:t>Weighted</w:t>
            </w:r>
          </w:p>
        </w:tc>
        <w:tc>
          <w:tcPr>
            <w:tcW w:w="0" w:type="dxa"/>
            <w:vAlign w:val="bottom"/>
          </w:tcPr>
          <w:p>
            <w:pPr>
              <w:spacing w:after="0"/>
              <w:rPr>
                <w:sz w:val="1"/>
                <w:szCs w:val="1"/>
                <w:color w:val="auto"/>
              </w:rPr>
            </w:pPr>
          </w:p>
        </w:tc>
      </w:tr>
      <w:tr>
        <w:trPr>
          <w:trHeight w:val="186"/>
        </w:trPr>
        <w:tc>
          <w:tcPr>
            <w:tcW w:w="1340" w:type="dxa"/>
            <w:vAlign w:val="bottom"/>
          </w:tcPr>
          <w:p>
            <w:pPr>
              <w:jc w:val="center"/>
              <w:ind w:right="508"/>
              <w:spacing w:after="0"/>
              <w:rPr>
                <w:sz w:val="20"/>
                <w:szCs w:val="20"/>
                <w:color w:val="auto"/>
              </w:rPr>
            </w:pPr>
            <w:r>
              <w:rPr>
                <w:rFonts w:ascii="Arial" w:cs="Arial" w:eastAsia="Arial" w:hAnsi="Arial"/>
                <w:sz w:val="14"/>
                <w:szCs w:val="14"/>
                <w:b w:val="1"/>
                <w:bCs w:val="1"/>
                <w:color w:val="auto"/>
                <w:w w:val="92"/>
              </w:rPr>
              <w:t>measured at</w:t>
            </w:r>
          </w:p>
        </w:tc>
        <w:tc>
          <w:tcPr>
            <w:tcW w:w="1980" w:type="dxa"/>
            <w:vAlign w:val="bottom"/>
            <w:vMerge w:val="continue"/>
          </w:tcPr>
          <w:p>
            <w:pPr>
              <w:spacing w:after="0"/>
              <w:rPr>
                <w:sz w:val="16"/>
                <w:szCs w:val="16"/>
                <w:color w:val="auto"/>
              </w:rPr>
            </w:pPr>
          </w:p>
        </w:tc>
        <w:tc>
          <w:tcPr>
            <w:tcW w:w="2160" w:type="dxa"/>
            <w:vAlign w:val="bottom"/>
            <w:vMerge w:val="continue"/>
          </w:tcPr>
          <w:p>
            <w:pPr>
              <w:spacing w:after="0"/>
              <w:rPr>
                <w:sz w:val="16"/>
                <w:szCs w:val="16"/>
                <w:color w:val="auto"/>
              </w:rPr>
            </w:pPr>
          </w:p>
        </w:tc>
        <w:tc>
          <w:tcPr>
            <w:tcW w:w="1660" w:type="dxa"/>
            <w:vAlign w:val="bottom"/>
            <w:vMerge w:val="continue"/>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40" w:right="239" w:bottom="0" w:gutter="0" w:footer="0" w:header="0"/>
        </w:sectPr>
      </w:pPr>
    </w:p>
    <w:bookmarkStart w:id="45" w:name="page46"/>
    <w:bookmarkEnd w:id="4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2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7"/>
              </w:rPr>
              <w:t>fair value</w:t>
            </w:r>
          </w:p>
        </w:tc>
        <w:tc>
          <w:tcPr>
            <w:tcW w:w="18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Arial" w:cs="Arial" w:eastAsia="Arial" w:hAnsi="Arial"/>
                <w:sz w:val="14"/>
                <w:szCs w:val="14"/>
                <w:b w:val="1"/>
                <w:bCs w:val="1"/>
                <w:color w:val="auto"/>
                <w:w w:val="88"/>
              </w:rPr>
              <w:t>technique(s)</w:t>
            </w:r>
          </w:p>
        </w:tc>
        <w:tc>
          <w:tcPr>
            <w:tcW w:w="28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Arial" w:cs="Arial" w:eastAsia="Arial" w:hAnsi="Arial"/>
                <w:sz w:val="14"/>
                <w:szCs w:val="14"/>
                <w:b w:val="1"/>
                <w:bCs w:val="1"/>
                <w:color w:val="auto"/>
                <w:w w:val="91"/>
              </w:rPr>
              <w:t>input description</w:t>
            </w:r>
          </w:p>
        </w:tc>
        <w:tc>
          <w:tcPr>
            <w:tcW w:w="280" w:type="dxa"/>
            <w:vAlign w:val="bottom"/>
          </w:tcPr>
          <w:p>
            <w:pPr>
              <w:spacing w:after="0"/>
              <w:rPr>
                <w:sz w:val="14"/>
                <w:szCs w:val="14"/>
                <w:color w:val="auto"/>
              </w:rPr>
            </w:pPr>
          </w:p>
        </w:tc>
        <w:tc>
          <w:tcPr>
            <w:tcW w:w="14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inputs</w:t>
            </w:r>
          </w:p>
        </w:tc>
        <w:tc>
          <w:tcPr>
            <w:tcW w:w="11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average</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jc w:val="center"/>
              <w:ind w:right="49"/>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Borders>
              <w:top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56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Separate account assets</w:t>
            </w: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40" w:type="dxa"/>
            <w:vAlign w:val="bottom"/>
            <w:gridSpan w:val="2"/>
            <w:shd w:val="clear" w:color="auto" w:fill="CCEEFF"/>
          </w:tcPr>
          <w:p>
            <w:pPr>
              <w:jc w:val="right"/>
              <w:ind w:right="100"/>
              <w:spacing w:after="0" w:line="130" w:lineRule="exact"/>
              <w:rPr>
                <w:sz w:val="20"/>
                <w:szCs w:val="20"/>
                <w:color w:val="auto"/>
              </w:rPr>
            </w:pPr>
            <w:r>
              <w:rPr>
                <w:rFonts w:ascii="Arial" w:cs="Arial" w:eastAsia="Arial" w:hAnsi="Arial"/>
                <w:sz w:val="14"/>
                <w:szCs w:val="14"/>
                <w:b w:val="1"/>
                <w:bCs w:val="1"/>
                <w:color w:val="auto"/>
              </w:rPr>
              <w:t>6,616.4</w:t>
            </w:r>
          </w:p>
        </w:tc>
        <w:tc>
          <w:tcPr>
            <w:tcW w:w="1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Discounted cash flow - mortgage</w:t>
            </w:r>
          </w:p>
        </w:tc>
        <w:tc>
          <w:tcPr>
            <w:tcW w:w="2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 rate (1)</w:t>
            </w:r>
          </w:p>
        </w:tc>
        <w:tc>
          <w:tcPr>
            <w:tcW w:w="1740" w:type="dxa"/>
            <w:vAlign w:val="bottom"/>
            <w:gridSpan w:val="3"/>
            <w:shd w:val="clear" w:color="auto" w:fill="CCEEFF"/>
          </w:tcPr>
          <w:p>
            <w:pPr>
              <w:jc w:val="right"/>
              <w:ind w:right="340"/>
              <w:spacing w:after="0" w:line="130" w:lineRule="exact"/>
              <w:rPr>
                <w:sz w:val="20"/>
                <w:szCs w:val="20"/>
                <w:color w:val="auto"/>
              </w:rPr>
            </w:pPr>
            <w:r>
              <w:rPr>
                <w:rFonts w:ascii="Arial" w:cs="Arial" w:eastAsia="Arial" w:hAnsi="Arial"/>
                <w:sz w:val="14"/>
                <w:szCs w:val="14"/>
                <w:color w:val="auto"/>
              </w:rPr>
              <w:t>1.1%-7.1%</w:t>
            </w:r>
          </w:p>
        </w:tc>
        <w:tc>
          <w:tcPr>
            <w:tcW w:w="1100" w:type="dxa"/>
            <w:vAlign w:val="bottom"/>
            <w:gridSpan w:val="2"/>
            <w:shd w:val="clear" w:color="auto" w:fill="CCEEFF"/>
          </w:tcPr>
          <w:p>
            <w:pPr>
              <w:jc w:val="right"/>
              <w:ind w:right="180"/>
              <w:spacing w:after="0" w:line="130" w:lineRule="exact"/>
              <w:rPr>
                <w:sz w:val="20"/>
                <w:szCs w:val="20"/>
                <w:color w:val="auto"/>
              </w:rPr>
            </w:pPr>
            <w:r>
              <w:rPr>
                <w:rFonts w:ascii="Arial" w:cs="Arial" w:eastAsia="Arial" w:hAnsi="Arial"/>
                <w:sz w:val="14"/>
                <w:szCs w:val="14"/>
                <w:color w:val="auto"/>
              </w:rPr>
              <w:t>3.3%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28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20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loans</w:t>
            </w:r>
          </w:p>
        </w:tc>
        <w:tc>
          <w:tcPr>
            <w:tcW w:w="280" w:type="dxa"/>
            <w:vAlign w:val="bottom"/>
            <w:shd w:val="clear" w:color="auto" w:fill="CCEEFF"/>
          </w:tcPr>
          <w:p>
            <w:pPr>
              <w:spacing w:after="0"/>
              <w:rPr>
                <w:sz w:val="14"/>
                <w:szCs w:val="14"/>
                <w:color w:val="auto"/>
              </w:rPr>
            </w:pPr>
          </w:p>
        </w:tc>
        <w:tc>
          <w:tcPr>
            <w:tcW w:w="2060" w:type="dxa"/>
            <w:vAlign w:val="bottom"/>
            <w:vMerge w:val="restart"/>
            <w:shd w:val="clear" w:color="auto" w:fill="CCEEFF"/>
          </w:tcPr>
          <w:p>
            <w:pPr>
              <w:spacing w:after="0"/>
              <w:rPr>
                <w:sz w:val="20"/>
                <w:szCs w:val="20"/>
                <w:color w:val="auto"/>
              </w:rPr>
            </w:pPr>
            <w:r>
              <w:rPr>
                <w:rFonts w:ascii="Arial" w:cs="Arial" w:eastAsia="Arial" w:hAnsi="Arial"/>
                <w:sz w:val="14"/>
                <w:szCs w:val="14"/>
                <w:color w:val="auto"/>
              </w:rPr>
              <w:t>Illiquidity premium</w:t>
            </w:r>
          </w:p>
        </w:tc>
        <w:tc>
          <w:tcPr>
            <w:tcW w:w="280" w:type="dxa"/>
            <w:vAlign w:val="bottom"/>
            <w:shd w:val="clear" w:color="auto" w:fill="CCEEFF"/>
          </w:tcPr>
          <w:p>
            <w:pPr>
              <w:spacing w:after="0"/>
              <w:rPr>
                <w:sz w:val="14"/>
                <w:szCs w:val="14"/>
                <w:color w:val="auto"/>
              </w:rPr>
            </w:pPr>
          </w:p>
        </w:tc>
        <w:tc>
          <w:tcPr>
            <w:tcW w:w="1460" w:type="dxa"/>
            <w:vAlign w:val="bottom"/>
            <w:gridSpan w:val="2"/>
            <w:vMerge w:val="restart"/>
            <w:shd w:val="clear" w:color="auto" w:fill="CCEEFF"/>
          </w:tcPr>
          <w:p>
            <w:pPr>
              <w:jc w:val="right"/>
              <w:ind w:right="340"/>
              <w:spacing w:after="0"/>
              <w:rPr>
                <w:sz w:val="20"/>
                <w:szCs w:val="20"/>
                <w:color w:val="auto"/>
              </w:rPr>
            </w:pPr>
            <w:r>
              <w:rPr>
                <w:rFonts w:ascii="Arial" w:cs="Arial" w:eastAsia="Arial" w:hAnsi="Arial"/>
                <w:sz w:val="14"/>
                <w:szCs w:val="14"/>
                <w:color w:val="auto"/>
              </w:rPr>
              <w:t>0bps-60bps</w:t>
            </w:r>
          </w:p>
        </w:tc>
        <w:tc>
          <w:tcPr>
            <w:tcW w:w="11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rPr>
              <w:t>7bps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2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2060" w:type="dxa"/>
            <w:vAlign w:val="bottom"/>
            <w:vMerge w:val="continue"/>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460" w:type="dxa"/>
            <w:vAlign w:val="bottom"/>
            <w:gridSpan w:val="2"/>
            <w:vMerge w:val="continue"/>
            <w:shd w:val="clear" w:color="auto" w:fill="CCEEFF"/>
          </w:tcPr>
          <w:p>
            <w:pPr>
              <w:spacing w:after="0"/>
              <w:rPr>
                <w:sz w:val="11"/>
                <w:szCs w:val="11"/>
                <w:color w:val="auto"/>
              </w:rPr>
            </w:pPr>
          </w:p>
        </w:tc>
        <w:tc>
          <w:tcPr>
            <w:tcW w:w="1100" w:type="dxa"/>
            <w:vAlign w:val="bottom"/>
            <w:gridSpan w:val="2"/>
            <w:vMerge w:val="continue"/>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Credit spread rate</w:t>
            </w:r>
          </w:p>
        </w:tc>
        <w:tc>
          <w:tcPr>
            <w:tcW w:w="280" w:type="dxa"/>
            <w:vAlign w:val="bottom"/>
            <w:shd w:val="clear" w:color="auto" w:fill="CCEEFF"/>
          </w:tcPr>
          <w:p>
            <w:pPr>
              <w:spacing w:after="0"/>
              <w:rPr>
                <w:sz w:val="12"/>
                <w:szCs w:val="12"/>
                <w:color w:val="auto"/>
              </w:rPr>
            </w:pPr>
          </w:p>
        </w:tc>
        <w:tc>
          <w:tcPr>
            <w:tcW w:w="1460" w:type="dxa"/>
            <w:vAlign w:val="bottom"/>
            <w:gridSpan w:val="2"/>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85bps-665bps</w:t>
            </w:r>
          </w:p>
        </w:tc>
        <w:tc>
          <w:tcPr>
            <w:tcW w:w="11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226bps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7"/>
              </w:rPr>
              <w:t>Discounted cash flow - real estate</w:t>
            </w: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Discount rate (1)</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5.6%-38.1%</w:t>
            </w: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7.3%</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Terminal capitalization rate</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4.3%-9.5%</w:t>
            </w: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6.2%</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Average market rent growth rate</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0%-4.4%</w:t>
            </w: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3.1%</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7"/>
              </w:rPr>
              <w:t>Discounted cash flow - real estate</w:t>
            </w: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Loan to value</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15.3%-65.2%</w:t>
            </w: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45.8%</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28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20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debt</w:t>
            </w:r>
          </w:p>
        </w:tc>
        <w:tc>
          <w:tcPr>
            <w:tcW w:w="280" w:type="dxa"/>
            <w:vAlign w:val="bottom"/>
            <w:shd w:val="clear" w:color="auto" w:fill="CCEEFF"/>
          </w:tcPr>
          <w:p>
            <w:pPr>
              <w:spacing w:after="0"/>
              <w:rPr>
                <w:sz w:val="14"/>
                <w:szCs w:val="14"/>
                <w:color w:val="auto"/>
              </w:rPr>
            </w:pPr>
          </w:p>
        </w:tc>
        <w:tc>
          <w:tcPr>
            <w:tcW w:w="2060" w:type="dxa"/>
            <w:vAlign w:val="bottom"/>
            <w:vMerge w:val="restart"/>
            <w:shd w:val="clear" w:color="auto" w:fill="CCEEFF"/>
          </w:tcPr>
          <w:p>
            <w:pPr>
              <w:spacing w:after="0"/>
              <w:rPr>
                <w:sz w:val="20"/>
                <w:szCs w:val="20"/>
                <w:color w:val="auto"/>
              </w:rPr>
            </w:pPr>
            <w:r>
              <w:rPr>
                <w:rFonts w:ascii="Arial" w:cs="Arial" w:eastAsia="Arial" w:hAnsi="Arial"/>
                <w:sz w:val="14"/>
                <w:szCs w:val="14"/>
                <w:color w:val="auto"/>
              </w:rPr>
              <w:t>Credit spread rate</w:t>
            </w:r>
          </w:p>
        </w:tc>
        <w:tc>
          <w:tcPr>
            <w:tcW w:w="1740" w:type="dxa"/>
            <w:vAlign w:val="bottom"/>
            <w:gridSpan w:val="3"/>
            <w:vMerge w:val="restart"/>
            <w:shd w:val="clear" w:color="auto" w:fill="CCEEFF"/>
          </w:tcPr>
          <w:p>
            <w:pPr>
              <w:jc w:val="right"/>
              <w:ind w:right="340"/>
              <w:spacing w:after="0"/>
              <w:rPr>
                <w:sz w:val="20"/>
                <w:szCs w:val="20"/>
                <w:color w:val="auto"/>
              </w:rPr>
            </w:pPr>
            <w:r>
              <w:rPr>
                <w:rFonts w:ascii="Arial" w:cs="Arial" w:eastAsia="Arial" w:hAnsi="Arial"/>
                <w:sz w:val="14"/>
                <w:szCs w:val="14"/>
                <w:color w:val="auto"/>
              </w:rPr>
              <w:t>1.6%-4.3%</w:t>
            </w:r>
          </w:p>
        </w:tc>
        <w:tc>
          <w:tcPr>
            <w:tcW w:w="110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2.3%</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vMerge w:val="continue"/>
            <w:shd w:val="clear" w:color="auto" w:fill="CCEEFF"/>
          </w:tcPr>
          <w:p>
            <w:pPr>
              <w:spacing w:after="0"/>
              <w:rPr>
                <w:sz w:val="12"/>
                <w:szCs w:val="12"/>
                <w:color w:val="auto"/>
              </w:rPr>
            </w:pPr>
          </w:p>
        </w:tc>
        <w:tc>
          <w:tcPr>
            <w:tcW w:w="1740" w:type="dxa"/>
            <w:vAlign w:val="bottom"/>
            <w:gridSpan w:val="3"/>
            <w:vMerge w:val="continue"/>
            <w:shd w:val="clear" w:color="auto" w:fill="CCEEFF"/>
          </w:tcPr>
          <w:p>
            <w:pPr>
              <w:spacing w:after="0"/>
              <w:rPr>
                <w:sz w:val="12"/>
                <w:szCs w:val="12"/>
                <w:color w:val="auto"/>
              </w:rPr>
            </w:pPr>
          </w:p>
        </w:tc>
        <w:tc>
          <w:tcPr>
            <w:tcW w:w="1100" w:type="dxa"/>
            <w:vAlign w:val="bottom"/>
            <w:gridSpan w:val="2"/>
            <w:vMerge w:val="continue"/>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6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Liabilities</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56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Investment-type insurance contracts</w:t>
            </w: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40" w:type="dxa"/>
            <w:vAlign w:val="bottom"/>
            <w:gridSpan w:val="2"/>
            <w:shd w:val="clear" w:color="auto" w:fill="CCEEFF"/>
          </w:tcPr>
          <w:p>
            <w:pPr>
              <w:jc w:val="right"/>
              <w:ind w:right="60"/>
              <w:spacing w:after="0" w:line="130" w:lineRule="exact"/>
              <w:rPr>
                <w:sz w:val="20"/>
                <w:szCs w:val="20"/>
                <w:color w:val="auto"/>
              </w:rPr>
            </w:pPr>
            <w:r>
              <w:rPr>
                <w:rFonts w:ascii="Arial" w:cs="Arial" w:eastAsia="Arial" w:hAnsi="Arial"/>
                <w:sz w:val="14"/>
                <w:szCs w:val="14"/>
                <w:b w:val="1"/>
                <w:bCs w:val="1"/>
                <w:color w:val="auto"/>
              </w:rPr>
              <w:t>(210.3)</w:t>
            </w:r>
          </w:p>
        </w:tc>
        <w:tc>
          <w:tcPr>
            <w:tcW w:w="1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Discounted cash flow</w:t>
            </w:r>
          </w:p>
        </w:tc>
        <w:tc>
          <w:tcPr>
            <w:tcW w:w="2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Long duration interest rate</w:t>
            </w:r>
          </w:p>
        </w:tc>
        <w:tc>
          <w:tcPr>
            <w:tcW w:w="1740" w:type="dxa"/>
            <w:vAlign w:val="bottom"/>
            <w:gridSpan w:val="3"/>
            <w:shd w:val="clear" w:color="auto" w:fill="CCEEFF"/>
          </w:tcPr>
          <w:p>
            <w:pPr>
              <w:jc w:val="right"/>
              <w:ind w:right="160"/>
              <w:spacing w:after="0" w:line="130" w:lineRule="exact"/>
              <w:rPr>
                <w:sz w:val="20"/>
                <w:szCs w:val="20"/>
                <w:color w:val="auto"/>
              </w:rPr>
            </w:pPr>
            <w:r>
              <w:rPr>
                <w:rFonts w:ascii="Arial" w:cs="Arial" w:eastAsia="Arial" w:hAnsi="Arial"/>
                <w:sz w:val="14"/>
                <w:szCs w:val="14"/>
                <w:color w:val="auto"/>
              </w:rPr>
              <w:t>2.4%-2.5%(3)</w:t>
            </w:r>
          </w:p>
        </w:tc>
        <w:tc>
          <w:tcPr>
            <w:tcW w:w="8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9"/>
              </w:rPr>
              <w:t>Long-term equity market volatility</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14.9%-44.9%</w:t>
            </w:r>
          </w:p>
        </w:tc>
        <w:tc>
          <w:tcPr>
            <w:tcW w:w="8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Non-performance risk</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0.5%-1.9%</w:t>
            </w:r>
          </w:p>
        </w:tc>
        <w:tc>
          <w:tcPr>
            <w:tcW w:w="8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Utilization rate</w:t>
            </w:r>
          </w:p>
        </w:tc>
        <w:tc>
          <w:tcPr>
            <w:tcW w:w="280" w:type="dxa"/>
            <w:vAlign w:val="bottom"/>
            <w:shd w:val="clear" w:color="auto" w:fill="CCEEFF"/>
          </w:tcPr>
          <w:p>
            <w:pPr>
              <w:spacing w:after="0"/>
              <w:rPr>
                <w:sz w:val="12"/>
                <w:szCs w:val="12"/>
                <w:color w:val="auto"/>
              </w:rPr>
            </w:pPr>
          </w:p>
        </w:tc>
        <w:tc>
          <w:tcPr>
            <w:tcW w:w="14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See note(4)</w:t>
            </w:r>
          </w:p>
        </w:tc>
        <w:tc>
          <w:tcPr>
            <w:tcW w:w="8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Lapse rate</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0.5%-14.1%</w:t>
            </w:r>
          </w:p>
        </w:tc>
        <w:tc>
          <w:tcPr>
            <w:tcW w:w="8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28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60" w:type="dxa"/>
            <w:vAlign w:val="bottom"/>
            <w:shd w:val="clear" w:color="auto" w:fill="CCEEFF"/>
          </w:tcPr>
          <w:p>
            <w:pPr>
              <w:spacing w:after="0"/>
              <w:rPr>
                <w:sz w:val="20"/>
                <w:szCs w:val="20"/>
                <w:color w:val="auto"/>
              </w:rPr>
            </w:pPr>
            <w:r>
              <w:rPr>
                <w:rFonts w:ascii="Arial" w:cs="Arial" w:eastAsia="Arial" w:hAnsi="Arial"/>
                <w:sz w:val="14"/>
                <w:szCs w:val="14"/>
                <w:color w:val="auto"/>
              </w:rPr>
              <w:t>Mortality rate</w:t>
            </w:r>
          </w:p>
        </w:tc>
        <w:tc>
          <w:tcPr>
            <w:tcW w:w="280" w:type="dxa"/>
            <w:vAlign w:val="bottom"/>
            <w:shd w:val="clear" w:color="auto" w:fill="CCEEFF"/>
          </w:tcPr>
          <w:p>
            <w:pPr>
              <w:spacing w:after="0"/>
              <w:rPr>
                <w:sz w:val="14"/>
                <w:szCs w:val="14"/>
                <w:color w:val="auto"/>
              </w:rPr>
            </w:pPr>
          </w:p>
        </w:tc>
        <w:tc>
          <w:tcPr>
            <w:tcW w:w="14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See note(5)</w:t>
            </w:r>
          </w:p>
        </w:tc>
        <w:tc>
          <w:tcPr>
            <w:tcW w:w="8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65"/>
        </w:trPr>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gridSpan w:val="2"/>
          </w:tcPr>
          <w:p>
            <w:pPr>
              <w:ind w:left="160"/>
              <w:spacing w:after="0"/>
              <w:rPr>
                <w:sz w:val="20"/>
                <w:szCs w:val="20"/>
                <w:color w:val="auto"/>
              </w:rPr>
            </w:pPr>
            <w:r>
              <w:rPr>
                <w:rFonts w:ascii="Arial" w:cs="Arial" w:eastAsia="Arial" w:hAnsi="Arial"/>
                <w:sz w:val="14"/>
                <w:szCs w:val="14"/>
                <w:b w:val="1"/>
                <w:bCs w:val="1"/>
                <w:color w:val="auto"/>
              </w:rPr>
              <w:t>December 31, 2014</w:t>
            </w:r>
          </w:p>
        </w:tc>
        <w:tc>
          <w:tcPr>
            <w:tcW w:w="2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128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w w:val="92"/>
              </w:rPr>
              <w:t>Assets /</w:t>
            </w:r>
          </w:p>
        </w:tc>
        <w:tc>
          <w:tcPr>
            <w:tcW w:w="18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80" w:type="dxa"/>
            <w:vAlign w:val="bottom"/>
          </w:tcPr>
          <w:p>
            <w:pPr>
              <w:spacing w:after="0"/>
              <w:rPr>
                <w:sz w:val="12"/>
                <w:szCs w:val="12"/>
                <w:color w:val="auto"/>
              </w:rPr>
            </w:pPr>
          </w:p>
        </w:tc>
        <w:tc>
          <w:tcPr>
            <w:tcW w:w="20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Valuation</w:t>
            </w:r>
          </w:p>
        </w:tc>
        <w:tc>
          <w:tcPr>
            <w:tcW w:w="280" w:type="dxa"/>
            <w:vAlign w:val="bottom"/>
          </w:tcPr>
          <w:p>
            <w:pPr>
              <w:spacing w:after="0"/>
              <w:rPr>
                <w:sz w:val="12"/>
                <w:szCs w:val="12"/>
                <w:color w:val="auto"/>
              </w:rPr>
            </w:pPr>
          </w:p>
        </w:tc>
        <w:tc>
          <w:tcPr>
            <w:tcW w:w="20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Unobservable</w:t>
            </w:r>
          </w:p>
        </w:tc>
        <w:tc>
          <w:tcPr>
            <w:tcW w:w="280" w:type="dxa"/>
            <w:vAlign w:val="bottom"/>
          </w:tcPr>
          <w:p>
            <w:pPr>
              <w:spacing w:after="0"/>
              <w:rPr>
                <w:sz w:val="12"/>
                <w:szCs w:val="12"/>
                <w:color w:val="auto"/>
              </w:rPr>
            </w:pPr>
          </w:p>
        </w:tc>
        <w:tc>
          <w:tcPr>
            <w:tcW w:w="14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4"/>
              </w:rPr>
              <w:t>Input/range of</w:t>
            </w:r>
          </w:p>
        </w:tc>
        <w:tc>
          <w:tcPr>
            <w:tcW w:w="11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1"/>
              </w:rPr>
              <w:t>Weighted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2"/>
              </w:rPr>
              <w:t>measured at</w:t>
            </w:r>
          </w:p>
        </w:tc>
        <w:tc>
          <w:tcPr>
            <w:tcW w:w="180" w:type="dxa"/>
            <w:vAlign w:val="bottom"/>
          </w:tcPr>
          <w:p>
            <w:pPr>
              <w:spacing w:after="0"/>
              <w:rPr>
                <w:sz w:val="12"/>
                <w:szCs w:val="12"/>
                <w:color w:val="auto"/>
              </w:rPr>
            </w:pPr>
          </w:p>
        </w:tc>
        <w:tc>
          <w:tcPr>
            <w:tcW w:w="20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460" w:type="dxa"/>
            <w:vAlign w:val="bottom"/>
            <w:gridSpan w:val="2"/>
            <w:vMerge w:val="continue"/>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12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7"/>
              </w:rPr>
              <w:t>fair value</w:t>
            </w:r>
          </w:p>
        </w:tc>
        <w:tc>
          <w:tcPr>
            <w:tcW w:w="18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Arial" w:cs="Arial" w:eastAsia="Arial" w:hAnsi="Arial"/>
                <w:sz w:val="14"/>
                <w:szCs w:val="14"/>
                <w:b w:val="1"/>
                <w:bCs w:val="1"/>
                <w:color w:val="auto"/>
                <w:w w:val="88"/>
              </w:rPr>
              <w:t>technique(s)</w:t>
            </w:r>
          </w:p>
        </w:tc>
        <w:tc>
          <w:tcPr>
            <w:tcW w:w="28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Arial" w:cs="Arial" w:eastAsia="Arial" w:hAnsi="Arial"/>
                <w:sz w:val="14"/>
                <w:szCs w:val="14"/>
                <w:b w:val="1"/>
                <w:bCs w:val="1"/>
                <w:color w:val="auto"/>
                <w:w w:val="91"/>
              </w:rPr>
              <w:t>input description</w:t>
            </w:r>
          </w:p>
        </w:tc>
        <w:tc>
          <w:tcPr>
            <w:tcW w:w="280" w:type="dxa"/>
            <w:vAlign w:val="bottom"/>
          </w:tcPr>
          <w:p>
            <w:pPr>
              <w:spacing w:after="0"/>
              <w:rPr>
                <w:sz w:val="14"/>
                <w:szCs w:val="14"/>
                <w:color w:val="auto"/>
              </w:rPr>
            </w:pPr>
          </w:p>
        </w:tc>
        <w:tc>
          <w:tcPr>
            <w:tcW w:w="14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inputs</w:t>
            </w:r>
          </w:p>
        </w:tc>
        <w:tc>
          <w:tcPr>
            <w:tcW w:w="11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average</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jc w:val="center"/>
              <w:ind w:right="49"/>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Borders>
              <w:top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60" w:type="dxa"/>
            <w:vAlign w:val="bottom"/>
            <w:gridSpan w:val="2"/>
          </w:tcPr>
          <w:p>
            <w:pPr>
              <w:spacing w:after="0" w:line="149" w:lineRule="exact"/>
              <w:rPr>
                <w:sz w:val="20"/>
                <w:szCs w:val="20"/>
                <w:color w:val="auto"/>
              </w:rPr>
            </w:pPr>
            <w:r>
              <w:rPr>
                <w:rFonts w:ascii="Arial" w:cs="Arial" w:eastAsia="Arial" w:hAnsi="Arial"/>
                <w:sz w:val="14"/>
                <w:szCs w:val="14"/>
                <w:color w:val="auto"/>
              </w:rPr>
              <w:t>Fixed maturities, available-for-sale:</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560" w:type="dxa"/>
            <w:vAlign w:val="bottom"/>
            <w:gridSpan w:val="2"/>
            <w:shd w:val="clear" w:color="auto" w:fill="CCEEFF"/>
          </w:tcPr>
          <w:p>
            <w:pPr>
              <w:ind w:left="180"/>
              <w:spacing w:after="0" w:line="130" w:lineRule="exact"/>
              <w:rPr>
                <w:sz w:val="20"/>
                <w:szCs w:val="20"/>
                <w:color w:val="auto"/>
              </w:rPr>
            </w:pPr>
            <w:r>
              <w:rPr>
                <w:rFonts w:ascii="Arial" w:cs="Arial" w:eastAsia="Arial" w:hAnsi="Arial"/>
                <w:sz w:val="14"/>
                <w:szCs w:val="14"/>
                <w:color w:val="auto"/>
              </w:rPr>
              <w:t>Non-U.S. governments</w:t>
            </w:r>
          </w:p>
        </w:tc>
        <w:tc>
          <w:tcPr>
            <w:tcW w:w="400" w:type="dxa"/>
            <w:vAlign w:val="bottom"/>
            <w:gridSpan w:val="2"/>
            <w:shd w:val="clear" w:color="auto" w:fill="CCEEFF"/>
          </w:tcPr>
          <w:p>
            <w:pPr>
              <w:jc w:val="right"/>
              <w:ind w:right="40"/>
              <w:spacing w:after="0" w:line="130" w:lineRule="exact"/>
              <w:rPr>
                <w:sz w:val="20"/>
                <w:szCs w:val="20"/>
                <w:color w:val="auto"/>
              </w:rPr>
            </w:pPr>
            <w:r>
              <w:rPr>
                <w:rFonts w:ascii="Arial" w:cs="Arial" w:eastAsia="Arial" w:hAnsi="Arial"/>
                <w:sz w:val="14"/>
                <w:szCs w:val="14"/>
                <w:b w:val="1"/>
                <w:bCs w:val="1"/>
                <w:color w:val="auto"/>
              </w:rPr>
              <w:t>$</w:t>
            </w:r>
          </w:p>
        </w:tc>
        <w:tc>
          <w:tcPr>
            <w:tcW w:w="1040" w:type="dxa"/>
            <w:vAlign w:val="bottom"/>
            <w:gridSpan w:val="2"/>
            <w:shd w:val="clear" w:color="auto" w:fill="CCEEFF"/>
          </w:tcPr>
          <w:p>
            <w:pPr>
              <w:jc w:val="right"/>
              <w:ind w:right="100"/>
              <w:spacing w:after="0" w:line="130" w:lineRule="exact"/>
              <w:rPr>
                <w:sz w:val="20"/>
                <w:szCs w:val="20"/>
                <w:color w:val="auto"/>
              </w:rPr>
            </w:pPr>
            <w:r>
              <w:rPr>
                <w:rFonts w:ascii="Arial" w:cs="Arial" w:eastAsia="Arial" w:hAnsi="Arial"/>
                <w:sz w:val="14"/>
                <w:szCs w:val="14"/>
                <w:color w:val="auto"/>
              </w:rPr>
              <w:t>10.3</w:t>
            </w:r>
          </w:p>
        </w:tc>
        <w:tc>
          <w:tcPr>
            <w:tcW w:w="1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Discounted cash flow</w:t>
            </w:r>
          </w:p>
        </w:tc>
        <w:tc>
          <w:tcPr>
            <w:tcW w:w="2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 rate (1)</w:t>
            </w:r>
          </w:p>
        </w:tc>
        <w:tc>
          <w:tcPr>
            <w:tcW w:w="1740" w:type="dxa"/>
            <w:vAlign w:val="bottom"/>
            <w:gridSpan w:val="3"/>
            <w:shd w:val="clear" w:color="auto" w:fill="CCEEFF"/>
          </w:tcPr>
          <w:p>
            <w:pPr>
              <w:jc w:val="right"/>
              <w:ind w:right="340"/>
              <w:spacing w:after="0" w:line="130" w:lineRule="exact"/>
              <w:rPr>
                <w:sz w:val="20"/>
                <w:szCs w:val="20"/>
                <w:color w:val="auto"/>
              </w:rPr>
            </w:pPr>
            <w:r>
              <w:rPr>
                <w:rFonts w:ascii="Arial" w:cs="Arial" w:eastAsia="Arial" w:hAnsi="Arial"/>
                <w:sz w:val="14"/>
                <w:szCs w:val="14"/>
                <w:color w:val="auto"/>
              </w:rPr>
              <w:t>2.2%</w:t>
            </w:r>
          </w:p>
        </w:tc>
        <w:tc>
          <w:tcPr>
            <w:tcW w:w="1100" w:type="dxa"/>
            <w:vAlign w:val="bottom"/>
            <w:gridSpan w:val="2"/>
            <w:shd w:val="clear" w:color="auto" w:fill="CCEEFF"/>
          </w:tcPr>
          <w:p>
            <w:pPr>
              <w:jc w:val="right"/>
              <w:ind w:right="180"/>
              <w:spacing w:after="0" w:line="130" w:lineRule="exact"/>
              <w:rPr>
                <w:sz w:val="20"/>
                <w:szCs w:val="20"/>
                <w:color w:val="auto"/>
              </w:rPr>
            </w:pPr>
            <w:r>
              <w:rPr>
                <w:rFonts w:ascii="Arial" w:cs="Arial" w:eastAsia="Arial" w:hAnsi="Arial"/>
                <w:sz w:val="14"/>
                <w:szCs w:val="14"/>
                <w:color w:val="auto"/>
              </w:rPr>
              <w:t>2.2%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28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60" w:type="dxa"/>
            <w:vAlign w:val="bottom"/>
            <w:shd w:val="clear" w:color="auto" w:fill="CCEEFF"/>
          </w:tcPr>
          <w:p>
            <w:pPr>
              <w:spacing w:after="0"/>
              <w:rPr>
                <w:sz w:val="20"/>
                <w:szCs w:val="20"/>
                <w:color w:val="auto"/>
              </w:rPr>
            </w:pPr>
            <w:r>
              <w:rPr>
                <w:rFonts w:ascii="Arial" w:cs="Arial" w:eastAsia="Arial" w:hAnsi="Arial"/>
                <w:sz w:val="14"/>
                <w:szCs w:val="14"/>
                <w:color w:val="auto"/>
              </w:rPr>
              <w:t>Illiquidity premium</w:t>
            </w:r>
          </w:p>
        </w:tc>
        <w:tc>
          <w:tcPr>
            <w:tcW w:w="280" w:type="dxa"/>
            <w:vAlign w:val="bottom"/>
            <w:shd w:val="clear" w:color="auto" w:fill="CCEEFF"/>
          </w:tcPr>
          <w:p>
            <w:pPr>
              <w:spacing w:after="0"/>
              <w:rPr>
                <w:sz w:val="14"/>
                <w:szCs w:val="14"/>
                <w:color w:val="auto"/>
              </w:rPr>
            </w:pPr>
          </w:p>
        </w:tc>
        <w:tc>
          <w:tcPr>
            <w:tcW w:w="1460" w:type="dxa"/>
            <w:vAlign w:val="bottom"/>
            <w:gridSpan w:val="2"/>
            <w:shd w:val="clear" w:color="auto" w:fill="CCEEFF"/>
          </w:tcPr>
          <w:p>
            <w:pPr>
              <w:jc w:val="right"/>
              <w:ind w:right="340"/>
              <w:spacing w:after="0"/>
              <w:rPr>
                <w:sz w:val="20"/>
                <w:szCs w:val="20"/>
                <w:color w:val="auto"/>
              </w:rPr>
            </w:pPr>
            <w:r>
              <w:rPr>
                <w:rFonts w:ascii="Arial" w:cs="Arial" w:eastAsia="Arial" w:hAnsi="Arial"/>
                <w:sz w:val="14"/>
                <w:szCs w:val="14"/>
                <w:color w:val="auto"/>
              </w:rPr>
              <w:t>50 bps</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50bps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560" w:type="dxa"/>
            <w:vAlign w:val="bottom"/>
            <w:gridSpan w:val="2"/>
          </w:tcPr>
          <w:p>
            <w:pPr>
              <w:ind w:left="180"/>
              <w:spacing w:after="0" w:line="130" w:lineRule="exact"/>
              <w:rPr>
                <w:sz w:val="20"/>
                <w:szCs w:val="20"/>
                <w:color w:val="auto"/>
              </w:rPr>
            </w:pPr>
            <w:r>
              <w:rPr>
                <w:rFonts w:ascii="Arial" w:cs="Arial" w:eastAsia="Arial" w:hAnsi="Arial"/>
                <w:sz w:val="14"/>
                <w:szCs w:val="14"/>
                <w:color w:val="auto"/>
              </w:rPr>
              <w:t>Corporate</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83.0</w:t>
            </w:r>
          </w:p>
        </w:tc>
        <w:tc>
          <w:tcPr>
            <w:tcW w:w="180" w:type="dxa"/>
            <w:vAlign w:val="bottom"/>
          </w:tcPr>
          <w:p>
            <w:pPr>
              <w:spacing w:after="0"/>
              <w:rPr>
                <w:sz w:val="11"/>
                <w:szCs w:val="11"/>
                <w:color w:val="auto"/>
              </w:rPr>
            </w:pPr>
          </w:p>
        </w:tc>
        <w:tc>
          <w:tcPr>
            <w:tcW w:w="2060" w:type="dxa"/>
            <w:vAlign w:val="bottom"/>
          </w:tcPr>
          <w:p>
            <w:pPr>
              <w:spacing w:after="0" w:line="130" w:lineRule="exact"/>
              <w:rPr>
                <w:sz w:val="20"/>
                <w:szCs w:val="20"/>
                <w:color w:val="auto"/>
              </w:rPr>
            </w:pPr>
            <w:r>
              <w:rPr>
                <w:rFonts w:ascii="Arial" w:cs="Arial" w:eastAsia="Arial" w:hAnsi="Arial"/>
                <w:sz w:val="14"/>
                <w:szCs w:val="14"/>
                <w:color w:val="auto"/>
              </w:rPr>
              <w:t>Discounted cash flow</w:t>
            </w:r>
          </w:p>
        </w:tc>
        <w:tc>
          <w:tcPr>
            <w:tcW w:w="280" w:type="dxa"/>
            <w:vAlign w:val="bottom"/>
          </w:tcPr>
          <w:p>
            <w:pPr>
              <w:spacing w:after="0"/>
              <w:rPr>
                <w:sz w:val="11"/>
                <w:szCs w:val="11"/>
                <w:color w:val="auto"/>
              </w:rPr>
            </w:pPr>
          </w:p>
        </w:tc>
        <w:tc>
          <w:tcPr>
            <w:tcW w:w="2060" w:type="dxa"/>
            <w:vAlign w:val="bottom"/>
          </w:tcPr>
          <w:p>
            <w:pPr>
              <w:spacing w:after="0" w:line="130" w:lineRule="exact"/>
              <w:rPr>
                <w:sz w:val="20"/>
                <w:szCs w:val="20"/>
                <w:color w:val="auto"/>
              </w:rPr>
            </w:pPr>
            <w:r>
              <w:rPr>
                <w:rFonts w:ascii="Arial" w:cs="Arial" w:eastAsia="Arial" w:hAnsi="Arial"/>
                <w:sz w:val="14"/>
                <w:szCs w:val="14"/>
                <w:color w:val="auto"/>
              </w:rPr>
              <w:t>Discount rate (1)</w:t>
            </w:r>
          </w:p>
        </w:tc>
        <w:tc>
          <w:tcPr>
            <w:tcW w:w="1740" w:type="dxa"/>
            <w:vAlign w:val="bottom"/>
            <w:gridSpan w:val="3"/>
          </w:tcPr>
          <w:p>
            <w:pPr>
              <w:jc w:val="right"/>
              <w:ind w:right="340"/>
              <w:spacing w:after="0" w:line="130" w:lineRule="exact"/>
              <w:rPr>
                <w:sz w:val="20"/>
                <w:szCs w:val="20"/>
                <w:color w:val="auto"/>
              </w:rPr>
            </w:pPr>
            <w:r>
              <w:rPr>
                <w:rFonts w:ascii="Arial" w:cs="Arial" w:eastAsia="Arial" w:hAnsi="Arial"/>
                <w:sz w:val="14"/>
                <w:szCs w:val="14"/>
                <w:color w:val="auto"/>
              </w:rPr>
              <w:t>1.8%-6.7%</w:t>
            </w:r>
          </w:p>
        </w:tc>
        <w:tc>
          <w:tcPr>
            <w:tcW w:w="1100" w:type="dxa"/>
            <w:vAlign w:val="bottom"/>
            <w:gridSpan w:val="2"/>
          </w:tcPr>
          <w:p>
            <w:pPr>
              <w:jc w:val="right"/>
              <w:ind w:right="180"/>
              <w:spacing w:after="0" w:line="130" w:lineRule="exact"/>
              <w:rPr>
                <w:sz w:val="20"/>
                <w:szCs w:val="20"/>
                <w:color w:val="auto"/>
              </w:rPr>
            </w:pPr>
            <w:r>
              <w:rPr>
                <w:rFonts w:ascii="Arial" w:cs="Arial" w:eastAsia="Arial" w:hAnsi="Arial"/>
                <w:sz w:val="14"/>
                <w:szCs w:val="14"/>
                <w:color w:val="auto"/>
              </w:rPr>
              <w:t>4.0%</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Pr>
          <w:p>
            <w:pPr>
              <w:spacing w:after="0" w:line="149" w:lineRule="exact"/>
              <w:rPr>
                <w:sz w:val="20"/>
                <w:szCs w:val="20"/>
                <w:color w:val="auto"/>
              </w:rPr>
            </w:pPr>
            <w:r>
              <w:rPr>
                <w:rFonts w:ascii="Arial" w:cs="Arial" w:eastAsia="Arial" w:hAnsi="Arial"/>
                <w:sz w:val="14"/>
                <w:szCs w:val="14"/>
                <w:color w:val="auto"/>
              </w:rPr>
              <w:t>Comparability adjustment</w:t>
            </w:r>
          </w:p>
        </w:tc>
        <w:tc>
          <w:tcPr>
            <w:tcW w:w="280" w:type="dxa"/>
            <w:vAlign w:val="bottom"/>
          </w:tcPr>
          <w:p>
            <w:pPr>
              <w:spacing w:after="0"/>
              <w:rPr>
                <w:sz w:val="12"/>
                <w:szCs w:val="12"/>
                <w:color w:val="auto"/>
              </w:rPr>
            </w:pPr>
          </w:p>
        </w:tc>
        <w:tc>
          <w:tcPr>
            <w:tcW w:w="1460" w:type="dxa"/>
            <w:vAlign w:val="bottom"/>
            <w:gridSpan w:val="2"/>
          </w:tcPr>
          <w:p>
            <w:pPr>
              <w:jc w:val="right"/>
              <w:ind w:right="340"/>
              <w:spacing w:after="0" w:line="149" w:lineRule="exact"/>
              <w:rPr>
                <w:sz w:val="20"/>
                <w:szCs w:val="20"/>
                <w:color w:val="auto"/>
              </w:rPr>
            </w:pPr>
            <w:r>
              <w:rPr>
                <w:rFonts w:ascii="Arial" w:cs="Arial" w:eastAsia="Arial" w:hAnsi="Arial"/>
                <w:sz w:val="14"/>
                <w:szCs w:val="14"/>
                <w:color w:val="auto"/>
              </w:rPr>
              <w:t>0bps-1bps</w:t>
            </w:r>
          </w:p>
        </w:tc>
        <w:tc>
          <w:tcPr>
            <w:tcW w:w="11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0bps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60" w:type="dxa"/>
            <w:vAlign w:val="bottom"/>
          </w:tcPr>
          <w:p>
            <w:pPr>
              <w:spacing w:after="0"/>
              <w:rPr>
                <w:sz w:val="20"/>
                <w:szCs w:val="20"/>
                <w:color w:val="auto"/>
              </w:rPr>
            </w:pPr>
            <w:r>
              <w:rPr>
                <w:rFonts w:ascii="Arial" w:cs="Arial" w:eastAsia="Arial" w:hAnsi="Arial"/>
                <w:sz w:val="14"/>
                <w:szCs w:val="14"/>
                <w:color w:val="auto"/>
              </w:rPr>
              <w:t>Illiquidity premium</w:t>
            </w:r>
          </w:p>
        </w:tc>
        <w:tc>
          <w:tcPr>
            <w:tcW w:w="280" w:type="dxa"/>
            <w:vAlign w:val="bottom"/>
          </w:tcPr>
          <w:p>
            <w:pPr>
              <w:spacing w:after="0"/>
              <w:rPr>
                <w:sz w:val="15"/>
                <w:szCs w:val="15"/>
                <w:color w:val="auto"/>
              </w:rPr>
            </w:pPr>
          </w:p>
        </w:tc>
        <w:tc>
          <w:tcPr>
            <w:tcW w:w="1460" w:type="dxa"/>
            <w:vAlign w:val="bottom"/>
            <w:gridSpan w:val="2"/>
          </w:tcPr>
          <w:p>
            <w:pPr>
              <w:jc w:val="right"/>
              <w:ind w:right="340"/>
              <w:spacing w:after="0"/>
              <w:rPr>
                <w:sz w:val="20"/>
                <w:szCs w:val="20"/>
                <w:color w:val="auto"/>
              </w:rPr>
            </w:pPr>
            <w:r>
              <w:rPr>
                <w:rFonts w:ascii="Arial" w:cs="Arial" w:eastAsia="Arial" w:hAnsi="Arial"/>
                <w:sz w:val="14"/>
                <w:szCs w:val="14"/>
                <w:color w:val="auto"/>
              </w:rPr>
              <w:t>0bps-25bps</w:t>
            </w:r>
          </w:p>
        </w:tc>
        <w:tc>
          <w:tcPr>
            <w:tcW w:w="1100" w:type="dxa"/>
            <w:vAlign w:val="bottom"/>
            <w:gridSpan w:val="2"/>
          </w:tcPr>
          <w:p>
            <w:pPr>
              <w:jc w:val="right"/>
              <w:ind w:right="100"/>
              <w:spacing w:after="0"/>
              <w:rPr>
                <w:sz w:val="20"/>
                <w:szCs w:val="20"/>
                <w:color w:val="auto"/>
              </w:rPr>
            </w:pPr>
            <w:r>
              <w:rPr>
                <w:rFonts w:ascii="Arial" w:cs="Arial" w:eastAsia="Arial" w:hAnsi="Arial"/>
                <w:sz w:val="14"/>
                <w:szCs w:val="14"/>
                <w:color w:val="auto"/>
              </w:rPr>
              <w:t>13bps</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7"/>
        </w:trPr>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40" w:type="dxa"/>
            <w:vAlign w:val="bottom"/>
            <w:gridSpan w:val="2"/>
          </w:tcPr>
          <w:p>
            <w:pPr>
              <w:jc w:val="center"/>
              <w:ind w:left="1090"/>
              <w:spacing w:after="0"/>
              <w:rPr>
                <w:sz w:val="20"/>
                <w:szCs w:val="20"/>
                <w:color w:val="auto"/>
              </w:rPr>
            </w:pPr>
            <w:r>
              <w:rPr>
                <w:rFonts w:ascii="Arial" w:cs="Arial" w:eastAsia="Arial" w:hAnsi="Arial"/>
                <w:sz w:val="18"/>
                <w:szCs w:val="18"/>
                <w:color w:val="auto"/>
                <w:w w:val="89"/>
              </w:rPr>
              <w:t>64</w:t>
            </w:r>
          </w:p>
        </w:tc>
        <w:tc>
          <w:tcPr>
            <w:tcW w:w="2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128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20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0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12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2560" w:type="dxa"/>
            <w:vAlign w:val="bottom"/>
            <w:gridSpan w:val="2"/>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1280" w:type="dxa"/>
            <w:vAlign w:val="bottom"/>
            <w:tcBorders>
              <w:top w:val="single" w:sz="8" w:color="0000EE"/>
            </w:tcBorders>
          </w:tcPr>
          <w:p>
            <w:pPr>
              <w:spacing w:after="0"/>
              <w:rPr>
                <w:sz w:val="24"/>
                <w:szCs w:val="24"/>
                <w:color w:val="auto"/>
              </w:rPr>
            </w:pPr>
          </w:p>
        </w:tc>
        <w:tc>
          <w:tcPr>
            <w:tcW w:w="1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0" w:type="dxa"/>
            <w:vAlign w:val="bottom"/>
            <w:gridSpan w:val="3"/>
          </w:tcPr>
          <w:p>
            <w:pPr>
              <w:jc w:val="center"/>
              <w:ind w:right="1268"/>
              <w:spacing w:after="0"/>
              <w:rPr>
                <w:sz w:val="20"/>
                <w:szCs w:val="20"/>
                <w:color w:val="auto"/>
              </w:rPr>
            </w:pPr>
            <w:r>
              <w:rPr>
                <w:rFonts w:ascii="Arial" w:cs="Arial" w:eastAsia="Arial" w:hAnsi="Arial"/>
                <w:sz w:val="18"/>
                <w:szCs w:val="18"/>
                <w:b w:val="1"/>
                <w:bCs w:val="1"/>
                <w:color w:val="auto"/>
                <w:w w:val="93"/>
              </w:rPr>
              <w:t>Principal Financial Group, Inc.</w:t>
            </w:r>
          </w:p>
        </w:tc>
        <w:tc>
          <w:tcPr>
            <w:tcW w:w="2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580" w:type="dxa"/>
            <w:vAlign w:val="bottom"/>
            <w:gridSpan w:val="4"/>
          </w:tcPr>
          <w:p>
            <w:pPr>
              <w:jc w:val="center"/>
              <w:ind w:right="1088"/>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00" w:type="dxa"/>
            <w:vAlign w:val="bottom"/>
            <w:gridSpan w:val="3"/>
          </w:tcPr>
          <w:p>
            <w:pPr>
              <w:jc w:val="center"/>
              <w:ind w:right="1268"/>
              <w:spacing w:after="0"/>
              <w:rPr>
                <w:sz w:val="20"/>
                <w:szCs w:val="20"/>
                <w:color w:val="auto"/>
              </w:rPr>
            </w:pPr>
            <w:r>
              <w:rPr>
                <w:rFonts w:ascii="Arial" w:cs="Arial" w:eastAsia="Arial" w:hAnsi="Arial"/>
                <w:sz w:val="18"/>
                <w:szCs w:val="18"/>
                <w:b w:val="1"/>
                <w:bCs w:val="1"/>
                <w:color w:val="auto"/>
                <w:w w:val="89"/>
              </w:rPr>
              <w:t>September 30, 2015</w:t>
            </w: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2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60" w:type="dxa"/>
            <w:vAlign w:val="bottom"/>
          </w:tcPr>
          <w:p>
            <w:pPr>
              <w:jc w:val="center"/>
              <w:ind w:left="925"/>
              <w:spacing w:after="0"/>
              <w:rPr>
                <w:sz w:val="20"/>
                <w:szCs w:val="20"/>
                <w:color w:val="auto"/>
              </w:rPr>
            </w:pPr>
            <w:r>
              <w:rPr>
                <w:rFonts w:ascii="Arial" w:cs="Arial" w:eastAsia="Arial" w:hAnsi="Arial"/>
                <w:sz w:val="18"/>
                <w:szCs w:val="18"/>
                <w:b w:val="1"/>
                <w:bCs w:val="1"/>
                <w:color w:val="auto"/>
                <w:w w:val="93"/>
              </w:rPr>
              <w:t>(Unaudited)</w:t>
            </w:r>
          </w:p>
        </w:tc>
        <w:tc>
          <w:tcPr>
            <w:tcW w:w="2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gridSpan w:val="2"/>
          </w:tcPr>
          <w:p>
            <w:pPr>
              <w:ind w:left="160"/>
              <w:spacing w:after="0"/>
              <w:rPr>
                <w:sz w:val="20"/>
                <w:szCs w:val="20"/>
                <w:color w:val="auto"/>
              </w:rPr>
            </w:pPr>
            <w:r>
              <w:rPr>
                <w:rFonts w:ascii="Arial" w:cs="Arial" w:eastAsia="Arial" w:hAnsi="Arial"/>
                <w:sz w:val="14"/>
                <w:szCs w:val="14"/>
                <w:b w:val="1"/>
                <w:bCs w:val="1"/>
                <w:color w:val="auto"/>
              </w:rPr>
              <w:t>December 31, 2014</w:t>
            </w:r>
          </w:p>
        </w:tc>
        <w:tc>
          <w:tcPr>
            <w:tcW w:w="2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128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w w:val="92"/>
              </w:rPr>
              <w:t>Assets /</w:t>
            </w:r>
          </w:p>
        </w:tc>
        <w:tc>
          <w:tcPr>
            <w:tcW w:w="18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80" w:type="dxa"/>
            <w:vAlign w:val="bottom"/>
          </w:tcPr>
          <w:p>
            <w:pPr>
              <w:spacing w:after="0"/>
              <w:rPr>
                <w:sz w:val="12"/>
                <w:szCs w:val="12"/>
                <w:color w:val="auto"/>
              </w:rPr>
            </w:pPr>
          </w:p>
        </w:tc>
        <w:tc>
          <w:tcPr>
            <w:tcW w:w="20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Valuation</w:t>
            </w:r>
          </w:p>
        </w:tc>
        <w:tc>
          <w:tcPr>
            <w:tcW w:w="280" w:type="dxa"/>
            <w:vAlign w:val="bottom"/>
          </w:tcPr>
          <w:p>
            <w:pPr>
              <w:spacing w:after="0"/>
              <w:rPr>
                <w:sz w:val="12"/>
                <w:szCs w:val="12"/>
                <w:color w:val="auto"/>
              </w:rPr>
            </w:pPr>
          </w:p>
        </w:tc>
        <w:tc>
          <w:tcPr>
            <w:tcW w:w="20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Unobservable</w:t>
            </w:r>
          </w:p>
        </w:tc>
        <w:tc>
          <w:tcPr>
            <w:tcW w:w="280" w:type="dxa"/>
            <w:vAlign w:val="bottom"/>
          </w:tcPr>
          <w:p>
            <w:pPr>
              <w:spacing w:after="0"/>
              <w:rPr>
                <w:sz w:val="12"/>
                <w:szCs w:val="12"/>
                <w:color w:val="auto"/>
              </w:rPr>
            </w:pPr>
          </w:p>
        </w:tc>
        <w:tc>
          <w:tcPr>
            <w:tcW w:w="14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4"/>
              </w:rPr>
              <w:t>Input/range of</w:t>
            </w:r>
          </w:p>
        </w:tc>
        <w:tc>
          <w:tcPr>
            <w:tcW w:w="11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1"/>
              </w:rPr>
              <w:t>Weighted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2"/>
              </w:rPr>
              <w:t>measured at</w:t>
            </w:r>
          </w:p>
        </w:tc>
        <w:tc>
          <w:tcPr>
            <w:tcW w:w="180" w:type="dxa"/>
            <w:vAlign w:val="bottom"/>
          </w:tcPr>
          <w:p>
            <w:pPr>
              <w:spacing w:after="0"/>
              <w:rPr>
                <w:sz w:val="12"/>
                <w:szCs w:val="12"/>
                <w:color w:val="auto"/>
              </w:rPr>
            </w:pPr>
          </w:p>
        </w:tc>
        <w:tc>
          <w:tcPr>
            <w:tcW w:w="20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460" w:type="dxa"/>
            <w:vAlign w:val="bottom"/>
            <w:gridSpan w:val="2"/>
            <w:vMerge w:val="continue"/>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12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7"/>
              </w:rPr>
              <w:t>fair value</w:t>
            </w:r>
          </w:p>
        </w:tc>
        <w:tc>
          <w:tcPr>
            <w:tcW w:w="18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Arial" w:cs="Arial" w:eastAsia="Arial" w:hAnsi="Arial"/>
                <w:sz w:val="14"/>
                <w:szCs w:val="14"/>
                <w:b w:val="1"/>
                <w:bCs w:val="1"/>
                <w:color w:val="auto"/>
                <w:w w:val="88"/>
              </w:rPr>
              <w:t>technique(s)</w:t>
            </w:r>
          </w:p>
        </w:tc>
        <w:tc>
          <w:tcPr>
            <w:tcW w:w="28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Arial" w:cs="Arial" w:eastAsia="Arial" w:hAnsi="Arial"/>
                <w:sz w:val="14"/>
                <w:szCs w:val="14"/>
                <w:b w:val="1"/>
                <w:bCs w:val="1"/>
                <w:color w:val="auto"/>
                <w:w w:val="91"/>
              </w:rPr>
              <w:t>input description</w:t>
            </w:r>
          </w:p>
        </w:tc>
        <w:tc>
          <w:tcPr>
            <w:tcW w:w="280" w:type="dxa"/>
            <w:vAlign w:val="bottom"/>
          </w:tcPr>
          <w:p>
            <w:pPr>
              <w:spacing w:after="0"/>
              <w:rPr>
                <w:sz w:val="14"/>
                <w:szCs w:val="14"/>
                <w:color w:val="auto"/>
              </w:rPr>
            </w:pPr>
          </w:p>
        </w:tc>
        <w:tc>
          <w:tcPr>
            <w:tcW w:w="14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inputs</w:t>
            </w:r>
          </w:p>
        </w:tc>
        <w:tc>
          <w:tcPr>
            <w:tcW w:w="11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average</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jc w:val="center"/>
              <w:ind w:right="49"/>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Borders>
              <w:top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560" w:type="dxa"/>
            <w:vAlign w:val="bottom"/>
            <w:gridSpan w:val="2"/>
            <w:shd w:val="clear" w:color="auto" w:fill="CCEEFF"/>
          </w:tcPr>
          <w:p>
            <w:pPr>
              <w:ind w:left="200"/>
              <w:spacing w:after="0" w:line="130" w:lineRule="exact"/>
              <w:rPr>
                <w:sz w:val="20"/>
                <w:szCs w:val="20"/>
                <w:color w:val="auto"/>
              </w:rPr>
            </w:pPr>
            <w:r>
              <w:rPr>
                <w:rFonts w:ascii="Arial" w:cs="Arial" w:eastAsia="Arial" w:hAnsi="Arial"/>
                <w:sz w:val="14"/>
                <w:szCs w:val="14"/>
                <w:color w:val="auto"/>
              </w:rPr>
              <w:t>Collateralized debt obligations</w:t>
            </w: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40" w:type="dxa"/>
            <w:vAlign w:val="bottom"/>
            <w:gridSpan w:val="2"/>
            <w:shd w:val="clear" w:color="auto" w:fill="CCEEFF"/>
          </w:tcPr>
          <w:p>
            <w:pPr>
              <w:jc w:val="right"/>
              <w:ind w:right="100"/>
              <w:spacing w:after="0" w:line="130" w:lineRule="exact"/>
              <w:rPr>
                <w:sz w:val="20"/>
                <w:szCs w:val="20"/>
                <w:color w:val="auto"/>
              </w:rPr>
            </w:pPr>
            <w:r>
              <w:rPr>
                <w:rFonts w:ascii="Arial" w:cs="Arial" w:eastAsia="Arial" w:hAnsi="Arial"/>
                <w:sz w:val="14"/>
                <w:szCs w:val="14"/>
                <w:color w:val="auto"/>
              </w:rPr>
              <w:t>12.7</w:t>
            </w:r>
          </w:p>
        </w:tc>
        <w:tc>
          <w:tcPr>
            <w:tcW w:w="1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Discounted cash flow</w:t>
            </w:r>
          </w:p>
        </w:tc>
        <w:tc>
          <w:tcPr>
            <w:tcW w:w="2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 rate (1)</w:t>
            </w:r>
          </w:p>
        </w:tc>
        <w:tc>
          <w:tcPr>
            <w:tcW w:w="1740" w:type="dxa"/>
            <w:vAlign w:val="bottom"/>
            <w:gridSpan w:val="3"/>
            <w:shd w:val="clear" w:color="auto" w:fill="CCEEFF"/>
          </w:tcPr>
          <w:p>
            <w:pPr>
              <w:jc w:val="right"/>
              <w:ind w:right="340"/>
              <w:spacing w:after="0" w:line="130" w:lineRule="exact"/>
              <w:rPr>
                <w:sz w:val="20"/>
                <w:szCs w:val="20"/>
                <w:color w:val="auto"/>
              </w:rPr>
            </w:pPr>
            <w:r>
              <w:rPr>
                <w:rFonts w:ascii="Arial" w:cs="Arial" w:eastAsia="Arial" w:hAnsi="Arial"/>
                <w:sz w:val="14"/>
                <w:szCs w:val="14"/>
                <w:color w:val="auto"/>
              </w:rPr>
              <w:t>2.7%-17.1%</w:t>
            </w:r>
          </w:p>
        </w:tc>
        <w:tc>
          <w:tcPr>
            <w:tcW w:w="1100" w:type="dxa"/>
            <w:vAlign w:val="bottom"/>
            <w:gridSpan w:val="2"/>
            <w:shd w:val="clear" w:color="auto" w:fill="CCEEFF"/>
          </w:tcPr>
          <w:p>
            <w:pPr>
              <w:jc w:val="right"/>
              <w:ind w:right="180"/>
              <w:spacing w:after="0" w:line="130" w:lineRule="exact"/>
              <w:rPr>
                <w:sz w:val="20"/>
                <w:szCs w:val="20"/>
                <w:color w:val="auto"/>
              </w:rPr>
            </w:pPr>
            <w:r>
              <w:rPr>
                <w:rFonts w:ascii="Arial" w:cs="Arial" w:eastAsia="Arial" w:hAnsi="Arial"/>
                <w:sz w:val="14"/>
                <w:szCs w:val="14"/>
                <w:color w:val="auto"/>
              </w:rPr>
              <w:t>6.1%</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Probability of default</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0%-100%</w:t>
            </w: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23.5%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28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60" w:type="dxa"/>
            <w:vAlign w:val="bottom"/>
            <w:shd w:val="clear" w:color="auto" w:fill="CCEEFF"/>
          </w:tcPr>
          <w:p>
            <w:pPr>
              <w:spacing w:after="0"/>
              <w:rPr>
                <w:sz w:val="20"/>
                <w:szCs w:val="20"/>
                <w:color w:val="auto"/>
              </w:rPr>
            </w:pPr>
            <w:r>
              <w:rPr>
                <w:rFonts w:ascii="Arial" w:cs="Arial" w:eastAsia="Arial" w:hAnsi="Arial"/>
                <w:sz w:val="14"/>
                <w:szCs w:val="14"/>
                <w:color w:val="auto"/>
              </w:rPr>
              <w:t>Potential loss severity</w:t>
            </w:r>
          </w:p>
        </w:tc>
        <w:tc>
          <w:tcPr>
            <w:tcW w:w="1740" w:type="dxa"/>
            <w:vAlign w:val="bottom"/>
            <w:gridSpan w:val="3"/>
            <w:shd w:val="clear" w:color="auto" w:fill="CCEEFF"/>
          </w:tcPr>
          <w:p>
            <w:pPr>
              <w:jc w:val="right"/>
              <w:ind w:right="340"/>
              <w:spacing w:after="0"/>
              <w:rPr>
                <w:sz w:val="20"/>
                <w:szCs w:val="20"/>
                <w:color w:val="auto"/>
              </w:rPr>
            </w:pPr>
            <w:r>
              <w:rPr>
                <w:rFonts w:ascii="Arial" w:cs="Arial" w:eastAsia="Arial" w:hAnsi="Arial"/>
                <w:sz w:val="14"/>
                <w:szCs w:val="14"/>
                <w:color w:val="auto"/>
              </w:rPr>
              <w:t>0%-70.0%</w:t>
            </w: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16.4%</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560" w:type="dxa"/>
            <w:vAlign w:val="bottom"/>
            <w:gridSpan w:val="2"/>
          </w:tcPr>
          <w:p>
            <w:pPr>
              <w:ind w:left="200"/>
              <w:spacing w:after="0" w:line="130" w:lineRule="exact"/>
              <w:rPr>
                <w:sz w:val="20"/>
                <w:szCs w:val="20"/>
                <w:color w:val="auto"/>
              </w:rPr>
            </w:pPr>
            <w:r>
              <w:rPr>
                <w:rFonts w:ascii="Arial" w:cs="Arial" w:eastAsia="Arial" w:hAnsi="Arial"/>
                <w:sz w:val="14"/>
                <w:szCs w:val="14"/>
                <w:color w:val="auto"/>
              </w:rPr>
              <w:t>Other debt obligations</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49.3</w:t>
            </w:r>
          </w:p>
        </w:tc>
        <w:tc>
          <w:tcPr>
            <w:tcW w:w="180" w:type="dxa"/>
            <w:vAlign w:val="bottom"/>
          </w:tcPr>
          <w:p>
            <w:pPr>
              <w:spacing w:after="0"/>
              <w:rPr>
                <w:sz w:val="11"/>
                <w:szCs w:val="11"/>
                <w:color w:val="auto"/>
              </w:rPr>
            </w:pPr>
          </w:p>
        </w:tc>
        <w:tc>
          <w:tcPr>
            <w:tcW w:w="2060" w:type="dxa"/>
            <w:vAlign w:val="bottom"/>
          </w:tcPr>
          <w:p>
            <w:pPr>
              <w:spacing w:after="0" w:line="130" w:lineRule="exact"/>
              <w:rPr>
                <w:sz w:val="20"/>
                <w:szCs w:val="20"/>
                <w:color w:val="auto"/>
              </w:rPr>
            </w:pPr>
            <w:r>
              <w:rPr>
                <w:rFonts w:ascii="Arial" w:cs="Arial" w:eastAsia="Arial" w:hAnsi="Arial"/>
                <w:sz w:val="14"/>
                <w:szCs w:val="14"/>
                <w:color w:val="auto"/>
              </w:rPr>
              <w:t>Discounted cash flow</w:t>
            </w:r>
          </w:p>
        </w:tc>
        <w:tc>
          <w:tcPr>
            <w:tcW w:w="280" w:type="dxa"/>
            <w:vAlign w:val="bottom"/>
          </w:tcPr>
          <w:p>
            <w:pPr>
              <w:spacing w:after="0"/>
              <w:rPr>
                <w:sz w:val="11"/>
                <w:szCs w:val="11"/>
                <w:color w:val="auto"/>
              </w:rPr>
            </w:pPr>
          </w:p>
        </w:tc>
        <w:tc>
          <w:tcPr>
            <w:tcW w:w="2060" w:type="dxa"/>
            <w:vAlign w:val="bottom"/>
          </w:tcPr>
          <w:p>
            <w:pPr>
              <w:spacing w:after="0" w:line="130" w:lineRule="exact"/>
              <w:rPr>
                <w:sz w:val="20"/>
                <w:szCs w:val="20"/>
                <w:color w:val="auto"/>
              </w:rPr>
            </w:pPr>
            <w:r>
              <w:rPr>
                <w:rFonts w:ascii="Arial" w:cs="Arial" w:eastAsia="Arial" w:hAnsi="Arial"/>
                <w:sz w:val="14"/>
                <w:szCs w:val="14"/>
                <w:color w:val="auto"/>
              </w:rPr>
              <w:t>Discount rate (1)</w:t>
            </w:r>
          </w:p>
        </w:tc>
        <w:tc>
          <w:tcPr>
            <w:tcW w:w="1740" w:type="dxa"/>
            <w:vAlign w:val="bottom"/>
            <w:gridSpan w:val="3"/>
          </w:tcPr>
          <w:p>
            <w:pPr>
              <w:jc w:val="right"/>
              <w:ind w:right="340"/>
              <w:spacing w:after="0" w:line="130" w:lineRule="exact"/>
              <w:rPr>
                <w:sz w:val="20"/>
                <w:szCs w:val="20"/>
                <w:color w:val="auto"/>
              </w:rPr>
            </w:pPr>
            <w:r>
              <w:rPr>
                <w:rFonts w:ascii="Arial" w:cs="Arial" w:eastAsia="Arial" w:hAnsi="Arial"/>
                <w:sz w:val="14"/>
                <w:szCs w:val="14"/>
                <w:color w:val="auto"/>
              </w:rPr>
              <w:t>1.4%-5.0%</w:t>
            </w:r>
          </w:p>
        </w:tc>
        <w:tc>
          <w:tcPr>
            <w:tcW w:w="1100" w:type="dxa"/>
            <w:vAlign w:val="bottom"/>
            <w:gridSpan w:val="2"/>
          </w:tcPr>
          <w:p>
            <w:pPr>
              <w:jc w:val="right"/>
              <w:ind w:right="180"/>
              <w:spacing w:after="0" w:line="130" w:lineRule="exact"/>
              <w:rPr>
                <w:sz w:val="20"/>
                <w:szCs w:val="20"/>
                <w:color w:val="auto"/>
              </w:rPr>
            </w:pPr>
            <w:r>
              <w:rPr>
                <w:rFonts w:ascii="Arial" w:cs="Arial" w:eastAsia="Arial" w:hAnsi="Arial"/>
                <w:sz w:val="14"/>
                <w:szCs w:val="14"/>
                <w:color w:val="auto"/>
              </w:rPr>
              <w:t>2.3%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2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60" w:type="dxa"/>
            <w:vAlign w:val="bottom"/>
          </w:tcPr>
          <w:p>
            <w:pPr>
              <w:spacing w:after="0"/>
              <w:rPr>
                <w:sz w:val="20"/>
                <w:szCs w:val="20"/>
                <w:color w:val="auto"/>
              </w:rPr>
            </w:pPr>
            <w:r>
              <w:rPr>
                <w:rFonts w:ascii="Arial" w:cs="Arial" w:eastAsia="Arial" w:hAnsi="Arial"/>
                <w:sz w:val="14"/>
                <w:szCs w:val="14"/>
                <w:color w:val="auto"/>
              </w:rPr>
              <w:t>Illiquidity premium</w:t>
            </w:r>
          </w:p>
        </w:tc>
        <w:tc>
          <w:tcPr>
            <w:tcW w:w="280" w:type="dxa"/>
            <w:vAlign w:val="bottom"/>
          </w:tcPr>
          <w:p>
            <w:pPr>
              <w:spacing w:after="0"/>
              <w:rPr>
                <w:sz w:val="14"/>
                <w:szCs w:val="14"/>
                <w:color w:val="auto"/>
              </w:rPr>
            </w:pPr>
          </w:p>
        </w:tc>
        <w:tc>
          <w:tcPr>
            <w:tcW w:w="1460" w:type="dxa"/>
            <w:vAlign w:val="bottom"/>
            <w:gridSpan w:val="2"/>
          </w:tcPr>
          <w:p>
            <w:pPr>
              <w:jc w:val="right"/>
              <w:ind w:right="340"/>
              <w:spacing w:after="0"/>
              <w:rPr>
                <w:sz w:val="20"/>
                <w:szCs w:val="20"/>
                <w:color w:val="auto"/>
              </w:rPr>
            </w:pPr>
            <w:r>
              <w:rPr>
                <w:rFonts w:ascii="Arial" w:cs="Arial" w:eastAsia="Arial" w:hAnsi="Arial"/>
                <w:sz w:val="14"/>
                <w:szCs w:val="14"/>
                <w:color w:val="auto"/>
              </w:rPr>
              <w:t>0bps-1,000bps</w:t>
            </w:r>
          </w:p>
        </w:tc>
        <w:tc>
          <w:tcPr>
            <w:tcW w:w="1100" w:type="dxa"/>
            <w:vAlign w:val="bottom"/>
            <w:gridSpan w:val="2"/>
          </w:tcPr>
          <w:p>
            <w:pPr>
              <w:jc w:val="right"/>
              <w:ind w:right="100"/>
              <w:spacing w:after="0"/>
              <w:rPr>
                <w:sz w:val="20"/>
                <w:szCs w:val="20"/>
                <w:color w:val="auto"/>
              </w:rPr>
            </w:pPr>
            <w:r>
              <w:rPr>
                <w:rFonts w:ascii="Arial" w:cs="Arial" w:eastAsia="Arial" w:hAnsi="Arial"/>
                <w:sz w:val="14"/>
                <w:szCs w:val="14"/>
                <w:color w:val="auto"/>
              </w:rPr>
              <w:t>175bps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56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Fixed maturities, trading</w:t>
            </w: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40" w:type="dxa"/>
            <w:vAlign w:val="bottom"/>
            <w:gridSpan w:val="2"/>
            <w:shd w:val="clear" w:color="auto" w:fill="CCEEFF"/>
          </w:tcPr>
          <w:p>
            <w:pPr>
              <w:jc w:val="right"/>
              <w:ind w:right="100"/>
              <w:spacing w:after="0" w:line="130" w:lineRule="exact"/>
              <w:rPr>
                <w:sz w:val="20"/>
                <w:szCs w:val="20"/>
                <w:color w:val="auto"/>
              </w:rPr>
            </w:pPr>
            <w:r>
              <w:rPr>
                <w:rFonts w:ascii="Arial" w:cs="Arial" w:eastAsia="Arial" w:hAnsi="Arial"/>
                <w:sz w:val="14"/>
                <w:szCs w:val="14"/>
                <w:color w:val="auto"/>
              </w:rPr>
              <w:t>15.2</w:t>
            </w:r>
          </w:p>
        </w:tc>
        <w:tc>
          <w:tcPr>
            <w:tcW w:w="1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Discounted cash flow</w:t>
            </w:r>
          </w:p>
        </w:tc>
        <w:tc>
          <w:tcPr>
            <w:tcW w:w="2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 rate (1)</w:t>
            </w:r>
          </w:p>
        </w:tc>
        <w:tc>
          <w:tcPr>
            <w:tcW w:w="1740" w:type="dxa"/>
            <w:vAlign w:val="bottom"/>
            <w:gridSpan w:val="3"/>
            <w:shd w:val="clear" w:color="auto" w:fill="CCEEFF"/>
          </w:tcPr>
          <w:p>
            <w:pPr>
              <w:jc w:val="right"/>
              <w:ind w:right="340"/>
              <w:spacing w:after="0" w:line="130" w:lineRule="exact"/>
              <w:rPr>
                <w:sz w:val="20"/>
                <w:szCs w:val="20"/>
                <w:color w:val="auto"/>
              </w:rPr>
            </w:pPr>
            <w:r>
              <w:rPr>
                <w:rFonts w:ascii="Arial" w:cs="Arial" w:eastAsia="Arial" w:hAnsi="Arial"/>
                <w:sz w:val="14"/>
                <w:szCs w:val="14"/>
                <w:color w:val="auto"/>
              </w:rPr>
              <w:t>1.8%-126.9%</w:t>
            </w:r>
          </w:p>
        </w:tc>
        <w:tc>
          <w:tcPr>
            <w:tcW w:w="1100" w:type="dxa"/>
            <w:vAlign w:val="bottom"/>
            <w:gridSpan w:val="2"/>
            <w:shd w:val="clear" w:color="auto" w:fill="CCEEFF"/>
          </w:tcPr>
          <w:p>
            <w:pPr>
              <w:jc w:val="right"/>
              <w:ind w:right="180"/>
              <w:spacing w:after="0" w:line="130" w:lineRule="exact"/>
              <w:rPr>
                <w:sz w:val="20"/>
                <w:szCs w:val="20"/>
                <w:color w:val="auto"/>
              </w:rPr>
            </w:pPr>
            <w:r>
              <w:rPr>
                <w:rFonts w:ascii="Arial" w:cs="Arial" w:eastAsia="Arial" w:hAnsi="Arial"/>
                <w:sz w:val="14"/>
                <w:szCs w:val="14"/>
                <w:color w:val="auto"/>
              </w:rPr>
              <w:t>3.5%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28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4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rPr>
              <w:t>100.4</w:t>
            </w:r>
          </w:p>
        </w:tc>
        <w:tc>
          <w:tcPr>
            <w:tcW w:w="180" w:type="dxa"/>
            <w:vAlign w:val="bottom"/>
            <w:shd w:val="clear" w:color="auto" w:fill="CCEEFF"/>
          </w:tcPr>
          <w:p>
            <w:pPr>
              <w:spacing w:after="0"/>
              <w:rPr>
                <w:sz w:val="14"/>
                <w:szCs w:val="14"/>
                <w:color w:val="auto"/>
              </w:rPr>
            </w:pPr>
          </w:p>
        </w:tc>
        <w:tc>
          <w:tcPr>
            <w:tcW w:w="2060" w:type="dxa"/>
            <w:vAlign w:val="bottom"/>
            <w:vMerge w:val="restart"/>
            <w:shd w:val="clear" w:color="auto" w:fill="CCEEFF"/>
          </w:tcPr>
          <w:p>
            <w:pPr>
              <w:spacing w:after="0"/>
              <w:rPr>
                <w:sz w:val="20"/>
                <w:szCs w:val="20"/>
                <w:color w:val="auto"/>
              </w:rPr>
            </w:pPr>
            <w:r>
              <w:rPr>
                <w:rFonts w:ascii="Arial" w:cs="Arial" w:eastAsia="Arial" w:hAnsi="Arial"/>
                <w:sz w:val="14"/>
                <w:szCs w:val="14"/>
                <w:color w:val="auto"/>
              </w:rPr>
              <w:t>See note (2)</w:t>
            </w:r>
          </w:p>
        </w:tc>
        <w:tc>
          <w:tcPr>
            <w:tcW w:w="280" w:type="dxa"/>
            <w:vAlign w:val="bottom"/>
            <w:shd w:val="clear" w:color="auto" w:fill="CCEEFF"/>
          </w:tcPr>
          <w:p>
            <w:pPr>
              <w:spacing w:after="0"/>
              <w:rPr>
                <w:sz w:val="14"/>
                <w:szCs w:val="14"/>
                <w:color w:val="auto"/>
              </w:rPr>
            </w:pPr>
          </w:p>
        </w:tc>
        <w:tc>
          <w:tcPr>
            <w:tcW w:w="2060" w:type="dxa"/>
            <w:vAlign w:val="bottom"/>
            <w:shd w:val="clear" w:color="auto" w:fill="CCEEFF"/>
          </w:tcPr>
          <w:p>
            <w:pPr>
              <w:spacing w:after="0"/>
              <w:rPr>
                <w:sz w:val="20"/>
                <w:szCs w:val="20"/>
                <w:color w:val="auto"/>
              </w:rPr>
            </w:pPr>
            <w:r>
              <w:rPr>
                <w:rFonts w:ascii="Arial" w:cs="Arial" w:eastAsia="Arial" w:hAnsi="Arial"/>
                <w:sz w:val="14"/>
                <w:szCs w:val="14"/>
                <w:color w:val="auto"/>
              </w:rPr>
              <w:t>Illiquidity premium</w:t>
            </w:r>
          </w:p>
        </w:tc>
        <w:tc>
          <w:tcPr>
            <w:tcW w:w="280" w:type="dxa"/>
            <w:vAlign w:val="bottom"/>
            <w:shd w:val="clear" w:color="auto" w:fill="CCEEFF"/>
          </w:tcPr>
          <w:p>
            <w:pPr>
              <w:spacing w:after="0"/>
              <w:rPr>
                <w:sz w:val="14"/>
                <w:szCs w:val="14"/>
                <w:color w:val="auto"/>
              </w:rPr>
            </w:pPr>
          </w:p>
        </w:tc>
        <w:tc>
          <w:tcPr>
            <w:tcW w:w="1460" w:type="dxa"/>
            <w:vAlign w:val="bottom"/>
            <w:gridSpan w:val="2"/>
            <w:shd w:val="clear" w:color="auto" w:fill="CCEEFF"/>
          </w:tcPr>
          <w:p>
            <w:pPr>
              <w:jc w:val="right"/>
              <w:ind w:right="340"/>
              <w:spacing w:after="0"/>
              <w:rPr>
                <w:sz w:val="20"/>
                <w:szCs w:val="20"/>
                <w:color w:val="auto"/>
              </w:rPr>
            </w:pPr>
            <w:r>
              <w:rPr>
                <w:rFonts w:ascii="Arial" w:cs="Arial" w:eastAsia="Arial" w:hAnsi="Arial"/>
                <w:sz w:val="14"/>
                <w:szCs w:val="14"/>
                <w:color w:val="auto"/>
              </w:rPr>
              <w:t>200bps-1,400bps</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460bps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2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40" w:type="dxa"/>
            <w:vAlign w:val="bottom"/>
            <w:gridSpan w:val="2"/>
            <w:vMerge w:val="continue"/>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vMerge w:val="continue"/>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560" w:type="dxa"/>
            <w:vAlign w:val="bottom"/>
            <w:gridSpan w:val="2"/>
          </w:tcPr>
          <w:p>
            <w:pPr>
              <w:spacing w:after="0" w:line="130" w:lineRule="exact"/>
              <w:rPr>
                <w:sz w:val="20"/>
                <w:szCs w:val="20"/>
                <w:color w:val="auto"/>
              </w:rPr>
            </w:pPr>
            <w:r>
              <w:rPr>
                <w:rFonts w:ascii="Arial" w:cs="Arial" w:eastAsia="Arial" w:hAnsi="Arial"/>
                <w:sz w:val="14"/>
                <w:szCs w:val="14"/>
                <w:color w:val="auto"/>
              </w:rPr>
              <w:t>Other investments</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35.0</w:t>
            </w:r>
          </w:p>
        </w:tc>
        <w:tc>
          <w:tcPr>
            <w:tcW w:w="180" w:type="dxa"/>
            <w:vAlign w:val="bottom"/>
          </w:tcPr>
          <w:p>
            <w:pPr>
              <w:spacing w:after="0"/>
              <w:rPr>
                <w:sz w:val="11"/>
                <w:szCs w:val="11"/>
                <w:color w:val="auto"/>
              </w:rPr>
            </w:pPr>
          </w:p>
        </w:tc>
        <w:tc>
          <w:tcPr>
            <w:tcW w:w="2060" w:type="dxa"/>
            <w:vAlign w:val="bottom"/>
          </w:tcPr>
          <w:p>
            <w:pPr>
              <w:spacing w:after="0" w:line="130" w:lineRule="exact"/>
              <w:rPr>
                <w:sz w:val="20"/>
                <w:szCs w:val="20"/>
                <w:color w:val="auto"/>
              </w:rPr>
            </w:pPr>
            <w:r>
              <w:rPr>
                <w:rFonts w:ascii="Arial" w:cs="Arial" w:eastAsia="Arial" w:hAnsi="Arial"/>
                <w:sz w:val="14"/>
                <w:szCs w:val="14"/>
                <w:color w:val="auto"/>
                <w:w w:val="94"/>
              </w:rPr>
              <w:t>Discounted cash flow - commercial</w:t>
            </w:r>
          </w:p>
        </w:tc>
        <w:tc>
          <w:tcPr>
            <w:tcW w:w="280" w:type="dxa"/>
            <w:vAlign w:val="bottom"/>
          </w:tcPr>
          <w:p>
            <w:pPr>
              <w:spacing w:after="0"/>
              <w:rPr>
                <w:sz w:val="11"/>
                <w:szCs w:val="11"/>
                <w:color w:val="auto"/>
              </w:rPr>
            </w:pPr>
          </w:p>
        </w:tc>
        <w:tc>
          <w:tcPr>
            <w:tcW w:w="2060" w:type="dxa"/>
            <w:vAlign w:val="bottom"/>
          </w:tcPr>
          <w:p>
            <w:pPr>
              <w:spacing w:after="0" w:line="130" w:lineRule="exact"/>
              <w:rPr>
                <w:sz w:val="20"/>
                <w:szCs w:val="20"/>
                <w:color w:val="auto"/>
              </w:rPr>
            </w:pPr>
            <w:r>
              <w:rPr>
                <w:rFonts w:ascii="Arial" w:cs="Arial" w:eastAsia="Arial" w:hAnsi="Arial"/>
                <w:sz w:val="14"/>
                <w:szCs w:val="14"/>
                <w:color w:val="auto"/>
              </w:rPr>
              <w:t>Discount rate (1)</w:t>
            </w:r>
          </w:p>
        </w:tc>
        <w:tc>
          <w:tcPr>
            <w:tcW w:w="1740" w:type="dxa"/>
            <w:vAlign w:val="bottom"/>
            <w:gridSpan w:val="3"/>
          </w:tcPr>
          <w:p>
            <w:pPr>
              <w:jc w:val="right"/>
              <w:ind w:right="340"/>
              <w:spacing w:after="0" w:line="130" w:lineRule="exact"/>
              <w:rPr>
                <w:sz w:val="20"/>
                <w:szCs w:val="20"/>
                <w:color w:val="auto"/>
              </w:rPr>
            </w:pPr>
            <w:r>
              <w:rPr>
                <w:rFonts w:ascii="Arial" w:cs="Arial" w:eastAsia="Arial" w:hAnsi="Arial"/>
                <w:sz w:val="14"/>
                <w:szCs w:val="14"/>
                <w:color w:val="auto"/>
              </w:rPr>
              <w:t>4.2%</w:t>
            </w:r>
          </w:p>
        </w:tc>
        <w:tc>
          <w:tcPr>
            <w:tcW w:w="1100" w:type="dxa"/>
            <w:vAlign w:val="bottom"/>
            <w:gridSpan w:val="2"/>
          </w:tcPr>
          <w:p>
            <w:pPr>
              <w:jc w:val="right"/>
              <w:ind w:right="180"/>
              <w:spacing w:after="0" w:line="130" w:lineRule="exact"/>
              <w:rPr>
                <w:sz w:val="20"/>
                <w:szCs w:val="20"/>
                <w:color w:val="auto"/>
              </w:rPr>
            </w:pPr>
            <w:r>
              <w:rPr>
                <w:rFonts w:ascii="Arial" w:cs="Arial" w:eastAsia="Arial" w:hAnsi="Arial"/>
                <w:sz w:val="14"/>
                <w:szCs w:val="14"/>
                <w:color w:val="auto"/>
              </w:rPr>
              <w:t>4.2%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ind w:left="180"/>
              <w:spacing w:after="0" w:line="149" w:lineRule="exact"/>
              <w:rPr>
                <w:sz w:val="20"/>
                <w:szCs w:val="20"/>
                <w:color w:val="auto"/>
              </w:rPr>
            </w:pPr>
            <w:r>
              <w:rPr>
                <w:rFonts w:ascii="Arial" w:cs="Arial" w:eastAsia="Arial" w:hAnsi="Arial"/>
                <w:sz w:val="14"/>
                <w:szCs w:val="14"/>
                <w:color w:val="auto"/>
                <w:w w:val="95"/>
              </w:rPr>
              <w:t>mortgage loans of consolidated</w:t>
            </w:r>
          </w:p>
        </w:tc>
        <w:tc>
          <w:tcPr>
            <w:tcW w:w="2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60" w:type="dxa"/>
            <w:vAlign w:val="bottom"/>
          </w:tcPr>
          <w:p>
            <w:pPr>
              <w:ind w:left="180"/>
              <w:spacing w:after="0"/>
              <w:rPr>
                <w:sz w:val="20"/>
                <w:szCs w:val="20"/>
                <w:color w:val="auto"/>
              </w:rPr>
            </w:pPr>
            <w:r>
              <w:rPr>
                <w:rFonts w:ascii="Arial" w:cs="Arial" w:eastAsia="Arial" w:hAnsi="Arial"/>
                <w:sz w:val="14"/>
                <w:szCs w:val="14"/>
                <w:color w:val="auto"/>
              </w:rPr>
              <w:t>VIEs</w:t>
            </w:r>
          </w:p>
        </w:tc>
        <w:tc>
          <w:tcPr>
            <w:tcW w:w="280" w:type="dxa"/>
            <w:vAlign w:val="bottom"/>
          </w:tcPr>
          <w:p>
            <w:pPr>
              <w:spacing w:after="0"/>
              <w:rPr>
                <w:sz w:val="15"/>
                <w:szCs w:val="15"/>
                <w:color w:val="auto"/>
              </w:rPr>
            </w:pPr>
          </w:p>
        </w:tc>
        <w:tc>
          <w:tcPr>
            <w:tcW w:w="2060" w:type="dxa"/>
            <w:vAlign w:val="bottom"/>
            <w:vMerge w:val="restart"/>
          </w:tcPr>
          <w:p>
            <w:pPr>
              <w:spacing w:after="0"/>
              <w:rPr>
                <w:sz w:val="20"/>
                <w:szCs w:val="20"/>
                <w:color w:val="auto"/>
              </w:rPr>
            </w:pPr>
            <w:r>
              <w:rPr>
                <w:rFonts w:ascii="Arial" w:cs="Arial" w:eastAsia="Arial" w:hAnsi="Arial"/>
                <w:sz w:val="14"/>
                <w:szCs w:val="14"/>
                <w:color w:val="auto"/>
              </w:rPr>
              <w:t>Illiquidity premium</w:t>
            </w:r>
          </w:p>
        </w:tc>
        <w:tc>
          <w:tcPr>
            <w:tcW w:w="280" w:type="dxa"/>
            <w:vAlign w:val="bottom"/>
          </w:tcPr>
          <w:p>
            <w:pPr>
              <w:spacing w:after="0"/>
              <w:rPr>
                <w:sz w:val="15"/>
                <w:szCs w:val="15"/>
                <w:color w:val="auto"/>
              </w:rPr>
            </w:pPr>
          </w:p>
        </w:tc>
        <w:tc>
          <w:tcPr>
            <w:tcW w:w="1460" w:type="dxa"/>
            <w:vAlign w:val="bottom"/>
            <w:gridSpan w:val="2"/>
            <w:vMerge w:val="restart"/>
          </w:tcPr>
          <w:p>
            <w:pPr>
              <w:jc w:val="right"/>
              <w:ind w:right="340"/>
              <w:spacing w:after="0"/>
              <w:rPr>
                <w:sz w:val="20"/>
                <w:szCs w:val="20"/>
                <w:color w:val="auto"/>
              </w:rPr>
            </w:pPr>
            <w:r>
              <w:rPr>
                <w:rFonts w:ascii="Arial" w:cs="Arial" w:eastAsia="Arial" w:hAnsi="Arial"/>
                <w:sz w:val="14"/>
                <w:szCs w:val="14"/>
                <w:color w:val="auto"/>
              </w:rPr>
              <w:t>76bps</w:t>
            </w:r>
          </w:p>
        </w:tc>
        <w:tc>
          <w:tcPr>
            <w:tcW w:w="110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rPr>
              <w:t>76bps</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12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20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6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1460" w:type="dxa"/>
            <w:vAlign w:val="bottom"/>
            <w:gridSpan w:val="2"/>
            <w:vMerge w:val="continue"/>
          </w:tcPr>
          <w:p>
            <w:pPr>
              <w:spacing w:after="0"/>
              <w:rPr>
                <w:sz w:val="9"/>
                <w:szCs w:val="9"/>
                <w:color w:val="auto"/>
              </w:rPr>
            </w:pPr>
          </w:p>
        </w:tc>
        <w:tc>
          <w:tcPr>
            <w:tcW w:w="11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92.2</w:t>
            </w:r>
          </w:p>
        </w:tc>
        <w:tc>
          <w:tcPr>
            <w:tcW w:w="180" w:type="dxa"/>
            <w:vAlign w:val="bottom"/>
          </w:tcPr>
          <w:p>
            <w:pPr>
              <w:spacing w:after="0"/>
              <w:rPr>
                <w:sz w:val="12"/>
                <w:szCs w:val="12"/>
                <w:color w:val="auto"/>
              </w:rPr>
            </w:pPr>
          </w:p>
        </w:tc>
        <w:tc>
          <w:tcPr>
            <w:tcW w:w="2060" w:type="dxa"/>
            <w:vAlign w:val="bottom"/>
          </w:tcPr>
          <w:p>
            <w:pPr>
              <w:spacing w:after="0" w:line="149" w:lineRule="exact"/>
              <w:rPr>
                <w:sz w:val="20"/>
                <w:szCs w:val="20"/>
                <w:color w:val="auto"/>
              </w:rPr>
            </w:pPr>
            <w:r>
              <w:rPr>
                <w:rFonts w:ascii="Arial" w:cs="Arial" w:eastAsia="Arial" w:hAnsi="Arial"/>
                <w:sz w:val="14"/>
                <w:szCs w:val="14"/>
                <w:color w:val="auto"/>
              </w:rPr>
              <w:t>Discounted cash flow - equity</w:t>
            </w:r>
          </w:p>
        </w:tc>
        <w:tc>
          <w:tcPr>
            <w:tcW w:w="280" w:type="dxa"/>
            <w:vAlign w:val="bottom"/>
          </w:tcPr>
          <w:p>
            <w:pPr>
              <w:spacing w:after="0"/>
              <w:rPr>
                <w:sz w:val="12"/>
                <w:szCs w:val="12"/>
                <w:color w:val="auto"/>
              </w:rPr>
            </w:pPr>
          </w:p>
        </w:tc>
        <w:tc>
          <w:tcPr>
            <w:tcW w:w="2060" w:type="dxa"/>
            <w:vAlign w:val="bottom"/>
          </w:tcPr>
          <w:p>
            <w:pPr>
              <w:spacing w:after="0" w:line="149" w:lineRule="exact"/>
              <w:rPr>
                <w:sz w:val="20"/>
                <w:szCs w:val="20"/>
                <w:color w:val="auto"/>
              </w:rPr>
            </w:pPr>
            <w:r>
              <w:rPr>
                <w:rFonts w:ascii="Arial" w:cs="Arial" w:eastAsia="Arial" w:hAnsi="Arial"/>
                <w:sz w:val="14"/>
                <w:szCs w:val="14"/>
                <w:color w:val="auto"/>
              </w:rPr>
              <w:t>Discount rate (1)</w:t>
            </w:r>
          </w:p>
        </w:tc>
        <w:tc>
          <w:tcPr>
            <w:tcW w:w="1740" w:type="dxa"/>
            <w:vAlign w:val="bottom"/>
            <w:gridSpan w:val="3"/>
          </w:tcPr>
          <w:p>
            <w:pPr>
              <w:jc w:val="right"/>
              <w:ind w:right="340"/>
              <w:spacing w:after="0" w:line="149" w:lineRule="exact"/>
              <w:rPr>
                <w:sz w:val="20"/>
                <w:szCs w:val="20"/>
                <w:color w:val="auto"/>
              </w:rPr>
            </w:pPr>
            <w:r>
              <w:rPr>
                <w:rFonts w:ascii="Arial" w:cs="Arial" w:eastAsia="Arial" w:hAnsi="Arial"/>
                <w:sz w:val="14"/>
                <w:szCs w:val="14"/>
                <w:color w:val="auto"/>
              </w:rPr>
              <w:t>7.3%-8.0%</w:t>
            </w:r>
          </w:p>
        </w:tc>
        <w:tc>
          <w:tcPr>
            <w:tcW w:w="11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7.6%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60" w:type="dxa"/>
            <w:vAlign w:val="bottom"/>
          </w:tcPr>
          <w:p>
            <w:pPr>
              <w:ind w:left="180"/>
              <w:spacing w:after="0"/>
              <w:rPr>
                <w:sz w:val="20"/>
                <w:szCs w:val="20"/>
                <w:color w:val="auto"/>
              </w:rPr>
            </w:pPr>
            <w:r>
              <w:rPr>
                <w:rFonts w:ascii="Arial" w:cs="Arial" w:eastAsia="Arial" w:hAnsi="Arial"/>
                <w:sz w:val="14"/>
                <w:szCs w:val="14"/>
                <w:color w:val="auto"/>
                <w:w w:val="95"/>
              </w:rPr>
              <w:t>method real estate investments</w:t>
            </w:r>
          </w:p>
        </w:tc>
        <w:tc>
          <w:tcPr>
            <w:tcW w:w="280" w:type="dxa"/>
            <w:vAlign w:val="bottom"/>
          </w:tcPr>
          <w:p>
            <w:pPr>
              <w:spacing w:after="0"/>
              <w:rPr>
                <w:sz w:val="15"/>
                <w:szCs w:val="15"/>
                <w:color w:val="auto"/>
              </w:rPr>
            </w:pPr>
          </w:p>
        </w:tc>
        <w:tc>
          <w:tcPr>
            <w:tcW w:w="2060" w:type="dxa"/>
            <w:vAlign w:val="bottom"/>
            <w:vMerge w:val="restart"/>
          </w:tcPr>
          <w:p>
            <w:pPr>
              <w:spacing w:after="0"/>
              <w:rPr>
                <w:sz w:val="20"/>
                <w:szCs w:val="20"/>
                <w:color w:val="auto"/>
              </w:rPr>
            </w:pPr>
            <w:r>
              <w:rPr>
                <w:rFonts w:ascii="Arial" w:cs="Arial" w:eastAsia="Arial" w:hAnsi="Arial"/>
                <w:sz w:val="14"/>
                <w:szCs w:val="14"/>
                <w:color w:val="auto"/>
              </w:rPr>
              <w:t>Terminal capitalization rate</w:t>
            </w:r>
          </w:p>
        </w:tc>
        <w:tc>
          <w:tcPr>
            <w:tcW w:w="1740" w:type="dxa"/>
            <w:vAlign w:val="bottom"/>
            <w:gridSpan w:val="3"/>
            <w:vMerge w:val="restart"/>
          </w:tcPr>
          <w:p>
            <w:pPr>
              <w:jc w:val="right"/>
              <w:ind w:right="340"/>
              <w:spacing w:after="0"/>
              <w:rPr>
                <w:sz w:val="20"/>
                <w:szCs w:val="20"/>
                <w:color w:val="auto"/>
              </w:rPr>
            </w:pPr>
            <w:r>
              <w:rPr>
                <w:rFonts w:ascii="Arial" w:cs="Arial" w:eastAsia="Arial" w:hAnsi="Arial"/>
                <w:sz w:val="14"/>
                <w:szCs w:val="14"/>
                <w:color w:val="auto"/>
              </w:rPr>
              <w:t>5.5%-6.8%</w:t>
            </w:r>
          </w:p>
        </w:tc>
        <w:tc>
          <w:tcPr>
            <w:tcW w:w="110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6.1%</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12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20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60" w:type="dxa"/>
            <w:vAlign w:val="bottom"/>
            <w:vMerge w:val="continue"/>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11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Pr>
          <w:p>
            <w:pPr>
              <w:spacing w:after="0" w:line="149" w:lineRule="exact"/>
              <w:rPr>
                <w:sz w:val="20"/>
                <w:szCs w:val="20"/>
                <w:color w:val="auto"/>
              </w:rPr>
            </w:pPr>
            <w:r>
              <w:rPr>
                <w:rFonts w:ascii="Arial" w:cs="Arial" w:eastAsia="Arial" w:hAnsi="Arial"/>
                <w:sz w:val="14"/>
                <w:szCs w:val="14"/>
                <w:color w:val="auto"/>
              </w:rPr>
              <w:t>Average market rent growth rate</w:t>
            </w:r>
          </w:p>
        </w:tc>
        <w:tc>
          <w:tcPr>
            <w:tcW w:w="1740" w:type="dxa"/>
            <w:vAlign w:val="bottom"/>
            <w:gridSpan w:val="3"/>
          </w:tcPr>
          <w:p>
            <w:pPr>
              <w:jc w:val="right"/>
              <w:ind w:right="340"/>
              <w:spacing w:after="0" w:line="149" w:lineRule="exact"/>
              <w:rPr>
                <w:sz w:val="20"/>
                <w:szCs w:val="20"/>
                <w:color w:val="auto"/>
              </w:rPr>
            </w:pPr>
            <w:r>
              <w:rPr>
                <w:rFonts w:ascii="Arial" w:cs="Arial" w:eastAsia="Arial" w:hAnsi="Arial"/>
                <w:sz w:val="14"/>
                <w:szCs w:val="14"/>
                <w:color w:val="auto"/>
              </w:rPr>
              <w:t>3.3%-3.7%</w:t>
            </w:r>
          </w:p>
        </w:tc>
        <w:tc>
          <w:tcPr>
            <w:tcW w:w="11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3.5%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spacing w:after="0" w:line="149" w:lineRule="exact"/>
              <w:rPr>
                <w:sz w:val="20"/>
                <w:szCs w:val="20"/>
                <w:color w:val="auto"/>
              </w:rPr>
            </w:pPr>
            <w:r>
              <w:rPr>
                <w:rFonts w:ascii="Arial" w:cs="Arial" w:eastAsia="Arial" w:hAnsi="Arial"/>
                <w:sz w:val="14"/>
                <w:szCs w:val="14"/>
                <w:color w:val="auto"/>
              </w:rPr>
              <w:t>Discounted cash flow - equity</w:t>
            </w:r>
          </w:p>
        </w:tc>
        <w:tc>
          <w:tcPr>
            <w:tcW w:w="280" w:type="dxa"/>
            <w:vAlign w:val="bottom"/>
          </w:tcPr>
          <w:p>
            <w:pPr>
              <w:spacing w:after="0"/>
              <w:rPr>
                <w:sz w:val="12"/>
                <w:szCs w:val="12"/>
                <w:color w:val="auto"/>
              </w:rPr>
            </w:pPr>
          </w:p>
        </w:tc>
        <w:tc>
          <w:tcPr>
            <w:tcW w:w="2060" w:type="dxa"/>
            <w:vAlign w:val="bottom"/>
          </w:tcPr>
          <w:p>
            <w:pPr>
              <w:spacing w:after="0" w:line="149" w:lineRule="exact"/>
              <w:rPr>
                <w:sz w:val="20"/>
                <w:szCs w:val="20"/>
                <w:color w:val="auto"/>
              </w:rPr>
            </w:pPr>
            <w:r>
              <w:rPr>
                <w:rFonts w:ascii="Arial" w:cs="Arial" w:eastAsia="Arial" w:hAnsi="Arial"/>
                <w:sz w:val="14"/>
                <w:szCs w:val="14"/>
                <w:color w:val="auto"/>
              </w:rPr>
              <w:t>Loan to value</w:t>
            </w:r>
          </w:p>
        </w:tc>
        <w:tc>
          <w:tcPr>
            <w:tcW w:w="1740" w:type="dxa"/>
            <w:vAlign w:val="bottom"/>
            <w:gridSpan w:val="3"/>
          </w:tcPr>
          <w:p>
            <w:pPr>
              <w:jc w:val="right"/>
              <w:ind w:right="340"/>
              <w:spacing w:after="0" w:line="149" w:lineRule="exact"/>
              <w:rPr>
                <w:sz w:val="20"/>
                <w:szCs w:val="20"/>
                <w:color w:val="auto"/>
              </w:rPr>
            </w:pPr>
            <w:r>
              <w:rPr>
                <w:rFonts w:ascii="Arial" w:cs="Arial" w:eastAsia="Arial" w:hAnsi="Arial"/>
                <w:sz w:val="14"/>
                <w:szCs w:val="14"/>
                <w:color w:val="auto"/>
              </w:rPr>
              <w:t>34.2%-58.9%</w:t>
            </w:r>
          </w:p>
        </w:tc>
        <w:tc>
          <w:tcPr>
            <w:tcW w:w="11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46.5%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ind w:left="180"/>
              <w:spacing w:after="0" w:line="149" w:lineRule="exact"/>
              <w:rPr>
                <w:sz w:val="20"/>
                <w:szCs w:val="20"/>
                <w:color w:val="auto"/>
              </w:rPr>
            </w:pPr>
            <w:r>
              <w:rPr>
                <w:rFonts w:ascii="Arial" w:cs="Arial" w:eastAsia="Arial" w:hAnsi="Arial"/>
                <w:sz w:val="14"/>
                <w:szCs w:val="14"/>
                <w:color w:val="auto"/>
                <w:w w:val="91"/>
              </w:rPr>
              <w:t>method real estate investments -</w:t>
            </w:r>
          </w:p>
        </w:tc>
        <w:tc>
          <w:tcPr>
            <w:tcW w:w="2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12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60" w:type="dxa"/>
            <w:vAlign w:val="bottom"/>
          </w:tcPr>
          <w:p>
            <w:pPr>
              <w:ind w:left="180"/>
              <w:spacing w:after="0"/>
              <w:rPr>
                <w:sz w:val="20"/>
                <w:szCs w:val="20"/>
                <w:color w:val="auto"/>
              </w:rPr>
            </w:pPr>
            <w:r>
              <w:rPr>
                <w:rFonts w:ascii="Arial" w:cs="Arial" w:eastAsia="Arial" w:hAnsi="Arial"/>
                <w:sz w:val="14"/>
                <w:szCs w:val="14"/>
                <w:color w:val="auto"/>
              </w:rPr>
              <w:t>debt</w:t>
            </w:r>
          </w:p>
        </w:tc>
        <w:tc>
          <w:tcPr>
            <w:tcW w:w="280" w:type="dxa"/>
            <w:vAlign w:val="bottom"/>
          </w:tcPr>
          <w:p>
            <w:pPr>
              <w:spacing w:after="0"/>
              <w:rPr>
                <w:sz w:val="15"/>
                <w:szCs w:val="15"/>
                <w:color w:val="auto"/>
              </w:rPr>
            </w:pPr>
          </w:p>
        </w:tc>
        <w:tc>
          <w:tcPr>
            <w:tcW w:w="2060" w:type="dxa"/>
            <w:vAlign w:val="bottom"/>
            <w:vMerge w:val="restart"/>
          </w:tcPr>
          <w:p>
            <w:pPr>
              <w:spacing w:after="0"/>
              <w:rPr>
                <w:sz w:val="20"/>
                <w:szCs w:val="20"/>
                <w:color w:val="auto"/>
              </w:rPr>
            </w:pPr>
            <w:r>
              <w:rPr>
                <w:rFonts w:ascii="Arial" w:cs="Arial" w:eastAsia="Arial" w:hAnsi="Arial"/>
                <w:sz w:val="14"/>
                <w:szCs w:val="14"/>
                <w:color w:val="auto"/>
              </w:rPr>
              <w:t>Credit spread rate</w:t>
            </w:r>
          </w:p>
        </w:tc>
        <w:tc>
          <w:tcPr>
            <w:tcW w:w="1740" w:type="dxa"/>
            <w:vAlign w:val="bottom"/>
            <w:gridSpan w:val="3"/>
            <w:vMerge w:val="restart"/>
          </w:tcPr>
          <w:p>
            <w:pPr>
              <w:jc w:val="right"/>
              <w:ind w:right="340"/>
              <w:spacing w:after="0"/>
              <w:rPr>
                <w:sz w:val="20"/>
                <w:szCs w:val="20"/>
                <w:color w:val="auto"/>
              </w:rPr>
            </w:pPr>
            <w:r>
              <w:rPr>
                <w:rFonts w:ascii="Arial" w:cs="Arial" w:eastAsia="Arial" w:hAnsi="Arial"/>
                <w:sz w:val="14"/>
                <w:szCs w:val="14"/>
                <w:color w:val="auto"/>
              </w:rPr>
              <w:t>1.8%-2.0%</w:t>
            </w:r>
          </w:p>
        </w:tc>
        <w:tc>
          <w:tcPr>
            <w:tcW w:w="110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1.9%</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vMerge w:val="continue"/>
          </w:tcPr>
          <w:p>
            <w:pPr>
              <w:spacing w:after="0"/>
              <w:rPr>
                <w:sz w:val="12"/>
                <w:szCs w:val="12"/>
                <w:color w:val="auto"/>
              </w:rPr>
            </w:pPr>
          </w:p>
        </w:tc>
        <w:tc>
          <w:tcPr>
            <w:tcW w:w="1740" w:type="dxa"/>
            <w:vAlign w:val="bottom"/>
            <w:gridSpan w:val="3"/>
            <w:vMerge w:val="continue"/>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17"/>
        </w:trPr>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40" w:type="dxa"/>
            <w:vAlign w:val="bottom"/>
            <w:gridSpan w:val="2"/>
          </w:tcPr>
          <w:p>
            <w:pPr>
              <w:jc w:val="center"/>
              <w:ind w:left="1090"/>
              <w:spacing w:after="0"/>
              <w:rPr>
                <w:sz w:val="20"/>
                <w:szCs w:val="20"/>
                <w:color w:val="auto"/>
              </w:rPr>
            </w:pPr>
            <w:r>
              <w:rPr>
                <w:rFonts w:ascii="Arial" w:cs="Arial" w:eastAsia="Arial" w:hAnsi="Arial"/>
                <w:sz w:val="18"/>
                <w:szCs w:val="18"/>
                <w:color w:val="auto"/>
                <w:w w:val="89"/>
              </w:rPr>
              <w:t>65</w:t>
            </w:r>
          </w:p>
        </w:tc>
        <w:tc>
          <w:tcPr>
            <w:tcW w:w="2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tcPr>
          <w:p>
            <w:pPr>
              <w:spacing w:after="0"/>
              <w:rPr>
                <w:sz w:val="11"/>
                <w:szCs w:val="11"/>
                <w:color w:val="auto"/>
              </w:rPr>
            </w:pPr>
          </w:p>
        </w:tc>
        <w:tc>
          <w:tcPr>
            <w:tcW w:w="128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20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0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12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2560" w:type="dxa"/>
            <w:vAlign w:val="bottom"/>
            <w:gridSpan w:val="2"/>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1280" w:type="dxa"/>
            <w:vAlign w:val="bottom"/>
            <w:tcBorders>
              <w:top w:val="single" w:sz="8" w:color="0000EE"/>
            </w:tcBorders>
          </w:tcPr>
          <w:p>
            <w:pPr>
              <w:spacing w:after="0"/>
              <w:rPr>
                <w:sz w:val="24"/>
                <w:szCs w:val="24"/>
                <w:color w:val="auto"/>
              </w:rPr>
            </w:pPr>
          </w:p>
        </w:tc>
        <w:tc>
          <w:tcPr>
            <w:tcW w:w="1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0" w:type="dxa"/>
            <w:vAlign w:val="bottom"/>
            <w:gridSpan w:val="3"/>
          </w:tcPr>
          <w:p>
            <w:pPr>
              <w:jc w:val="center"/>
              <w:ind w:right="1268"/>
              <w:spacing w:after="0"/>
              <w:rPr>
                <w:sz w:val="20"/>
                <w:szCs w:val="20"/>
                <w:color w:val="auto"/>
              </w:rPr>
            </w:pPr>
            <w:r>
              <w:rPr>
                <w:rFonts w:ascii="Arial" w:cs="Arial" w:eastAsia="Arial" w:hAnsi="Arial"/>
                <w:sz w:val="18"/>
                <w:szCs w:val="18"/>
                <w:b w:val="1"/>
                <w:bCs w:val="1"/>
                <w:color w:val="auto"/>
                <w:w w:val="93"/>
              </w:rPr>
              <w:t>Principal Financial Group, Inc.</w:t>
            </w:r>
          </w:p>
        </w:tc>
        <w:tc>
          <w:tcPr>
            <w:tcW w:w="2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580" w:type="dxa"/>
            <w:vAlign w:val="bottom"/>
            <w:gridSpan w:val="4"/>
          </w:tcPr>
          <w:p>
            <w:pPr>
              <w:jc w:val="center"/>
              <w:ind w:right="1088"/>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00" w:type="dxa"/>
            <w:vAlign w:val="bottom"/>
            <w:gridSpan w:val="3"/>
          </w:tcPr>
          <w:p>
            <w:pPr>
              <w:jc w:val="center"/>
              <w:ind w:right="1268"/>
              <w:spacing w:after="0"/>
              <w:rPr>
                <w:sz w:val="20"/>
                <w:szCs w:val="20"/>
                <w:color w:val="auto"/>
              </w:rPr>
            </w:pPr>
            <w:r>
              <w:rPr>
                <w:rFonts w:ascii="Arial" w:cs="Arial" w:eastAsia="Arial" w:hAnsi="Arial"/>
                <w:sz w:val="18"/>
                <w:szCs w:val="18"/>
                <w:b w:val="1"/>
                <w:bCs w:val="1"/>
                <w:color w:val="auto"/>
                <w:w w:val="89"/>
              </w:rPr>
              <w:t>September 30, 2015</w:t>
            </w: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2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60" w:type="dxa"/>
            <w:vAlign w:val="bottom"/>
          </w:tcPr>
          <w:p>
            <w:pPr>
              <w:jc w:val="center"/>
              <w:ind w:left="925"/>
              <w:spacing w:after="0"/>
              <w:rPr>
                <w:sz w:val="20"/>
                <w:szCs w:val="20"/>
                <w:color w:val="auto"/>
              </w:rPr>
            </w:pPr>
            <w:r>
              <w:rPr>
                <w:rFonts w:ascii="Arial" w:cs="Arial" w:eastAsia="Arial" w:hAnsi="Arial"/>
                <w:sz w:val="18"/>
                <w:szCs w:val="18"/>
                <w:b w:val="1"/>
                <w:bCs w:val="1"/>
                <w:color w:val="auto"/>
                <w:w w:val="93"/>
              </w:rPr>
              <w:t>(Unaudited)</w:t>
            </w:r>
          </w:p>
        </w:tc>
        <w:tc>
          <w:tcPr>
            <w:tcW w:w="2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gridSpan w:val="2"/>
          </w:tcPr>
          <w:p>
            <w:pPr>
              <w:ind w:left="160"/>
              <w:spacing w:after="0"/>
              <w:rPr>
                <w:sz w:val="20"/>
                <w:szCs w:val="20"/>
                <w:color w:val="auto"/>
              </w:rPr>
            </w:pPr>
            <w:r>
              <w:rPr>
                <w:rFonts w:ascii="Arial" w:cs="Arial" w:eastAsia="Arial" w:hAnsi="Arial"/>
                <w:sz w:val="14"/>
                <w:szCs w:val="14"/>
                <w:b w:val="1"/>
                <w:bCs w:val="1"/>
                <w:color w:val="auto"/>
              </w:rPr>
              <w:t>December 31, 2014</w:t>
            </w:r>
          </w:p>
        </w:tc>
        <w:tc>
          <w:tcPr>
            <w:tcW w:w="2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128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w w:val="92"/>
              </w:rPr>
              <w:t>Assets /</w:t>
            </w:r>
          </w:p>
        </w:tc>
        <w:tc>
          <w:tcPr>
            <w:tcW w:w="18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80" w:type="dxa"/>
            <w:vAlign w:val="bottom"/>
          </w:tcPr>
          <w:p>
            <w:pPr>
              <w:spacing w:after="0"/>
              <w:rPr>
                <w:sz w:val="12"/>
                <w:szCs w:val="12"/>
                <w:color w:val="auto"/>
              </w:rPr>
            </w:pPr>
          </w:p>
        </w:tc>
        <w:tc>
          <w:tcPr>
            <w:tcW w:w="20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Valuation</w:t>
            </w:r>
          </w:p>
        </w:tc>
        <w:tc>
          <w:tcPr>
            <w:tcW w:w="280" w:type="dxa"/>
            <w:vAlign w:val="bottom"/>
          </w:tcPr>
          <w:p>
            <w:pPr>
              <w:spacing w:after="0"/>
              <w:rPr>
                <w:sz w:val="12"/>
                <w:szCs w:val="12"/>
                <w:color w:val="auto"/>
              </w:rPr>
            </w:pPr>
          </w:p>
        </w:tc>
        <w:tc>
          <w:tcPr>
            <w:tcW w:w="20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Unobservable</w:t>
            </w:r>
          </w:p>
        </w:tc>
        <w:tc>
          <w:tcPr>
            <w:tcW w:w="280" w:type="dxa"/>
            <w:vAlign w:val="bottom"/>
          </w:tcPr>
          <w:p>
            <w:pPr>
              <w:spacing w:after="0"/>
              <w:rPr>
                <w:sz w:val="12"/>
                <w:szCs w:val="12"/>
                <w:color w:val="auto"/>
              </w:rPr>
            </w:pPr>
          </w:p>
        </w:tc>
        <w:tc>
          <w:tcPr>
            <w:tcW w:w="14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4"/>
              </w:rPr>
              <w:t>Input/range of</w:t>
            </w:r>
          </w:p>
        </w:tc>
        <w:tc>
          <w:tcPr>
            <w:tcW w:w="11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1"/>
              </w:rPr>
              <w:t>Weighted</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2"/>
              </w:rPr>
              <w:t>measured at</w:t>
            </w:r>
          </w:p>
        </w:tc>
        <w:tc>
          <w:tcPr>
            <w:tcW w:w="180" w:type="dxa"/>
            <w:vAlign w:val="bottom"/>
          </w:tcPr>
          <w:p>
            <w:pPr>
              <w:spacing w:after="0"/>
              <w:rPr>
                <w:sz w:val="12"/>
                <w:szCs w:val="12"/>
                <w:color w:val="auto"/>
              </w:rPr>
            </w:pPr>
          </w:p>
        </w:tc>
        <w:tc>
          <w:tcPr>
            <w:tcW w:w="20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460" w:type="dxa"/>
            <w:vAlign w:val="bottom"/>
            <w:gridSpan w:val="2"/>
            <w:vMerge w:val="continue"/>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12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7"/>
              </w:rPr>
              <w:t>fair value</w:t>
            </w:r>
          </w:p>
        </w:tc>
        <w:tc>
          <w:tcPr>
            <w:tcW w:w="18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Arial" w:cs="Arial" w:eastAsia="Arial" w:hAnsi="Arial"/>
                <w:sz w:val="14"/>
                <w:szCs w:val="14"/>
                <w:b w:val="1"/>
                <w:bCs w:val="1"/>
                <w:color w:val="auto"/>
                <w:w w:val="88"/>
              </w:rPr>
              <w:t>technique(s)</w:t>
            </w:r>
          </w:p>
        </w:tc>
        <w:tc>
          <w:tcPr>
            <w:tcW w:w="28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Arial" w:cs="Arial" w:eastAsia="Arial" w:hAnsi="Arial"/>
                <w:sz w:val="14"/>
                <w:szCs w:val="14"/>
                <w:b w:val="1"/>
                <w:bCs w:val="1"/>
                <w:color w:val="auto"/>
                <w:w w:val="91"/>
              </w:rPr>
              <w:t>input description</w:t>
            </w:r>
          </w:p>
        </w:tc>
        <w:tc>
          <w:tcPr>
            <w:tcW w:w="280" w:type="dxa"/>
            <w:vAlign w:val="bottom"/>
          </w:tcPr>
          <w:p>
            <w:pPr>
              <w:spacing w:after="0"/>
              <w:rPr>
                <w:sz w:val="14"/>
                <w:szCs w:val="14"/>
                <w:color w:val="auto"/>
              </w:rPr>
            </w:pPr>
          </w:p>
        </w:tc>
        <w:tc>
          <w:tcPr>
            <w:tcW w:w="14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inputs</w:t>
            </w:r>
          </w:p>
        </w:tc>
        <w:tc>
          <w:tcPr>
            <w:tcW w:w="11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average</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jc w:val="center"/>
              <w:ind w:right="49"/>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Borders>
              <w:top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56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Separate account assets</w:t>
            </w: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40" w:type="dxa"/>
            <w:vAlign w:val="bottom"/>
            <w:gridSpan w:val="2"/>
            <w:shd w:val="clear" w:color="auto" w:fill="CCEEFF"/>
          </w:tcPr>
          <w:p>
            <w:pPr>
              <w:jc w:val="right"/>
              <w:ind w:right="100"/>
              <w:spacing w:after="0" w:line="130" w:lineRule="exact"/>
              <w:rPr>
                <w:sz w:val="20"/>
                <w:szCs w:val="20"/>
                <w:color w:val="auto"/>
              </w:rPr>
            </w:pPr>
            <w:r>
              <w:rPr>
                <w:rFonts w:ascii="Arial" w:cs="Arial" w:eastAsia="Arial" w:hAnsi="Arial"/>
                <w:sz w:val="14"/>
                <w:szCs w:val="14"/>
                <w:color w:val="auto"/>
              </w:rPr>
              <w:t>5,857.4</w:t>
            </w:r>
          </w:p>
        </w:tc>
        <w:tc>
          <w:tcPr>
            <w:tcW w:w="1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Discounted cash flow - mortgage</w:t>
            </w:r>
          </w:p>
        </w:tc>
        <w:tc>
          <w:tcPr>
            <w:tcW w:w="280" w:type="dxa"/>
            <w:vAlign w:val="bottom"/>
            <w:shd w:val="clear" w:color="auto" w:fill="CCEEFF"/>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Discount rate (1)</w:t>
            </w:r>
          </w:p>
        </w:tc>
        <w:tc>
          <w:tcPr>
            <w:tcW w:w="1740" w:type="dxa"/>
            <w:vAlign w:val="bottom"/>
            <w:gridSpan w:val="3"/>
            <w:shd w:val="clear" w:color="auto" w:fill="CCEEFF"/>
          </w:tcPr>
          <w:p>
            <w:pPr>
              <w:jc w:val="right"/>
              <w:ind w:right="340"/>
              <w:spacing w:after="0" w:line="130" w:lineRule="exact"/>
              <w:rPr>
                <w:sz w:val="20"/>
                <w:szCs w:val="20"/>
                <w:color w:val="auto"/>
              </w:rPr>
            </w:pPr>
            <w:r>
              <w:rPr>
                <w:rFonts w:ascii="Arial" w:cs="Arial" w:eastAsia="Arial" w:hAnsi="Arial"/>
                <w:sz w:val="14"/>
                <w:szCs w:val="14"/>
                <w:color w:val="auto"/>
              </w:rPr>
              <w:t>1.1%-6.9%</w:t>
            </w:r>
          </w:p>
        </w:tc>
        <w:tc>
          <w:tcPr>
            <w:tcW w:w="1100" w:type="dxa"/>
            <w:vAlign w:val="bottom"/>
            <w:gridSpan w:val="2"/>
            <w:shd w:val="clear" w:color="auto" w:fill="CCEEFF"/>
          </w:tcPr>
          <w:p>
            <w:pPr>
              <w:jc w:val="right"/>
              <w:ind w:right="180"/>
              <w:spacing w:after="0" w:line="130" w:lineRule="exact"/>
              <w:rPr>
                <w:sz w:val="20"/>
                <w:szCs w:val="20"/>
                <w:color w:val="auto"/>
              </w:rPr>
            </w:pPr>
            <w:r>
              <w:rPr>
                <w:rFonts w:ascii="Arial" w:cs="Arial" w:eastAsia="Arial" w:hAnsi="Arial"/>
                <w:sz w:val="14"/>
                <w:szCs w:val="14"/>
                <w:color w:val="auto"/>
              </w:rPr>
              <w:t>3.2%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28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20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loans</w:t>
            </w:r>
          </w:p>
        </w:tc>
        <w:tc>
          <w:tcPr>
            <w:tcW w:w="280" w:type="dxa"/>
            <w:vAlign w:val="bottom"/>
            <w:shd w:val="clear" w:color="auto" w:fill="CCEEFF"/>
          </w:tcPr>
          <w:p>
            <w:pPr>
              <w:spacing w:after="0"/>
              <w:rPr>
                <w:sz w:val="14"/>
                <w:szCs w:val="14"/>
                <w:color w:val="auto"/>
              </w:rPr>
            </w:pPr>
          </w:p>
        </w:tc>
        <w:tc>
          <w:tcPr>
            <w:tcW w:w="2060" w:type="dxa"/>
            <w:vAlign w:val="bottom"/>
            <w:vMerge w:val="restart"/>
            <w:shd w:val="clear" w:color="auto" w:fill="CCEEFF"/>
          </w:tcPr>
          <w:p>
            <w:pPr>
              <w:spacing w:after="0"/>
              <w:rPr>
                <w:sz w:val="20"/>
                <w:szCs w:val="20"/>
                <w:color w:val="auto"/>
              </w:rPr>
            </w:pPr>
            <w:r>
              <w:rPr>
                <w:rFonts w:ascii="Arial" w:cs="Arial" w:eastAsia="Arial" w:hAnsi="Arial"/>
                <w:sz w:val="14"/>
                <w:szCs w:val="14"/>
                <w:color w:val="auto"/>
              </w:rPr>
              <w:t>Illiquidity premium</w:t>
            </w:r>
          </w:p>
        </w:tc>
        <w:tc>
          <w:tcPr>
            <w:tcW w:w="280" w:type="dxa"/>
            <w:vAlign w:val="bottom"/>
            <w:shd w:val="clear" w:color="auto" w:fill="CCEEFF"/>
          </w:tcPr>
          <w:p>
            <w:pPr>
              <w:spacing w:after="0"/>
              <w:rPr>
                <w:sz w:val="14"/>
                <w:szCs w:val="14"/>
                <w:color w:val="auto"/>
              </w:rPr>
            </w:pPr>
          </w:p>
        </w:tc>
        <w:tc>
          <w:tcPr>
            <w:tcW w:w="1460" w:type="dxa"/>
            <w:vAlign w:val="bottom"/>
            <w:gridSpan w:val="2"/>
            <w:vMerge w:val="restart"/>
            <w:shd w:val="clear" w:color="auto" w:fill="CCEEFF"/>
          </w:tcPr>
          <w:p>
            <w:pPr>
              <w:jc w:val="right"/>
              <w:ind w:right="340"/>
              <w:spacing w:after="0"/>
              <w:rPr>
                <w:sz w:val="20"/>
                <w:szCs w:val="20"/>
                <w:color w:val="auto"/>
              </w:rPr>
            </w:pPr>
            <w:r>
              <w:rPr>
                <w:rFonts w:ascii="Arial" w:cs="Arial" w:eastAsia="Arial" w:hAnsi="Arial"/>
                <w:sz w:val="14"/>
                <w:szCs w:val="14"/>
                <w:color w:val="auto"/>
              </w:rPr>
              <w:t>0bps-60bps</w:t>
            </w:r>
          </w:p>
        </w:tc>
        <w:tc>
          <w:tcPr>
            <w:tcW w:w="11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rPr>
              <w:t>7bps</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vMerge w:val="continue"/>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60" w:type="dxa"/>
            <w:vAlign w:val="bottom"/>
            <w:gridSpan w:val="2"/>
            <w:vMerge w:val="continue"/>
            <w:shd w:val="clear" w:color="auto" w:fill="CCEEFF"/>
          </w:tcPr>
          <w:p>
            <w:pPr>
              <w:spacing w:after="0"/>
              <w:rPr>
                <w:sz w:val="12"/>
                <w:szCs w:val="12"/>
                <w:color w:val="auto"/>
              </w:rPr>
            </w:pPr>
          </w:p>
        </w:tc>
        <w:tc>
          <w:tcPr>
            <w:tcW w:w="1100" w:type="dxa"/>
            <w:vAlign w:val="bottom"/>
            <w:gridSpan w:val="2"/>
            <w:vMerge w:val="continue"/>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Credit spread rate</w:t>
            </w:r>
          </w:p>
        </w:tc>
        <w:tc>
          <w:tcPr>
            <w:tcW w:w="280" w:type="dxa"/>
            <w:vAlign w:val="bottom"/>
            <w:shd w:val="clear" w:color="auto" w:fill="CCEEFF"/>
          </w:tcPr>
          <w:p>
            <w:pPr>
              <w:spacing w:after="0"/>
              <w:rPr>
                <w:sz w:val="12"/>
                <w:szCs w:val="12"/>
                <w:color w:val="auto"/>
              </w:rPr>
            </w:pPr>
          </w:p>
        </w:tc>
        <w:tc>
          <w:tcPr>
            <w:tcW w:w="1460" w:type="dxa"/>
            <w:vAlign w:val="bottom"/>
            <w:gridSpan w:val="2"/>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70bps-632bps</w:t>
            </w:r>
          </w:p>
        </w:tc>
        <w:tc>
          <w:tcPr>
            <w:tcW w:w="11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221bps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7"/>
              </w:rPr>
              <w:t>Discounted cash flow - real estate</w:t>
            </w: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Discount rate (1)</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6.0%-24.6%</w:t>
            </w: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7.4%</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Terminal capitalization rate</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4.5%-9.5%</w:t>
            </w: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6.4%</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Average market rent growth rate</w:t>
            </w:r>
          </w:p>
        </w:tc>
        <w:tc>
          <w:tcPr>
            <w:tcW w:w="174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1.3%-4.4%</w:t>
            </w:r>
          </w:p>
        </w:tc>
        <w:tc>
          <w:tcPr>
            <w:tcW w:w="11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3.0%</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12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60" w:type="dxa"/>
            <w:vAlign w:val="bottom"/>
          </w:tcPr>
          <w:p>
            <w:pPr>
              <w:spacing w:after="0" w:line="130" w:lineRule="exact"/>
              <w:rPr>
                <w:sz w:val="20"/>
                <w:szCs w:val="20"/>
                <w:color w:val="auto"/>
              </w:rPr>
            </w:pPr>
            <w:r>
              <w:rPr>
                <w:rFonts w:ascii="Arial" w:cs="Arial" w:eastAsia="Arial" w:hAnsi="Arial"/>
                <w:sz w:val="14"/>
                <w:szCs w:val="14"/>
                <w:color w:val="auto"/>
                <w:w w:val="97"/>
              </w:rPr>
              <w:t>Discounted cash flow - real estate</w:t>
            </w:r>
          </w:p>
        </w:tc>
        <w:tc>
          <w:tcPr>
            <w:tcW w:w="280" w:type="dxa"/>
            <w:vAlign w:val="bottom"/>
          </w:tcPr>
          <w:p>
            <w:pPr>
              <w:spacing w:after="0"/>
              <w:rPr>
                <w:sz w:val="11"/>
                <w:szCs w:val="11"/>
                <w:color w:val="auto"/>
              </w:rPr>
            </w:pPr>
          </w:p>
        </w:tc>
        <w:tc>
          <w:tcPr>
            <w:tcW w:w="20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Loan to value</w:t>
            </w:r>
          </w:p>
        </w:tc>
        <w:tc>
          <w:tcPr>
            <w:tcW w:w="1740" w:type="dxa"/>
            <w:vAlign w:val="bottom"/>
            <w:gridSpan w:val="3"/>
            <w:shd w:val="clear" w:color="auto" w:fill="CCEEFF"/>
          </w:tcPr>
          <w:p>
            <w:pPr>
              <w:jc w:val="right"/>
              <w:ind w:right="340"/>
              <w:spacing w:after="0" w:line="130" w:lineRule="exact"/>
              <w:rPr>
                <w:sz w:val="20"/>
                <w:szCs w:val="20"/>
                <w:color w:val="auto"/>
              </w:rPr>
            </w:pPr>
            <w:r>
              <w:rPr>
                <w:rFonts w:ascii="Arial" w:cs="Arial" w:eastAsia="Arial" w:hAnsi="Arial"/>
                <w:sz w:val="14"/>
                <w:szCs w:val="14"/>
                <w:color w:val="auto"/>
              </w:rPr>
              <w:t>6.8%-64.1%</w:t>
            </w:r>
          </w:p>
        </w:tc>
        <w:tc>
          <w:tcPr>
            <w:tcW w:w="1100" w:type="dxa"/>
            <w:vAlign w:val="bottom"/>
            <w:gridSpan w:val="2"/>
            <w:shd w:val="clear" w:color="auto" w:fill="CCEEFF"/>
          </w:tcPr>
          <w:p>
            <w:pPr>
              <w:jc w:val="right"/>
              <w:ind w:right="180"/>
              <w:spacing w:after="0" w:line="130" w:lineRule="exact"/>
              <w:rPr>
                <w:sz w:val="20"/>
                <w:szCs w:val="20"/>
                <w:color w:val="auto"/>
              </w:rPr>
            </w:pPr>
            <w:r>
              <w:rPr>
                <w:rFonts w:ascii="Arial" w:cs="Arial" w:eastAsia="Arial" w:hAnsi="Arial"/>
                <w:sz w:val="14"/>
                <w:szCs w:val="14"/>
                <w:color w:val="auto"/>
              </w:rPr>
              <w:t>46.5%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2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60" w:type="dxa"/>
            <w:vAlign w:val="bottom"/>
          </w:tcPr>
          <w:p>
            <w:pPr>
              <w:ind w:left="180"/>
              <w:spacing w:after="0"/>
              <w:rPr>
                <w:sz w:val="20"/>
                <w:szCs w:val="20"/>
                <w:color w:val="auto"/>
              </w:rPr>
            </w:pPr>
            <w:r>
              <w:rPr>
                <w:rFonts w:ascii="Arial" w:cs="Arial" w:eastAsia="Arial" w:hAnsi="Arial"/>
                <w:sz w:val="14"/>
                <w:szCs w:val="14"/>
                <w:color w:val="auto"/>
              </w:rPr>
              <w:t>debt</w:t>
            </w:r>
          </w:p>
        </w:tc>
        <w:tc>
          <w:tcPr>
            <w:tcW w:w="280" w:type="dxa"/>
            <w:vAlign w:val="bottom"/>
          </w:tcPr>
          <w:p>
            <w:pPr>
              <w:spacing w:after="0"/>
              <w:rPr>
                <w:sz w:val="14"/>
                <w:szCs w:val="14"/>
                <w:color w:val="auto"/>
              </w:rPr>
            </w:pPr>
          </w:p>
        </w:tc>
        <w:tc>
          <w:tcPr>
            <w:tcW w:w="2060" w:type="dxa"/>
            <w:vAlign w:val="bottom"/>
            <w:shd w:val="clear" w:color="auto" w:fill="CCEEFF"/>
          </w:tcPr>
          <w:p>
            <w:pPr>
              <w:spacing w:after="0"/>
              <w:rPr>
                <w:sz w:val="14"/>
                <w:szCs w:val="14"/>
                <w:color w:val="auto"/>
              </w:rPr>
            </w:pPr>
          </w:p>
        </w:tc>
        <w:tc>
          <w:tcPr>
            <w:tcW w:w="1740" w:type="dxa"/>
            <w:vAlign w:val="bottom"/>
            <w:gridSpan w:val="3"/>
            <w:vMerge w:val="restart"/>
            <w:shd w:val="clear" w:color="auto" w:fill="CCEEFF"/>
          </w:tcPr>
          <w:p>
            <w:pPr>
              <w:jc w:val="right"/>
              <w:ind w:right="340"/>
              <w:spacing w:after="0"/>
              <w:rPr>
                <w:sz w:val="20"/>
                <w:szCs w:val="20"/>
                <w:color w:val="auto"/>
              </w:rPr>
            </w:pPr>
            <w:r>
              <w:rPr>
                <w:rFonts w:ascii="Arial" w:cs="Arial" w:eastAsia="Arial" w:hAnsi="Arial"/>
                <w:sz w:val="14"/>
                <w:szCs w:val="14"/>
                <w:color w:val="auto"/>
              </w:rPr>
              <w:t>2.1%-4.8%</w:t>
            </w:r>
          </w:p>
        </w:tc>
        <w:tc>
          <w:tcPr>
            <w:tcW w:w="110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3.4%</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60" w:type="dxa"/>
            <w:vAlign w:val="bottom"/>
          </w:tcPr>
          <w:p>
            <w:pPr>
              <w:spacing w:after="0" w:line="149" w:lineRule="exact"/>
              <w:rPr>
                <w:sz w:val="20"/>
                <w:szCs w:val="20"/>
                <w:color w:val="auto"/>
              </w:rPr>
            </w:pPr>
            <w:r>
              <w:rPr>
                <w:rFonts w:ascii="Arial" w:cs="Arial" w:eastAsia="Arial" w:hAnsi="Arial"/>
                <w:sz w:val="14"/>
                <w:szCs w:val="14"/>
                <w:color w:val="auto"/>
              </w:rPr>
              <w:t>Credit spread rate</w:t>
            </w:r>
          </w:p>
        </w:tc>
        <w:tc>
          <w:tcPr>
            <w:tcW w:w="1740" w:type="dxa"/>
            <w:vAlign w:val="bottom"/>
            <w:gridSpan w:val="3"/>
            <w:vMerge w:val="continue"/>
            <w:shd w:val="clear" w:color="auto" w:fill="CCEEFF"/>
          </w:tcPr>
          <w:p>
            <w:pPr>
              <w:spacing w:after="0"/>
              <w:rPr>
                <w:sz w:val="12"/>
                <w:szCs w:val="12"/>
                <w:color w:val="auto"/>
              </w:rPr>
            </w:pPr>
          </w:p>
        </w:tc>
        <w:tc>
          <w:tcPr>
            <w:tcW w:w="1100" w:type="dxa"/>
            <w:vAlign w:val="bottom"/>
            <w:gridSpan w:val="2"/>
            <w:vMerge w:val="continue"/>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-6758940</wp:posOffset>
            </wp:positionV>
            <wp:extent cx="12700" cy="298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-6758940</wp:posOffset>
            </wp:positionV>
            <wp:extent cx="12700" cy="298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-2736850</wp:posOffset>
            </wp:positionV>
            <wp:extent cx="12700" cy="298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-2736850</wp:posOffset>
            </wp:positionV>
            <wp:extent cx="12700" cy="298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-942975</wp:posOffset>
            </wp:positionV>
            <wp:extent cx="7246620" cy="10375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46620" cy="1037590"/>
                    </a:xfrm>
                    <a:prstGeom prst="rect">
                      <a:avLst/>
                    </a:prstGeom>
                    <a:noFill/>
                  </pic:spPr>
                </pic:pic>
              </a:graphicData>
            </a:graphic>
          </wp:anchor>
        </w:drawing>
      </w:r>
    </w:p>
    <w:p>
      <w:pPr>
        <w:spacing w:after="0" w:line="10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246620" cy="4445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46620" cy="44450"/>
                    </a:xfrm>
                    <a:prstGeom prst="rect">
                      <a:avLst/>
                    </a:prstGeom>
                    <a:noFill/>
                  </pic:spPr>
                </pic:pic>
              </a:graphicData>
            </a:graphic>
          </wp:anchor>
        </w:drawing>
      </w:r>
    </w:p>
    <w:p>
      <w:pPr>
        <w:sectPr>
          <w:pgSz w:w="11900" w:h="16838" w:orient="portrait"/>
          <w:cols w:equalWidth="0" w:num="1">
            <w:col w:w="11460"/>
          </w:cols>
          <w:pgMar w:left="240" w:top="118" w:right="199" w:bottom="0" w:gutter="0" w:footer="0" w:header="0"/>
        </w:sectPr>
      </w:pPr>
    </w:p>
    <w:bookmarkStart w:id="46" w:name="page47"/>
    <w:bookmarkEnd w:id="46"/>
    <w:tbl>
      <w:tblPr>
        <w:tblLayout w:type="fixed"/>
        <w:tblInd w:w="0" w:type="dxa"/>
        <w:tblCellMar>
          <w:top w:w="0" w:type="dxa"/>
          <w:left w:w="0" w:type="dxa"/>
          <w:bottom w:w="0" w:type="dxa"/>
          <w:right w:w="0" w:type="dxa"/>
        </w:tblCellMar>
      </w:tblPr>
      <w:tr>
        <w:trPr>
          <w:trHeight w:val="161"/>
        </w:trPr>
        <w:tc>
          <w:tcPr>
            <w:tcW w:w="2560" w:type="dxa"/>
            <w:vAlign w:val="bottom"/>
            <w:shd w:val="clear" w:color="auto" w:fill="CCEEFF"/>
          </w:tcPr>
          <w:p>
            <w:pPr>
              <w:spacing w:after="0"/>
              <w:rPr>
                <w:sz w:val="20"/>
                <w:szCs w:val="20"/>
                <w:color w:val="auto"/>
              </w:rPr>
            </w:pPr>
            <w:r>
              <w:rPr>
                <w:rFonts w:ascii="Arial" w:cs="Arial" w:eastAsia="Arial" w:hAnsi="Arial"/>
                <w:sz w:val="14"/>
                <w:szCs w:val="14"/>
                <w:color w:val="auto"/>
              </w:rPr>
              <w:t>Investment-type insurance contracts</w:t>
            </w:r>
          </w:p>
        </w:tc>
        <w:tc>
          <w:tcPr>
            <w:tcW w:w="16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(176.4)</w:t>
            </w:r>
          </w:p>
        </w:tc>
        <w:tc>
          <w:tcPr>
            <w:tcW w:w="2060" w:type="dxa"/>
            <w:vAlign w:val="bottom"/>
            <w:shd w:val="clear" w:color="auto" w:fill="CCEEFF"/>
          </w:tcPr>
          <w:p>
            <w:pPr>
              <w:spacing w:after="0"/>
              <w:rPr>
                <w:sz w:val="20"/>
                <w:szCs w:val="20"/>
                <w:color w:val="auto"/>
              </w:rPr>
            </w:pPr>
            <w:r>
              <w:rPr>
                <w:rFonts w:ascii="Arial" w:cs="Arial" w:eastAsia="Arial" w:hAnsi="Arial"/>
                <w:sz w:val="14"/>
                <w:szCs w:val="14"/>
                <w:color w:val="auto"/>
              </w:rPr>
              <w:t>Discounted cash flow</w:t>
            </w:r>
          </w:p>
        </w:tc>
        <w:tc>
          <w:tcPr>
            <w:tcW w:w="2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Long duration interest rate</w:t>
            </w:r>
          </w:p>
        </w:tc>
        <w:tc>
          <w:tcPr>
            <w:tcW w:w="2560" w:type="dxa"/>
            <w:vAlign w:val="bottom"/>
            <w:shd w:val="clear" w:color="auto" w:fill="CCEEFF"/>
          </w:tcPr>
          <w:p>
            <w:pPr>
              <w:jc w:val="right"/>
              <w:ind w:right="1188"/>
              <w:spacing w:after="0"/>
              <w:rPr>
                <w:sz w:val="20"/>
                <w:szCs w:val="20"/>
                <w:color w:val="auto"/>
              </w:rPr>
            </w:pPr>
            <w:r>
              <w:rPr>
                <w:rFonts w:ascii="Arial" w:cs="Arial" w:eastAsia="Arial" w:hAnsi="Arial"/>
                <w:sz w:val="14"/>
                <w:szCs w:val="14"/>
                <w:color w:val="auto"/>
              </w:rPr>
              <w:t>2.6%-2.7%(3)</w:t>
            </w:r>
          </w:p>
        </w:tc>
      </w:tr>
      <w:tr>
        <w:trPr>
          <w:trHeight w:val="149"/>
        </w:trPr>
        <w:tc>
          <w:tcPr>
            <w:tcW w:w="2560" w:type="dxa"/>
            <w:vAlign w:val="bottom"/>
            <w:shd w:val="clear" w:color="auto" w:fill="CCEEFF"/>
          </w:tcPr>
          <w:p>
            <w:pPr>
              <w:spacing w:after="0"/>
              <w:rPr>
                <w:sz w:val="12"/>
                <w:szCs w:val="12"/>
                <w:color w:val="auto"/>
              </w:rPr>
            </w:pPr>
          </w:p>
        </w:tc>
        <w:tc>
          <w:tcPr>
            <w:tcW w:w="162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620" w:type="dxa"/>
            <w:vAlign w:val="bottom"/>
            <w:shd w:val="clear" w:color="auto" w:fill="CCEEFF"/>
          </w:tcPr>
          <w:p>
            <w:pPr>
              <w:ind w:left="280"/>
              <w:spacing w:after="0" w:line="149" w:lineRule="exact"/>
              <w:rPr>
                <w:sz w:val="20"/>
                <w:szCs w:val="20"/>
                <w:color w:val="auto"/>
              </w:rPr>
            </w:pPr>
            <w:r>
              <w:rPr>
                <w:rFonts w:ascii="Arial" w:cs="Arial" w:eastAsia="Arial" w:hAnsi="Arial"/>
                <w:sz w:val="14"/>
                <w:szCs w:val="14"/>
                <w:color w:val="auto"/>
              </w:rPr>
              <w:t>Long-term equity market volatility</w:t>
            </w:r>
          </w:p>
        </w:tc>
        <w:tc>
          <w:tcPr>
            <w:tcW w:w="2560" w:type="dxa"/>
            <w:vAlign w:val="bottom"/>
            <w:shd w:val="clear" w:color="auto" w:fill="CCEEFF"/>
          </w:tcPr>
          <w:p>
            <w:pPr>
              <w:jc w:val="right"/>
              <w:ind w:right="1368"/>
              <w:spacing w:after="0" w:line="149" w:lineRule="exact"/>
              <w:rPr>
                <w:sz w:val="20"/>
                <w:szCs w:val="20"/>
                <w:color w:val="auto"/>
              </w:rPr>
            </w:pPr>
            <w:r>
              <w:rPr>
                <w:rFonts w:ascii="Arial" w:cs="Arial" w:eastAsia="Arial" w:hAnsi="Arial"/>
                <w:sz w:val="14"/>
                <w:szCs w:val="14"/>
                <w:color w:val="auto"/>
              </w:rPr>
              <w:t>14.9%-39.5%</w:t>
            </w:r>
          </w:p>
        </w:tc>
      </w:tr>
      <w:tr>
        <w:trPr>
          <w:trHeight w:val="149"/>
        </w:trPr>
        <w:tc>
          <w:tcPr>
            <w:tcW w:w="2560" w:type="dxa"/>
            <w:vAlign w:val="bottom"/>
            <w:shd w:val="clear" w:color="auto" w:fill="CCEEFF"/>
          </w:tcPr>
          <w:p>
            <w:pPr>
              <w:spacing w:after="0"/>
              <w:rPr>
                <w:sz w:val="12"/>
                <w:szCs w:val="12"/>
                <w:color w:val="auto"/>
              </w:rPr>
            </w:pPr>
          </w:p>
        </w:tc>
        <w:tc>
          <w:tcPr>
            <w:tcW w:w="162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620" w:type="dxa"/>
            <w:vAlign w:val="bottom"/>
            <w:shd w:val="clear" w:color="auto" w:fill="CCEEFF"/>
          </w:tcPr>
          <w:p>
            <w:pPr>
              <w:ind w:left="280"/>
              <w:spacing w:after="0" w:line="149" w:lineRule="exact"/>
              <w:rPr>
                <w:sz w:val="20"/>
                <w:szCs w:val="20"/>
                <w:color w:val="auto"/>
              </w:rPr>
            </w:pPr>
            <w:r>
              <w:rPr>
                <w:rFonts w:ascii="Arial" w:cs="Arial" w:eastAsia="Arial" w:hAnsi="Arial"/>
                <w:sz w:val="14"/>
                <w:szCs w:val="14"/>
                <w:color w:val="auto"/>
              </w:rPr>
              <w:t>Non-performance risk</w:t>
            </w:r>
          </w:p>
        </w:tc>
        <w:tc>
          <w:tcPr>
            <w:tcW w:w="2560" w:type="dxa"/>
            <w:vAlign w:val="bottom"/>
            <w:shd w:val="clear" w:color="auto" w:fill="CCEEFF"/>
          </w:tcPr>
          <w:p>
            <w:pPr>
              <w:jc w:val="right"/>
              <w:ind w:right="1368"/>
              <w:spacing w:after="0" w:line="149" w:lineRule="exact"/>
              <w:rPr>
                <w:sz w:val="20"/>
                <w:szCs w:val="20"/>
                <w:color w:val="auto"/>
              </w:rPr>
            </w:pPr>
            <w:r>
              <w:rPr>
                <w:rFonts w:ascii="Arial" w:cs="Arial" w:eastAsia="Arial" w:hAnsi="Arial"/>
                <w:sz w:val="14"/>
                <w:szCs w:val="14"/>
                <w:color w:val="auto"/>
              </w:rPr>
              <w:t>0.1%-1.4%</w:t>
            </w:r>
          </w:p>
        </w:tc>
      </w:tr>
      <w:tr>
        <w:trPr>
          <w:trHeight w:val="149"/>
        </w:trPr>
        <w:tc>
          <w:tcPr>
            <w:tcW w:w="2560" w:type="dxa"/>
            <w:vAlign w:val="bottom"/>
            <w:shd w:val="clear" w:color="auto" w:fill="CCEEFF"/>
          </w:tcPr>
          <w:p>
            <w:pPr>
              <w:spacing w:after="0"/>
              <w:rPr>
                <w:sz w:val="12"/>
                <w:szCs w:val="12"/>
                <w:color w:val="auto"/>
              </w:rPr>
            </w:pPr>
          </w:p>
        </w:tc>
        <w:tc>
          <w:tcPr>
            <w:tcW w:w="162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620" w:type="dxa"/>
            <w:vAlign w:val="bottom"/>
            <w:shd w:val="clear" w:color="auto" w:fill="CCEEFF"/>
          </w:tcPr>
          <w:p>
            <w:pPr>
              <w:ind w:left="280"/>
              <w:spacing w:after="0" w:line="149" w:lineRule="exact"/>
              <w:rPr>
                <w:sz w:val="20"/>
                <w:szCs w:val="20"/>
                <w:color w:val="auto"/>
              </w:rPr>
            </w:pPr>
            <w:r>
              <w:rPr>
                <w:rFonts w:ascii="Arial" w:cs="Arial" w:eastAsia="Arial" w:hAnsi="Arial"/>
                <w:sz w:val="14"/>
                <w:szCs w:val="14"/>
                <w:color w:val="auto"/>
              </w:rPr>
              <w:t>Utilization rate</w:t>
            </w:r>
          </w:p>
        </w:tc>
        <w:tc>
          <w:tcPr>
            <w:tcW w:w="2560" w:type="dxa"/>
            <w:vAlign w:val="bottom"/>
            <w:shd w:val="clear" w:color="auto" w:fill="CCEEFF"/>
          </w:tcPr>
          <w:p>
            <w:pPr>
              <w:jc w:val="right"/>
              <w:ind w:right="1188"/>
              <w:spacing w:after="0" w:line="149" w:lineRule="exact"/>
              <w:rPr>
                <w:sz w:val="20"/>
                <w:szCs w:val="20"/>
                <w:color w:val="auto"/>
              </w:rPr>
            </w:pPr>
            <w:r>
              <w:rPr>
                <w:rFonts w:ascii="Arial" w:cs="Arial" w:eastAsia="Arial" w:hAnsi="Arial"/>
                <w:sz w:val="14"/>
                <w:szCs w:val="14"/>
                <w:color w:val="auto"/>
              </w:rPr>
              <w:t>See note(4)</w:t>
            </w:r>
          </w:p>
        </w:tc>
      </w:tr>
      <w:tr>
        <w:trPr>
          <w:trHeight w:val="149"/>
        </w:trPr>
        <w:tc>
          <w:tcPr>
            <w:tcW w:w="2560" w:type="dxa"/>
            <w:vAlign w:val="bottom"/>
            <w:shd w:val="clear" w:color="auto" w:fill="CCEEFF"/>
          </w:tcPr>
          <w:p>
            <w:pPr>
              <w:spacing w:after="0"/>
              <w:rPr>
                <w:sz w:val="12"/>
                <w:szCs w:val="12"/>
                <w:color w:val="auto"/>
              </w:rPr>
            </w:pPr>
          </w:p>
        </w:tc>
        <w:tc>
          <w:tcPr>
            <w:tcW w:w="162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620" w:type="dxa"/>
            <w:vAlign w:val="bottom"/>
            <w:shd w:val="clear" w:color="auto" w:fill="CCEEFF"/>
          </w:tcPr>
          <w:p>
            <w:pPr>
              <w:ind w:left="280"/>
              <w:spacing w:after="0" w:line="149" w:lineRule="exact"/>
              <w:rPr>
                <w:sz w:val="20"/>
                <w:szCs w:val="20"/>
                <w:color w:val="auto"/>
              </w:rPr>
            </w:pPr>
            <w:r>
              <w:rPr>
                <w:rFonts w:ascii="Arial" w:cs="Arial" w:eastAsia="Arial" w:hAnsi="Arial"/>
                <w:sz w:val="14"/>
                <w:szCs w:val="14"/>
                <w:color w:val="auto"/>
              </w:rPr>
              <w:t>Lapse rate</w:t>
            </w:r>
          </w:p>
        </w:tc>
        <w:tc>
          <w:tcPr>
            <w:tcW w:w="2560" w:type="dxa"/>
            <w:vAlign w:val="bottom"/>
            <w:shd w:val="clear" w:color="auto" w:fill="CCEEFF"/>
          </w:tcPr>
          <w:p>
            <w:pPr>
              <w:jc w:val="right"/>
              <w:ind w:right="1368"/>
              <w:spacing w:after="0" w:line="149" w:lineRule="exact"/>
              <w:rPr>
                <w:sz w:val="20"/>
                <w:szCs w:val="20"/>
                <w:color w:val="auto"/>
              </w:rPr>
            </w:pPr>
            <w:r>
              <w:rPr>
                <w:rFonts w:ascii="Arial" w:cs="Arial" w:eastAsia="Arial" w:hAnsi="Arial"/>
                <w:sz w:val="14"/>
                <w:szCs w:val="14"/>
                <w:color w:val="auto"/>
              </w:rPr>
              <w:t>0.5%-14.1%</w:t>
            </w:r>
          </w:p>
        </w:tc>
      </w:tr>
      <w:tr>
        <w:trPr>
          <w:trHeight w:val="167"/>
        </w:trPr>
        <w:tc>
          <w:tcPr>
            <w:tcW w:w="256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2060" w:type="dxa"/>
            <w:vAlign w:val="bottom"/>
            <w:shd w:val="clear" w:color="auto" w:fill="CCEEFF"/>
          </w:tcPr>
          <w:p>
            <w:pPr>
              <w:spacing w:after="0"/>
              <w:rPr>
                <w:sz w:val="14"/>
                <w:szCs w:val="14"/>
                <w:color w:val="auto"/>
              </w:rPr>
            </w:pPr>
          </w:p>
        </w:tc>
        <w:tc>
          <w:tcPr>
            <w:tcW w:w="2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Mortality rate</w:t>
            </w:r>
          </w:p>
        </w:tc>
        <w:tc>
          <w:tcPr>
            <w:tcW w:w="2560" w:type="dxa"/>
            <w:vAlign w:val="bottom"/>
            <w:shd w:val="clear" w:color="auto" w:fill="CCEEFF"/>
          </w:tcPr>
          <w:p>
            <w:pPr>
              <w:jc w:val="right"/>
              <w:ind w:right="1188"/>
              <w:spacing w:after="0"/>
              <w:rPr>
                <w:sz w:val="20"/>
                <w:szCs w:val="20"/>
                <w:color w:val="auto"/>
              </w:rPr>
            </w:pPr>
            <w:r>
              <w:rPr>
                <w:rFonts w:ascii="Arial" w:cs="Arial" w:eastAsia="Arial" w:hAnsi="Arial"/>
                <w:sz w:val="14"/>
                <w:szCs w:val="14"/>
                <w:color w:val="auto"/>
              </w:rPr>
              <w:t>See note(5)</w:t>
            </w:r>
          </w:p>
        </w:tc>
      </w:tr>
      <w:tr>
        <w:trPr>
          <w:trHeight w:val="149"/>
        </w:trPr>
        <w:tc>
          <w:tcPr>
            <w:tcW w:w="2560" w:type="dxa"/>
            <w:vAlign w:val="bottom"/>
          </w:tcPr>
          <w:p>
            <w:pPr>
              <w:spacing w:after="0" w:line="149" w:lineRule="exact"/>
              <w:rPr>
                <w:sz w:val="20"/>
                <w:szCs w:val="20"/>
                <w:color w:val="auto"/>
              </w:rPr>
            </w:pPr>
            <w:r>
              <w:rPr>
                <w:rFonts w:ascii="Arial" w:cs="Arial" w:eastAsia="Arial" w:hAnsi="Arial"/>
                <w:sz w:val="14"/>
                <w:szCs w:val="14"/>
                <w:color w:val="auto"/>
              </w:rPr>
              <w:t>Derivative liabilities</w:t>
            </w:r>
          </w:p>
        </w:tc>
        <w:tc>
          <w:tcPr>
            <w:tcW w:w="162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(19.3)</w:t>
            </w:r>
          </w:p>
        </w:tc>
        <w:tc>
          <w:tcPr>
            <w:tcW w:w="2060" w:type="dxa"/>
            <w:vAlign w:val="bottom"/>
          </w:tcPr>
          <w:p>
            <w:pPr>
              <w:spacing w:after="0" w:line="149" w:lineRule="exact"/>
              <w:rPr>
                <w:sz w:val="20"/>
                <w:szCs w:val="20"/>
                <w:color w:val="auto"/>
              </w:rPr>
            </w:pPr>
            <w:r>
              <w:rPr>
                <w:rFonts w:ascii="Arial" w:cs="Arial" w:eastAsia="Arial" w:hAnsi="Arial"/>
                <w:sz w:val="14"/>
                <w:szCs w:val="14"/>
                <w:color w:val="auto"/>
              </w:rPr>
              <w:t>See note (2)</w:t>
            </w:r>
          </w:p>
        </w:tc>
        <w:tc>
          <w:tcPr>
            <w:tcW w:w="2620" w:type="dxa"/>
            <w:vAlign w:val="bottom"/>
          </w:tcPr>
          <w:p>
            <w:pPr>
              <w:spacing w:after="0"/>
              <w:rPr>
                <w:sz w:val="12"/>
                <w:szCs w:val="12"/>
                <w:color w:val="auto"/>
              </w:rPr>
            </w:pPr>
          </w:p>
        </w:tc>
        <w:tc>
          <w:tcPr>
            <w:tcW w:w="2560" w:type="dxa"/>
            <w:vAlign w:val="bottom"/>
          </w:tcPr>
          <w:p>
            <w:pPr>
              <w:spacing w:after="0"/>
              <w:rPr>
                <w:sz w:val="12"/>
                <w:szCs w:val="12"/>
                <w:color w:val="auto"/>
              </w:rPr>
            </w:pPr>
          </w:p>
        </w:tc>
      </w:tr>
      <w:tr>
        <w:trPr>
          <w:trHeight w:val="149"/>
        </w:trPr>
        <w:tc>
          <w:tcPr>
            <w:tcW w:w="25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liabilities</w:t>
            </w:r>
          </w:p>
        </w:tc>
        <w:tc>
          <w:tcPr>
            <w:tcW w:w="162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(66.3)</w:t>
            </w: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See note (2)</w:t>
            </w:r>
          </w:p>
        </w:tc>
        <w:tc>
          <w:tcPr>
            <w:tcW w:w="2620" w:type="dxa"/>
            <w:vAlign w:val="bottom"/>
            <w:shd w:val="clear" w:color="auto" w:fill="CCEEFF"/>
          </w:tcPr>
          <w:p>
            <w:pPr>
              <w:spacing w:after="0"/>
              <w:rPr>
                <w:sz w:val="12"/>
                <w:szCs w:val="12"/>
                <w:color w:val="auto"/>
              </w:rPr>
            </w:pPr>
          </w:p>
        </w:tc>
        <w:tc>
          <w:tcPr>
            <w:tcW w:w="2560" w:type="dxa"/>
            <w:vAlign w:val="bottom"/>
            <w:shd w:val="clear" w:color="auto" w:fill="CCEEFF"/>
          </w:tcPr>
          <w:p>
            <w:pPr>
              <w:spacing w:after="0"/>
              <w:rPr>
                <w:sz w:val="12"/>
                <w:szCs w:val="1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40" w:right="100" w:hanging="332"/>
        <w:spacing w:after="0" w:line="258" w:lineRule="auto"/>
        <w:tabs>
          <w:tab w:leader="none" w:pos="347"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Represents market comparable interest rate or an index adjusted rate used as the base rate in the discounted cash flow analysis prior to any credit spread, illiquidity or other adjustments, where applicable.</w:t>
      </w:r>
    </w:p>
    <w:p>
      <w:pPr>
        <w:spacing w:after="0" w:line="1" w:lineRule="exact"/>
        <w:rPr>
          <w:rFonts w:ascii="Arial" w:cs="Arial" w:eastAsia="Arial" w:hAnsi="Arial"/>
          <w:sz w:val="18"/>
          <w:szCs w:val="18"/>
          <w:color w:val="auto"/>
        </w:rPr>
      </w:pPr>
    </w:p>
    <w:p>
      <w:pPr>
        <w:ind w:left="340" w:right="40" w:hanging="332"/>
        <w:spacing w:after="0" w:line="265" w:lineRule="auto"/>
        <w:tabs>
          <w:tab w:leader="none" w:pos="347" w:val="left"/>
        </w:tabs>
        <w:numPr>
          <w:ilvl w:val="0"/>
          <w:numId w:val="25"/>
        </w:numPr>
        <w:rPr>
          <w:rFonts w:ascii="Arial" w:cs="Arial" w:eastAsia="Arial" w:hAnsi="Arial"/>
          <w:sz w:val="17"/>
          <w:szCs w:val="17"/>
          <w:color w:val="auto"/>
        </w:rPr>
      </w:pPr>
      <w:r>
        <w:rPr>
          <w:rFonts w:ascii="Arial" w:cs="Arial" w:eastAsia="Arial" w:hAnsi="Arial"/>
          <w:sz w:val="17"/>
          <w:szCs w:val="17"/>
          <w:color w:val="auto"/>
        </w:rPr>
        <w:t>Prior to 2015, the assets and liabilities fair values relate to a consolidated collateralized private investment vehicle that is a VIE. Fixed maturities, trading represents the underlying collateral of the investment structure and consists of high-grade fixed maturity investments, which are over-collateralized based on outstanding notes priced at par. The derivative liability represents credit default swaps that are valued using a correlation model to the credit default swap (“CDS”) Index (“CDX”) and inputs to the valuation are based on observable market data such as the end of period swap curve, CDS constituents of the index and spread levels of the index, as well as CDX tranche spreads. The value of the obligations, which are due at maturity or termination of the trust, reflect the third parties’ interest in the investment structure.</w:t>
      </w:r>
    </w:p>
    <w:p>
      <w:pPr>
        <w:spacing w:after="0" w:line="1" w:lineRule="exact"/>
        <w:rPr>
          <w:rFonts w:ascii="Arial" w:cs="Arial" w:eastAsia="Arial" w:hAnsi="Arial"/>
          <w:sz w:val="17"/>
          <w:szCs w:val="17"/>
          <w:color w:val="auto"/>
        </w:rPr>
      </w:pPr>
    </w:p>
    <w:p>
      <w:pPr>
        <w:ind w:left="340" w:right="260" w:hanging="332"/>
        <w:spacing w:after="0" w:line="250" w:lineRule="auto"/>
        <w:tabs>
          <w:tab w:leader="none" w:pos="347"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Represents the range of rate curves used in the valuation analysis that we have determined market participants would use when pricing the instrument. Derived from interpolation between various observable swap rates.</w:t>
      </w:r>
    </w:p>
    <w:p>
      <w:pPr>
        <w:ind w:left="340" w:right="40" w:hanging="332"/>
        <w:spacing w:after="0" w:line="250" w:lineRule="auto"/>
        <w:tabs>
          <w:tab w:leader="none" w:pos="347"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This input factor is the number of contractholders taking withdrawals as well as the amount and timing of the withdrawals and a range does not provide a meaningful presentation.</w:t>
      </w:r>
    </w:p>
    <w:p>
      <w:pPr>
        <w:ind w:left="340" w:hanging="332"/>
        <w:spacing w:after="0"/>
        <w:tabs>
          <w:tab w:leader="none" w:pos="3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This input is based on an appropriate industry mortality table and a range does not provide a meaningful presentation.</w:t>
      </w:r>
    </w:p>
    <w:p>
      <w:pPr>
        <w:spacing w:after="0" w:line="211" w:lineRule="exact"/>
        <w:rPr>
          <w:sz w:val="20"/>
          <w:szCs w:val="20"/>
          <w:color w:val="auto"/>
        </w:rPr>
      </w:pPr>
    </w:p>
    <w:p>
      <w:pPr>
        <w:ind w:right="180" w:firstLine="648"/>
        <w:spacing w:after="0" w:line="264" w:lineRule="auto"/>
        <w:rPr>
          <w:sz w:val="20"/>
          <w:szCs w:val="20"/>
          <w:color w:val="auto"/>
        </w:rPr>
      </w:pPr>
      <w:r>
        <w:rPr>
          <w:rFonts w:ascii="Arial" w:cs="Arial" w:eastAsia="Arial" w:hAnsi="Arial"/>
          <w:sz w:val="18"/>
          <w:szCs w:val="18"/>
          <w:color w:val="auto"/>
        </w:rPr>
        <w:t>Market comparable discount rates are used as the base rate in the discounted cash flows used to determine the fair value of certain assets. Increases or decreases in the credit spreads on the comparable assets could cause the fair value of the assets to significantly decrease or increase, respectively. Additionally, we may adjust the base discount rate or the modeled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right"/>
        <w:ind w:right="496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right"/>
        <w:ind w:right="4920"/>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price by applying an illiquidity premium given the highly structured nature of certain assets. Increases or decreases in this illiquidity premium could cause significant decreases or increases, respectively, in the fair value of the asset.</w:t>
      </w:r>
    </w:p>
    <w:p>
      <w:pPr>
        <w:spacing w:after="0" w:line="170" w:lineRule="exact"/>
        <w:rPr>
          <w:sz w:val="20"/>
          <w:szCs w:val="20"/>
          <w:color w:val="auto"/>
        </w:rPr>
      </w:pPr>
    </w:p>
    <w:p>
      <w:pPr>
        <w:ind w:right="40" w:firstLine="648"/>
        <w:spacing w:after="0" w:line="271" w:lineRule="auto"/>
        <w:rPr>
          <w:sz w:val="20"/>
          <w:szCs w:val="20"/>
          <w:color w:val="auto"/>
        </w:rPr>
      </w:pPr>
      <w:r>
        <w:rPr>
          <w:rFonts w:ascii="Arial" w:cs="Arial" w:eastAsia="Arial" w:hAnsi="Arial"/>
          <w:sz w:val="17"/>
          <w:szCs w:val="17"/>
          <w:color w:val="auto"/>
        </w:rPr>
        <w:t>Embedded derivatives can be either assets or liabilities within the investment-type insurance contracts line item, depending on certain inputs at the reporting date. Increases to an asset or decreases to a liability are described as increases to fair value. Increases or decreases in market volatilities could cause significant decreases or increases, respectively, in the fair value of embedded derivatives in investment-type insurance contracts. Long duration interest rates are used as the mean return when projecting the growth in the value of associated account value and impact the discount rate used in the discounted future cash flows valuation. The amount of claims will increase if account value is not sufficient to cover guaranteed withdrawals. Increases or decreases in risk free rates could cause the fair value of the embedded derivative to significantly increase or decrease, respectively. Increases or decreases in our own credit risks, which impact the rates used to discount future cash flows, could significantly increase or decrease, respectively, the fair value of the embedded derivative. All of these changes in fair value would impact net income.</w:t>
      </w:r>
    </w:p>
    <w:p>
      <w:pPr>
        <w:spacing w:after="0" w:line="179" w:lineRule="exact"/>
        <w:rPr>
          <w:sz w:val="20"/>
          <w:szCs w:val="20"/>
          <w:color w:val="auto"/>
        </w:rPr>
      </w:pPr>
    </w:p>
    <w:p>
      <w:pPr>
        <w:ind w:right="40" w:firstLine="648"/>
        <w:spacing w:after="0" w:line="290" w:lineRule="auto"/>
        <w:rPr>
          <w:sz w:val="20"/>
          <w:szCs w:val="20"/>
          <w:color w:val="auto"/>
        </w:rPr>
      </w:pPr>
      <w:r>
        <w:rPr>
          <w:rFonts w:ascii="Arial" w:cs="Arial" w:eastAsia="Arial" w:hAnsi="Arial"/>
          <w:sz w:val="16"/>
          <w:szCs w:val="16"/>
          <w:color w:val="auto"/>
        </w:rPr>
        <w:t>Decreases or increases in the mortality rate assumption could cause the fair value of the embedded derivative to decrease or increase, respectively. Decreases or increases in the overall lapse rate assumption could cause the fair value of the embedded derivative to decrease or increase, respectively. The lapse rate assumption varies dynamically based on the relationship of the guarantee and associated account value. A stronger or weaker dynamic lapse rate assumption could cause the fair value of the embedded derivative to decrease or increase, respectively. The utilization rate assumption includes how many contractholders will take withdrawals, when they will take them and how much of their benefit they will take. Increases or decreases in the assumption of the number of contractholders taking withdrawals could cause the fair value of the embedded derivative to decrease or increase, respectively. Assuming contractholders take withdrawals earlier or later could cause the fair value of the embedded derivative to decrease or increase, respectively. Assuming contractholders take more or less of their benefit could cause the fair value of the embedded derivative to decrease or increase, respectively.</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and Liabilities Measured at Fair Value on a Nonrecurring Basis</w:t>
      </w:r>
    </w:p>
    <w:p>
      <w:pPr>
        <w:spacing w:after="0" w:line="229" w:lineRule="exact"/>
        <w:rPr>
          <w:sz w:val="20"/>
          <w:szCs w:val="20"/>
          <w:color w:val="auto"/>
        </w:rPr>
      </w:pPr>
    </w:p>
    <w:p>
      <w:pPr>
        <w:ind w:right="20" w:firstLine="648"/>
        <w:spacing w:after="0" w:line="273" w:lineRule="auto"/>
        <w:rPr>
          <w:sz w:val="20"/>
          <w:szCs w:val="20"/>
          <w:color w:val="auto"/>
        </w:rPr>
      </w:pPr>
      <w:r>
        <w:rPr>
          <w:rFonts w:ascii="Arial" w:cs="Arial" w:eastAsia="Arial" w:hAnsi="Arial"/>
          <w:sz w:val="17"/>
          <w:szCs w:val="17"/>
          <w:color w:val="auto"/>
        </w:rPr>
        <w:t xml:space="preserve">Certain assets are measured at fair value on a nonrecurring basis. </w:t>
      </w:r>
      <w:r>
        <w:rPr>
          <w:rFonts w:ascii="Arial" w:cs="Arial" w:eastAsia="Arial" w:hAnsi="Arial"/>
          <w:sz w:val="16"/>
          <w:szCs w:val="16"/>
          <w:color w:val="auto"/>
        </w:rPr>
        <w:t>During the nine months ended September 30, 2015,</w:t>
      </w:r>
      <w:r>
        <w:rPr>
          <w:rFonts w:ascii="Arial" w:cs="Arial" w:eastAsia="Arial" w:hAnsi="Arial"/>
          <w:sz w:val="17"/>
          <w:szCs w:val="17"/>
          <w:color w:val="auto"/>
        </w:rPr>
        <w:t xml:space="preserve"> certain mortgage loans had been marked to fair value of $13.9 million. The net impact of write-downs of loans reclassified to held-for-sale, impairments and improvements in estimated fair value of previously impaired loans resulted in a net loss of $1.5 million and $3.3 million for the three and nine months ended September 30, 2015, respectively, that was recorded in net realized capital gains (losses) as part of the mortgage loan valuation allowance. This includes the impact of certain loans no longer on our books. These collateral-dependent mortgage loans are a Level 3 fair value measurement, as fair value is based on the fair value of the underlying real estate collateral, which is estimated using appraised values that involve significant unobservable inputs.</w:t>
      </w:r>
    </w:p>
    <w:p>
      <w:pPr>
        <w:spacing w:after="0" w:line="178"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During our annual testing process for impairment of goodwill and other intangible assets in the third quarter of 2015, identified intangibles that originated from the acquisition of our mutual fund company in Brazil were deemed to be impaired, and were marked to fair value of zero. These impairments were driven by the current macroeconomic and market conditions in Brazil, including higher discount rates and change in the mix of business. The fair value calculation for intangibles is a Level 3 fair value measurement, as the fair value is determined by calculating the present value of future cash flows that are expected to emerge from the identified intangibles. The net impact of impairments of identified intangibles resulted in a loss of $23.0 million that was recorded in operating expenses.</w:t>
      </w:r>
    </w:p>
    <w:p>
      <w:pPr>
        <w:spacing w:after="0" w:line="193" w:lineRule="exact"/>
        <w:rPr>
          <w:sz w:val="20"/>
          <w:szCs w:val="20"/>
          <w:color w:val="auto"/>
        </w:rPr>
      </w:pPr>
    </w:p>
    <w:p>
      <w:pPr>
        <w:ind w:right="60" w:firstLine="648"/>
        <w:spacing w:after="0" w:line="312" w:lineRule="auto"/>
        <w:rPr>
          <w:sz w:val="20"/>
          <w:szCs w:val="20"/>
          <w:color w:val="auto"/>
        </w:rPr>
      </w:pPr>
      <w:r>
        <w:rPr>
          <w:rFonts w:ascii="Arial" w:cs="Arial" w:eastAsia="Arial" w:hAnsi="Arial"/>
          <w:sz w:val="16"/>
          <w:szCs w:val="16"/>
          <w:color w:val="auto"/>
        </w:rPr>
        <w:t>During the nine months ended September 30, 2014, certain mortgage loans had been marked to fair value of $63.8 million. The net impact of impairments and improvements in estimated fair value of previously impaired loans resulted in a net loss of $9.7 million and $9.1 million for the three and nine months ended September 30, 2014, respectively, that was recorded in net realized capital gains (losses) as part of the mortgage loan valuation allowance.</w:t>
      </w:r>
    </w:p>
    <w:p>
      <w:pPr>
        <w:sectPr>
          <w:pgSz w:w="11900" w:h="16838" w:orient="portrait"/>
          <w:cols w:equalWidth="0" w:num="1">
            <w:col w:w="11420"/>
          </w:cols>
          <w:pgMar w:left="240" w:top="108" w:right="239" w:bottom="0" w:gutter="0" w:footer="0" w:header="0"/>
        </w:sectPr>
      </w:pPr>
    </w:p>
    <w:bookmarkStart w:id="47" w:name="page48"/>
    <w:bookmarkEnd w:id="47"/>
    <w:p>
      <w:pPr>
        <w:spacing w:after="0" w:line="46"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This includes the impact of certain loans no longer on our books. These collateral-dependent mortgage loans are a Level 3 fair value measurement, as fair value is based on the fair value of the underlying real estate collateral, which is estimated using appraised values that involve significant unobservable inputs. The ranges of inputs used in the fair value measurements for the mortgage loans marked to fair value during the nine months ended September 30, 2014, were:</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Discount rate = 8.8% -11.0%</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Terminal capitalization rate = 7.3% - 9.0%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Average market rent growth = 2.5% - 10.9%</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Option</w:t>
      </w:r>
    </w:p>
    <w:p>
      <w:pPr>
        <w:spacing w:after="0" w:line="229"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We elected fair value accounting for certain assets and liabilities of consolidated VIEs for which it was not practicable for us to determine the carrying value. The fair value option was elected for commercial mortgage loans reported with other investments and obligations reported with other liabilities in the consolidated statements of financial position. The changes in fair value of these items are reported in net realized capital gains (losses) on the consolidated statements of operations.</w:t>
      </w:r>
    </w:p>
    <w:p>
      <w:pPr>
        <w:spacing w:after="0" w:line="187" w:lineRule="exact"/>
        <w:rPr>
          <w:sz w:val="20"/>
          <w:szCs w:val="20"/>
          <w:color w:val="auto"/>
        </w:rPr>
      </w:pPr>
    </w:p>
    <w:p>
      <w:pPr>
        <w:ind w:right="120" w:firstLine="648"/>
        <w:spacing w:after="0" w:line="290" w:lineRule="auto"/>
        <w:rPr>
          <w:sz w:val="20"/>
          <w:szCs w:val="20"/>
          <w:color w:val="auto"/>
        </w:rPr>
      </w:pPr>
      <w:r>
        <w:rPr>
          <w:rFonts w:ascii="Arial" w:cs="Arial" w:eastAsia="Arial" w:hAnsi="Arial"/>
          <w:sz w:val="16"/>
          <w:szCs w:val="16"/>
          <w:color w:val="auto"/>
        </w:rPr>
        <w:t>The fair value and aggregate contractual principal amounts of commercial mortgage loans for which the fair value option has been elected were $25.1 million and $23.6 million as of September 30, 2015, and $35.0 million and $32.4 million as of December 31, 2014, respectively. The change in fair value of the loans resulted in a $1.0 million and $(0.2) million pre-tax gain (loss) for the three months ended September 30, 2015 and 2014, respectively, and a $1.1 million and $0.8 million pre-tax loss for the nine months ended September 30, 2015 and 2014, respectively, none of which related to instrument-specific credit risk. None of these loans were more than 90 days past due or in nonaccrual status. Interest income on these commercial mortgage loans is included in net investment income on the consolidated statements of operations and is recorded based on the effective interest rates as determined at the closing of the loan. Interest income recorded on these commercial mortgage loans was $0.7 million and $3.2 million for the three months ended September 30, 2015 and 2014, respectively, and $2.2 million and $5.4 million for the nine months ended September 30, 2015 and 2014, respectively.</w:t>
      </w:r>
    </w:p>
    <w:p>
      <w:pPr>
        <w:spacing w:after="0" w:line="166" w:lineRule="exact"/>
        <w:rPr>
          <w:sz w:val="20"/>
          <w:szCs w:val="20"/>
          <w:color w:val="auto"/>
        </w:rPr>
      </w:pPr>
    </w:p>
    <w:p>
      <w:pPr>
        <w:ind w:right="80" w:firstLine="648"/>
        <w:spacing w:after="0" w:line="270" w:lineRule="auto"/>
        <w:rPr>
          <w:sz w:val="20"/>
          <w:szCs w:val="20"/>
          <w:color w:val="auto"/>
        </w:rPr>
      </w:pPr>
      <w:r>
        <w:rPr>
          <w:rFonts w:ascii="Arial" w:cs="Arial" w:eastAsia="Arial" w:hAnsi="Arial"/>
          <w:sz w:val="17"/>
          <w:szCs w:val="17"/>
          <w:color w:val="auto"/>
        </w:rPr>
        <w:t>The fair value and aggregate unpaid principal amounts of obligations for which the fair value option has been elected were $64.7 million and $124.0 million as of September 30, 2015, and $71.0 million and $132.8 million as of December 31, 2014, respectively. For the three months ended September 30, 2015 and 2014, the change in fair value of the obligations resulted in a pre-tax gain of $1.5 million and $10.4 million, which includes a pre-tax gain of $2.8 million and $8.9 million related to instrument-specific credit risk that is estimated based on credit spreads and quality ratings, respectively. For the nine months ended September 30, 2015 and 2014, the change in fair value of the obligations resulted in a pre-tax gain of $1.3 million and $4.7 million, which includes a pre-tax gain of $1.5 million and $2.9 million related to instrument-specific credit risk that is estimated based on credit spreads and quality ratings, respectively. Interest expense recorded on these obligations is included in operating expenses on the consolidated statements of operations and was $0.4 million and $2.7 million for the three months ended September 30, 2015 and 2014, respectively, and $0.8 million and $3.8 million for the nine months ended September 30, 2015 and 2014, respectively.</w:t>
      </w:r>
    </w:p>
    <w:p>
      <w:pPr>
        <w:spacing w:after="0" w:line="182" w:lineRule="exact"/>
        <w:rPr>
          <w:sz w:val="20"/>
          <w:szCs w:val="20"/>
          <w:color w:val="auto"/>
        </w:rPr>
      </w:pPr>
    </w:p>
    <w:p>
      <w:pPr>
        <w:ind w:right="40" w:firstLine="648"/>
        <w:spacing w:after="0" w:line="270" w:lineRule="auto"/>
        <w:rPr>
          <w:sz w:val="20"/>
          <w:szCs w:val="20"/>
          <w:color w:val="auto"/>
        </w:rPr>
      </w:pPr>
      <w:r>
        <w:rPr>
          <w:rFonts w:ascii="Arial" w:cs="Arial" w:eastAsia="Arial" w:hAnsi="Arial"/>
          <w:sz w:val="17"/>
          <w:szCs w:val="17"/>
          <w:color w:val="auto"/>
        </w:rPr>
        <w:t>We invest in real estate ventures for the purpose of earning investment returns and for capital appreciation. We elected the fair value option for certain ventures that are subject to the equity method of accounting because the nature of the investments are to add value to the properties and generate income from the operations of the properties. Other equity method real estate investments are not fair valued because the investments mainly generate income from the operations of the underlying properties. These investments are reported with other investments in the consolidated statements of financial position. The changes in fair value are reported in net investment income on the consolidated statements of operations. The fair value of the equity method investments for which the fair value option has been elected was $31.5 million and $92.2 million as of September 30, 2015 and December 31, 2014, respectively. The decrease from December 31, 2014, is due to a real estate disposal during the first quarter of 2015. The change in fair value of the investments resulted in a $0.5 million and $4.0 million pre-tax gain for the three months ended September 30, 2015 and 2014, respectively, and $4.5 million and $7.6 million pre-tax gain for the nine months ended September 30, 2015 and 2014, respectively.</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Instruments Not Reported at Fair Value</w:t>
      </w:r>
    </w:p>
    <w:p>
      <w:pPr>
        <w:spacing w:after="0" w:line="229"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The carrying value and estimated fair value of financial instruments not recorded at fair value on a recurring basis but required to be disclosed at fair value were as follows: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2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1"/>
              </w:rPr>
              <w:t>September 30, 2015</w:t>
            </w:r>
          </w:p>
        </w:tc>
        <w:tc>
          <w:tcPr>
            <w:tcW w:w="4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8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w w:val="96"/>
              </w:rPr>
              <w:t>Carrying amount</w:t>
            </w:r>
          </w:p>
        </w:tc>
        <w:tc>
          <w:tcPr>
            <w:tcW w:w="300" w:type="dxa"/>
            <w:vAlign w:val="bottom"/>
          </w:tcPr>
          <w:p>
            <w:pPr>
              <w:spacing w:after="0"/>
              <w:rPr>
                <w:sz w:val="12"/>
                <w:szCs w:val="12"/>
                <w:color w:val="auto"/>
              </w:rPr>
            </w:pPr>
          </w:p>
        </w:tc>
        <w:tc>
          <w:tcPr>
            <w:tcW w:w="1040" w:type="dxa"/>
            <w:vAlign w:val="bottom"/>
            <w:vMerge w:val="restart"/>
          </w:tcPr>
          <w:p>
            <w:pPr>
              <w:jc w:val="right"/>
              <w:ind w:right="236"/>
              <w:spacing w:after="0"/>
              <w:rPr>
                <w:sz w:val="20"/>
                <w:szCs w:val="20"/>
                <w:color w:val="auto"/>
              </w:rPr>
            </w:pPr>
            <w:r>
              <w:rPr>
                <w:rFonts w:ascii="Arial" w:cs="Arial" w:eastAsia="Arial" w:hAnsi="Arial"/>
                <w:sz w:val="14"/>
                <w:szCs w:val="14"/>
                <w:b w:val="1"/>
                <w:bCs w:val="1"/>
                <w:color w:val="auto"/>
              </w:rPr>
              <w:t>Fair value</w:t>
            </w:r>
          </w:p>
        </w:tc>
        <w:tc>
          <w:tcPr>
            <w:tcW w:w="2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80" w:type="dxa"/>
            <w:vAlign w:val="bottom"/>
            <w:tcBorders>
              <w:bottom w:val="single" w:sz="8" w:color="auto"/>
            </w:tcBorders>
          </w:tcPr>
          <w:p>
            <w:pPr>
              <w:spacing w:after="0"/>
              <w:rPr>
                <w:sz w:val="12"/>
                <w:szCs w:val="12"/>
                <w:color w:val="auto"/>
              </w:rPr>
            </w:pPr>
          </w:p>
        </w:tc>
        <w:tc>
          <w:tcPr>
            <w:tcW w:w="1640" w:type="dxa"/>
            <w:vAlign w:val="bottom"/>
            <w:tcBorders>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94"/>
              </w:rPr>
              <w:t>Fair value hierarchy level</w:t>
            </w:r>
          </w:p>
        </w:tc>
        <w:tc>
          <w:tcPr>
            <w:tcW w:w="26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2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380" w:type="dxa"/>
            <w:vAlign w:val="bottom"/>
            <w:tcBorders>
              <w:bottom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vMerge w:val="continue"/>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80" w:type="dxa"/>
            <w:vAlign w:val="bottom"/>
            <w:tcBorders>
              <w:bottom w:val="single" w:sz="8" w:color="auto"/>
            </w:tcBorders>
          </w:tcPr>
          <w:p>
            <w:pPr>
              <w:ind w:left="240"/>
              <w:spacing w:after="0" w:line="142" w:lineRule="exact"/>
              <w:rPr>
                <w:sz w:val="20"/>
                <w:szCs w:val="20"/>
                <w:color w:val="auto"/>
              </w:rPr>
            </w:pPr>
            <w:r>
              <w:rPr>
                <w:rFonts w:ascii="Arial" w:cs="Arial" w:eastAsia="Arial" w:hAnsi="Arial"/>
                <w:sz w:val="14"/>
                <w:szCs w:val="14"/>
                <w:b w:val="1"/>
                <w:bCs w:val="1"/>
                <w:color w:val="auto"/>
              </w:rPr>
              <w:t>Level 1</w:t>
            </w:r>
          </w:p>
        </w:tc>
        <w:tc>
          <w:tcPr>
            <w:tcW w:w="46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tcPr>
          <w:p>
            <w:pPr>
              <w:jc w:val="center"/>
              <w:ind w:right="376"/>
              <w:spacing w:after="0" w:line="142" w:lineRule="exact"/>
              <w:rPr>
                <w:sz w:val="20"/>
                <w:szCs w:val="20"/>
                <w:color w:val="auto"/>
              </w:rPr>
            </w:pPr>
            <w:r>
              <w:rPr>
                <w:rFonts w:ascii="Arial" w:cs="Arial" w:eastAsia="Arial" w:hAnsi="Arial"/>
                <w:sz w:val="14"/>
                <w:szCs w:val="14"/>
                <w:b w:val="1"/>
                <w:bCs w:val="1"/>
                <w:color w:val="auto"/>
                <w:w w:val="92"/>
              </w:rPr>
              <w:t>Level 2</w:t>
            </w:r>
          </w:p>
        </w:tc>
        <w:tc>
          <w:tcPr>
            <w:tcW w:w="26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276"/>
              <w:spacing w:after="0" w:line="142" w:lineRule="exact"/>
              <w:rPr>
                <w:sz w:val="20"/>
                <w:szCs w:val="20"/>
                <w:color w:val="auto"/>
              </w:rPr>
            </w:pPr>
            <w:r>
              <w:rPr>
                <w:rFonts w:ascii="Arial" w:cs="Arial" w:eastAsia="Arial" w:hAnsi="Arial"/>
                <w:sz w:val="14"/>
                <w:szCs w:val="14"/>
                <w:b w:val="1"/>
                <w:bCs w:val="1"/>
                <w:color w:val="auto"/>
              </w:rPr>
              <w:t>Level 3</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tcPr>
          <w:p>
            <w:pPr>
              <w:jc w:val="center"/>
              <w:ind w:right="259"/>
              <w:spacing w:after="0" w:line="142" w:lineRule="exact"/>
              <w:rPr>
                <w:sz w:val="20"/>
                <w:szCs w:val="20"/>
                <w:color w:val="auto"/>
              </w:rPr>
            </w:pPr>
            <w:r>
              <w:rPr>
                <w:rFonts w:ascii="Arial" w:cs="Arial" w:eastAsia="Arial" w:hAnsi="Arial"/>
                <w:sz w:val="14"/>
                <w:szCs w:val="14"/>
                <w:b w:val="1"/>
                <w:bCs w:val="1"/>
                <w:color w:val="auto"/>
                <w:w w:val="94"/>
              </w:rPr>
              <w:t>(in millions)</w:t>
            </w:r>
          </w:p>
        </w:tc>
        <w:tc>
          <w:tcPr>
            <w:tcW w:w="4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 (liabilities)</w:t>
            </w:r>
          </w:p>
        </w:tc>
        <w:tc>
          <w:tcPr>
            <w:tcW w:w="1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Mortgage loans</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80" w:type="dxa"/>
            <w:vAlign w:val="bottom"/>
          </w:tcPr>
          <w:p>
            <w:pPr>
              <w:jc w:val="right"/>
              <w:ind w:right="56"/>
              <w:spacing w:after="0"/>
              <w:rPr>
                <w:sz w:val="20"/>
                <w:szCs w:val="20"/>
                <w:color w:val="auto"/>
              </w:rPr>
            </w:pPr>
            <w:r>
              <w:rPr>
                <w:rFonts w:ascii="Arial" w:cs="Arial" w:eastAsia="Arial" w:hAnsi="Arial"/>
                <w:sz w:val="18"/>
                <w:szCs w:val="18"/>
                <w:b w:val="1"/>
                <w:bCs w:val="1"/>
                <w:color w:val="auto"/>
              </w:rPr>
              <w:t>12,232.1</w:t>
            </w:r>
          </w:p>
        </w:tc>
        <w:tc>
          <w:tcPr>
            <w:tcW w:w="3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12,752.8</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w:t>
            </w:r>
          </w:p>
        </w:tc>
        <w:tc>
          <w:tcPr>
            <w:tcW w:w="1080" w:type="dxa"/>
            <w:vAlign w:val="bottom"/>
          </w:tcPr>
          <w:p>
            <w:pPr>
              <w:ind w:left="860"/>
              <w:spacing w:after="0"/>
              <w:rPr>
                <w:sz w:val="20"/>
                <w:szCs w:val="20"/>
                <w:color w:val="auto"/>
              </w:rPr>
            </w:pPr>
            <w:r>
              <w:rPr>
                <w:rFonts w:ascii="Arial" w:cs="Arial" w:eastAsia="Arial" w:hAnsi="Arial"/>
                <w:sz w:val="18"/>
                <w:szCs w:val="18"/>
                <w:b w:val="1"/>
                <w:bCs w:val="1"/>
                <w:color w:val="auto"/>
              </w:rPr>
              <w:t>—</w:t>
            </w:r>
          </w:p>
        </w:tc>
        <w:tc>
          <w:tcPr>
            <w:tcW w:w="460" w:type="dxa"/>
            <w:vAlign w:val="bottom"/>
          </w:tcPr>
          <w:p>
            <w:pPr>
              <w:jc w:val="right"/>
              <w:ind w:right="39"/>
              <w:spacing w:after="0"/>
              <w:rPr>
                <w:sz w:val="20"/>
                <w:szCs w:val="20"/>
                <w:color w:val="auto"/>
              </w:rPr>
            </w:pPr>
            <w:r>
              <w:rPr>
                <w:rFonts w:ascii="Arial" w:cs="Arial" w:eastAsia="Arial" w:hAnsi="Arial"/>
                <w:sz w:val="18"/>
                <w:szCs w:val="18"/>
                <w:b w:val="1"/>
                <w:bCs w:val="1"/>
                <w:color w:val="auto"/>
              </w:rPr>
              <w:t>$</w:t>
            </w:r>
          </w:p>
        </w:tc>
        <w:tc>
          <w:tcPr>
            <w:tcW w:w="1180" w:type="dxa"/>
            <w:vAlign w:val="bottom"/>
          </w:tcPr>
          <w:p>
            <w:pPr>
              <w:ind w:left="76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12,752.8</w:t>
            </w: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Policy loans</w:t>
            </w:r>
          </w:p>
        </w:tc>
        <w:tc>
          <w:tcPr>
            <w:tcW w:w="1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822.8</w:t>
            </w:r>
          </w:p>
        </w:tc>
        <w:tc>
          <w:tcPr>
            <w:tcW w:w="3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1,049.0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ind w:left="860"/>
              <w:spacing w:after="0"/>
              <w:rPr>
                <w:sz w:val="20"/>
                <w:szCs w:val="20"/>
                <w:color w:val="auto"/>
              </w:rPr>
            </w:pPr>
            <w:r>
              <w:rPr>
                <w:rFonts w:ascii="Arial" w:cs="Arial" w:eastAsia="Arial" w:hAnsi="Arial"/>
                <w:sz w:val="18"/>
                <w:szCs w:val="18"/>
                <w:b w:val="1"/>
                <w:bCs w:val="1"/>
                <w:color w:val="auto"/>
              </w:rPr>
              <w:t>—</w:t>
            </w:r>
          </w:p>
        </w:tc>
        <w:tc>
          <w:tcPr>
            <w:tcW w:w="460" w:type="dxa"/>
            <w:vAlign w:val="bottom"/>
            <w:shd w:val="clear" w:color="auto" w:fill="CCEEFF"/>
          </w:tcPr>
          <w:p>
            <w:pPr>
              <w:spacing w:after="0"/>
              <w:rPr>
                <w:sz w:val="18"/>
                <w:szCs w:val="18"/>
                <w:color w:val="auto"/>
              </w:rPr>
            </w:pPr>
          </w:p>
        </w:tc>
        <w:tc>
          <w:tcPr>
            <w:tcW w:w="1180" w:type="dxa"/>
            <w:vAlign w:val="bottom"/>
            <w:shd w:val="clear" w:color="auto" w:fill="CCEEFF"/>
          </w:tcPr>
          <w:p>
            <w:pPr>
              <w:ind w:left="760"/>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1,049.0</w:t>
            </w:r>
          </w:p>
        </w:tc>
        <w:tc>
          <w:tcPr>
            <w:tcW w:w="0" w:type="dxa"/>
            <w:vAlign w:val="bottom"/>
          </w:tcPr>
          <w:p>
            <w:pPr>
              <w:spacing w:after="0"/>
              <w:rPr>
                <w:sz w:val="1"/>
                <w:szCs w:val="1"/>
                <w:color w:val="auto"/>
              </w:rPr>
            </w:pPr>
          </w:p>
        </w:tc>
      </w:tr>
    </w:tbl>
    <w:p>
      <w:pPr>
        <w:sectPr>
          <w:pgSz w:w="11900" w:h="16884" w:orient="portrait"/>
          <w:cols w:equalWidth="0" w:num="1">
            <w:col w:w="11420"/>
          </w:cols>
          <w:pgMar w:left="240" w:top="125" w:right="239" w:bottom="0" w:gutter="0" w:footer="0" w:header="0"/>
        </w:sectPr>
      </w:pPr>
    </w:p>
    <w:bookmarkStart w:id="48" w:name="page49"/>
    <w:bookmarkEnd w:id="4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20" w:type="dxa"/>
            <w:vAlign w:val="bottom"/>
          </w:tcPr>
          <w:p>
            <w:pPr>
              <w:spacing w:after="0"/>
              <w:rPr>
                <w:sz w:val="20"/>
                <w:szCs w:val="20"/>
                <w:color w:val="auto"/>
              </w:rPr>
            </w:pPr>
            <w:r>
              <w:rPr>
                <w:rFonts w:ascii="Arial" w:cs="Arial" w:eastAsia="Arial" w:hAnsi="Arial"/>
                <w:sz w:val="18"/>
                <w:szCs w:val="18"/>
                <w:color w:val="auto"/>
              </w:rPr>
              <w:t>Other investments</w:t>
            </w: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jc w:val="right"/>
              <w:ind w:right="91"/>
              <w:spacing w:after="0"/>
              <w:rPr>
                <w:sz w:val="20"/>
                <w:szCs w:val="20"/>
                <w:color w:val="auto"/>
              </w:rPr>
            </w:pPr>
            <w:r>
              <w:rPr>
                <w:rFonts w:ascii="Arial" w:cs="Arial" w:eastAsia="Arial" w:hAnsi="Arial"/>
                <w:sz w:val="18"/>
                <w:szCs w:val="18"/>
                <w:b w:val="1"/>
                <w:bCs w:val="1"/>
                <w:color w:val="auto"/>
              </w:rPr>
              <w:t>238.2</w:t>
            </w:r>
          </w:p>
        </w:tc>
        <w:tc>
          <w:tcPr>
            <w:tcW w:w="300" w:type="dxa"/>
            <w:vAlign w:val="bottom"/>
          </w:tcPr>
          <w:p>
            <w:pPr>
              <w:spacing w:after="0"/>
              <w:rPr>
                <w:sz w:val="20"/>
                <w:szCs w:val="20"/>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b w:val="1"/>
                <w:bCs w:val="1"/>
                <w:color w:val="auto"/>
              </w:rPr>
              <w:t>251.2</w:t>
            </w: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440" w:type="dxa"/>
            <w:vAlign w:val="bottom"/>
          </w:tcPr>
          <w:p>
            <w:pPr>
              <w:spacing w:after="0"/>
              <w:rPr>
                <w:sz w:val="20"/>
                <w:szCs w:val="20"/>
                <w:color w:val="auto"/>
              </w:rPr>
            </w:pPr>
          </w:p>
        </w:tc>
        <w:tc>
          <w:tcPr>
            <w:tcW w:w="1160" w:type="dxa"/>
            <w:vAlign w:val="bottom"/>
          </w:tcPr>
          <w:p>
            <w:pPr>
              <w:jc w:val="right"/>
              <w:ind w:right="151"/>
              <w:spacing w:after="0"/>
              <w:rPr>
                <w:sz w:val="20"/>
                <w:szCs w:val="20"/>
                <w:color w:val="auto"/>
              </w:rPr>
            </w:pPr>
            <w:r>
              <w:rPr>
                <w:rFonts w:ascii="Arial" w:cs="Arial" w:eastAsia="Arial" w:hAnsi="Arial"/>
                <w:sz w:val="18"/>
                <w:szCs w:val="18"/>
                <w:b w:val="1"/>
                <w:bCs w:val="1"/>
                <w:color w:val="auto"/>
              </w:rPr>
              <w:t>170.8</w:t>
            </w:r>
          </w:p>
        </w:tc>
        <w:tc>
          <w:tcPr>
            <w:tcW w:w="26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80.4</w:t>
            </w: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91"/>
              <w:spacing w:after="0"/>
              <w:rPr>
                <w:sz w:val="20"/>
                <w:szCs w:val="20"/>
                <w:color w:val="auto"/>
              </w:rPr>
            </w:pPr>
            <w:r>
              <w:rPr>
                <w:rFonts w:ascii="Arial" w:cs="Arial" w:eastAsia="Arial" w:hAnsi="Arial"/>
                <w:sz w:val="18"/>
                <w:szCs w:val="18"/>
                <w:b w:val="1"/>
                <w:bCs w:val="1"/>
                <w:color w:val="auto"/>
              </w:rPr>
              <w:t>1,360.6</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1,360.6</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1,360.6</w:t>
            </w: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51"/>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Investment-type insurance contracts</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jc w:val="right"/>
              <w:ind w:right="31"/>
              <w:spacing w:after="0"/>
              <w:rPr>
                <w:sz w:val="20"/>
                <w:szCs w:val="20"/>
                <w:color w:val="auto"/>
              </w:rPr>
            </w:pPr>
            <w:r>
              <w:rPr>
                <w:rFonts w:ascii="Arial" w:cs="Arial" w:eastAsia="Arial" w:hAnsi="Arial"/>
                <w:sz w:val="18"/>
                <w:szCs w:val="18"/>
                <w:b w:val="1"/>
                <w:bCs w:val="1"/>
                <w:color w:val="auto"/>
              </w:rPr>
              <w:t>(28,483.4)</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(28,281.9)</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440" w:type="dxa"/>
            <w:vAlign w:val="bottom"/>
          </w:tcPr>
          <w:p>
            <w:pPr>
              <w:spacing w:after="0"/>
              <w:rPr>
                <w:sz w:val="18"/>
                <w:szCs w:val="18"/>
                <w:color w:val="auto"/>
              </w:rPr>
            </w:pPr>
          </w:p>
        </w:tc>
        <w:tc>
          <w:tcPr>
            <w:tcW w:w="1160" w:type="dxa"/>
            <w:vAlign w:val="bottom"/>
          </w:tcPr>
          <w:p>
            <w:pPr>
              <w:jc w:val="right"/>
              <w:ind w:right="91"/>
              <w:spacing w:after="0"/>
              <w:rPr>
                <w:sz w:val="20"/>
                <w:szCs w:val="20"/>
                <w:color w:val="auto"/>
              </w:rPr>
            </w:pPr>
            <w:r>
              <w:rPr>
                <w:rFonts w:ascii="Arial" w:cs="Arial" w:eastAsia="Arial" w:hAnsi="Arial"/>
                <w:sz w:val="18"/>
                <w:szCs w:val="18"/>
                <w:b w:val="1"/>
                <w:bCs w:val="1"/>
                <w:color w:val="auto"/>
              </w:rPr>
              <w:t>(4,733.5)</w:t>
            </w:r>
          </w:p>
        </w:tc>
        <w:tc>
          <w:tcPr>
            <w:tcW w:w="26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(23,548.4)</w:t>
            </w: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(221.6)</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(221.6)</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91"/>
              <w:spacing w:after="0"/>
              <w:rPr>
                <w:sz w:val="20"/>
                <w:szCs w:val="20"/>
                <w:color w:val="auto"/>
              </w:rPr>
            </w:pPr>
            <w:r>
              <w:rPr>
                <w:rFonts w:ascii="Arial" w:cs="Arial" w:eastAsia="Arial" w:hAnsi="Arial"/>
                <w:sz w:val="18"/>
                <w:szCs w:val="18"/>
                <w:b w:val="1"/>
                <w:bCs w:val="1"/>
                <w:color w:val="auto"/>
              </w:rPr>
              <w:t>(221.6)</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Long-term debt</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jc w:val="right"/>
              <w:ind w:right="31"/>
              <w:spacing w:after="0"/>
              <w:rPr>
                <w:sz w:val="20"/>
                <w:szCs w:val="20"/>
                <w:color w:val="auto"/>
              </w:rPr>
            </w:pPr>
            <w:r>
              <w:rPr>
                <w:rFonts w:ascii="Arial" w:cs="Arial" w:eastAsia="Arial" w:hAnsi="Arial"/>
                <w:sz w:val="18"/>
                <w:szCs w:val="18"/>
                <w:b w:val="1"/>
                <w:bCs w:val="1"/>
                <w:color w:val="auto"/>
              </w:rPr>
              <w:t>(3,286.1)</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(3,431.0)</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440" w:type="dxa"/>
            <w:vAlign w:val="bottom"/>
          </w:tcPr>
          <w:p>
            <w:pPr>
              <w:spacing w:after="0"/>
              <w:rPr>
                <w:sz w:val="18"/>
                <w:szCs w:val="18"/>
                <w:color w:val="auto"/>
              </w:rPr>
            </w:pPr>
          </w:p>
        </w:tc>
        <w:tc>
          <w:tcPr>
            <w:tcW w:w="1160" w:type="dxa"/>
            <w:vAlign w:val="bottom"/>
          </w:tcPr>
          <w:p>
            <w:pPr>
              <w:jc w:val="right"/>
              <w:ind w:right="91"/>
              <w:spacing w:after="0"/>
              <w:rPr>
                <w:sz w:val="20"/>
                <w:szCs w:val="20"/>
                <w:color w:val="auto"/>
              </w:rPr>
            </w:pPr>
            <w:r>
              <w:rPr>
                <w:rFonts w:ascii="Arial" w:cs="Arial" w:eastAsia="Arial" w:hAnsi="Arial"/>
                <w:sz w:val="18"/>
                <w:szCs w:val="18"/>
                <w:b w:val="1"/>
                <w:bCs w:val="1"/>
                <w:color w:val="auto"/>
              </w:rPr>
              <w:t>(3,392.7)</w:t>
            </w:r>
          </w:p>
        </w:tc>
        <w:tc>
          <w:tcPr>
            <w:tcW w:w="26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(38.2)</w:t>
            </w: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(122,714.6)</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(121,486.1)</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51"/>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(121,486.1)</w:t>
            </w:r>
          </w:p>
        </w:tc>
        <w:tc>
          <w:tcPr>
            <w:tcW w:w="0" w:type="dxa"/>
            <w:vAlign w:val="bottom"/>
          </w:tcPr>
          <w:p>
            <w:pPr>
              <w:spacing w:after="0"/>
              <w:rPr>
                <w:sz w:val="1"/>
                <w:szCs w:val="1"/>
                <w:color w:val="auto"/>
              </w:rPr>
            </w:pP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Bank deposits</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jc w:val="right"/>
              <w:ind w:right="31"/>
              <w:spacing w:after="0"/>
              <w:rPr>
                <w:sz w:val="20"/>
                <w:szCs w:val="20"/>
                <w:color w:val="auto"/>
              </w:rPr>
            </w:pPr>
            <w:r>
              <w:rPr>
                <w:rFonts w:ascii="Arial" w:cs="Arial" w:eastAsia="Arial" w:hAnsi="Arial"/>
                <w:sz w:val="18"/>
                <w:szCs w:val="18"/>
                <w:b w:val="1"/>
                <w:bCs w:val="1"/>
                <w:color w:val="auto"/>
              </w:rPr>
              <w:t>(2,004.6)</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(2,008.7)</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(1,388.3)</w:t>
            </w:r>
          </w:p>
        </w:tc>
        <w:tc>
          <w:tcPr>
            <w:tcW w:w="440" w:type="dxa"/>
            <w:vAlign w:val="bottom"/>
          </w:tcPr>
          <w:p>
            <w:pPr>
              <w:spacing w:after="0"/>
              <w:rPr>
                <w:sz w:val="18"/>
                <w:szCs w:val="18"/>
                <w:color w:val="auto"/>
              </w:rPr>
            </w:pPr>
          </w:p>
        </w:tc>
        <w:tc>
          <w:tcPr>
            <w:tcW w:w="1160" w:type="dxa"/>
            <w:vAlign w:val="bottom"/>
          </w:tcPr>
          <w:p>
            <w:pPr>
              <w:jc w:val="right"/>
              <w:ind w:right="91"/>
              <w:spacing w:after="0"/>
              <w:rPr>
                <w:sz w:val="20"/>
                <w:szCs w:val="20"/>
                <w:color w:val="auto"/>
              </w:rPr>
            </w:pPr>
            <w:r>
              <w:rPr>
                <w:rFonts w:ascii="Arial" w:cs="Arial" w:eastAsia="Arial" w:hAnsi="Arial"/>
                <w:sz w:val="18"/>
                <w:szCs w:val="18"/>
                <w:b w:val="1"/>
                <w:bCs w:val="1"/>
                <w:color w:val="auto"/>
              </w:rPr>
              <w:t>(620.4)</w:t>
            </w:r>
          </w:p>
        </w:tc>
        <w:tc>
          <w:tcPr>
            <w:tcW w:w="26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Cash collateral payable</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(267.5)</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(267.5)</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(267.5)</w:t>
            </w: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51"/>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365"/>
        </w:trPr>
        <w:tc>
          <w:tcPr>
            <w:tcW w:w="3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3"/>
          </w:tcPr>
          <w:p>
            <w:pPr>
              <w:jc w:val="right"/>
              <w:ind w:right="91"/>
              <w:spacing w:after="0"/>
              <w:rPr>
                <w:sz w:val="20"/>
                <w:szCs w:val="20"/>
                <w:color w:val="auto"/>
              </w:rPr>
            </w:pPr>
            <w:r>
              <w:rPr>
                <w:rFonts w:ascii="Arial" w:cs="Arial" w:eastAsia="Arial" w:hAnsi="Arial"/>
                <w:sz w:val="14"/>
                <w:szCs w:val="14"/>
                <w:b w:val="1"/>
                <w:bCs w:val="1"/>
                <w:color w:val="auto"/>
                <w:w w:val="93"/>
              </w:rPr>
              <w:t>December 31, 2014</w:t>
            </w:r>
          </w:p>
        </w:tc>
        <w:tc>
          <w:tcPr>
            <w:tcW w:w="4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3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40" w:type="dxa"/>
            <w:vAlign w:val="bottom"/>
            <w:vMerge w:val="restart"/>
          </w:tcPr>
          <w:p>
            <w:pPr>
              <w:jc w:val="right"/>
              <w:ind w:right="231"/>
              <w:spacing w:after="0"/>
              <w:rPr>
                <w:sz w:val="20"/>
                <w:szCs w:val="20"/>
                <w:color w:val="auto"/>
              </w:rPr>
            </w:pPr>
            <w:r>
              <w:rPr>
                <w:rFonts w:ascii="Arial" w:cs="Arial" w:eastAsia="Arial" w:hAnsi="Arial"/>
                <w:sz w:val="14"/>
                <w:szCs w:val="14"/>
                <w:b w:val="1"/>
                <w:bCs w:val="1"/>
                <w:color w:val="auto"/>
                <w:w w:val="98"/>
              </w:rPr>
              <w:t>Carrying amount</w:t>
            </w:r>
          </w:p>
        </w:tc>
        <w:tc>
          <w:tcPr>
            <w:tcW w:w="300" w:type="dxa"/>
            <w:vAlign w:val="bottom"/>
          </w:tcPr>
          <w:p>
            <w:pPr>
              <w:spacing w:after="0"/>
              <w:rPr>
                <w:sz w:val="12"/>
                <w:szCs w:val="12"/>
                <w:color w:val="auto"/>
              </w:rPr>
            </w:pPr>
          </w:p>
        </w:tc>
        <w:tc>
          <w:tcPr>
            <w:tcW w:w="1060" w:type="dxa"/>
            <w:vAlign w:val="bottom"/>
            <w:vMerge w:val="restart"/>
          </w:tcPr>
          <w:p>
            <w:pPr>
              <w:jc w:val="right"/>
              <w:ind w:right="271"/>
              <w:spacing w:after="0"/>
              <w:rPr>
                <w:sz w:val="20"/>
                <w:szCs w:val="20"/>
                <w:color w:val="auto"/>
              </w:rPr>
            </w:pPr>
            <w:r>
              <w:rPr>
                <w:rFonts w:ascii="Arial" w:cs="Arial" w:eastAsia="Arial" w:hAnsi="Arial"/>
                <w:sz w:val="14"/>
                <w:szCs w:val="14"/>
                <w:b w:val="1"/>
                <w:bCs w:val="1"/>
                <w:color w:val="auto"/>
              </w:rPr>
              <w:t>Fair value</w:t>
            </w:r>
          </w:p>
        </w:tc>
        <w:tc>
          <w:tcPr>
            <w:tcW w:w="1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spacing w:after="0"/>
              <w:rPr>
                <w:sz w:val="12"/>
                <w:szCs w:val="12"/>
                <w:color w:val="auto"/>
              </w:rPr>
            </w:pPr>
          </w:p>
        </w:tc>
        <w:tc>
          <w:tcPr>
            <w:tcW w:w="160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3"/>
              </w:rPr>
              <w:t>Fair value hierarchy level</w:t>
            </w:r>
          </w:p>
        </w:tc>
        <w:tc>
          <w:tcPr>
            <w:tcW w:w="26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440" w:type="dxa"/>
            <w:vAlign w:val="bottom"/>
            <w:tcBorders>
              <w:bottom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vMerge w:val="continue"/>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ind w:right="311"/>
              <w:spacing w:after="0" w:line="142" w:lineRule="exact"/>
              <w:rPr>
                <w:sz w:val="20"/>
                <w:szCs w:val="20"/>
                <w:color w:val="auto"/>
              </w:rPr>
            </w:pPr>
            <w:r>
              <w:rPr>
                <w:rFonts w:ascii="Arial" w:cs="Arial" w:eastAsia="Arial" w:hAnsi="Arial"/>
                <w:sz w:val="14"/>
                <w:szCs w:val="14"/>
                <w:b w:val="1"/>
                <w:bCs w:val="1"/>
                <w:color w:val="auto"/>
              </w:rPr>
              <w:t>Level 1</w:t>
            </w:r>
          </w:p>
        </w:tc>
        <w:tc>
          <w:tcPr>
            <w:tcW w:w="440" w:type="dxa"/>
            <w:vAlign w:val="bottom"/>
            <w:tcBorders>
              <w:bottom w:val="single" w:sz="8" w:color="auto"/>
            </w:tcBorders>
          </w:tcPr>
          <w:p>
            <w:pPr>
              <w:spacing w:after="0"/>
              <w:rPr>
                <w:sz w:val="12"/>
                <w:szCs w:val="12"/>
                <w:color w:val="auto"/>
              </w:rPr>
            </w:pPr>
          </w:p>
        </w:tc>
        <w:tc>
          <w:tcPr>
            <w:tcW w:w="1160" w:type="dxa"/>
            <w:vAlign w:val="bottom"/>
            <w:tcBorders>
              <w:bottom w:val="single" w:sz="8" w:color="auto"/>
            </w:tcBorders>
          </w:tcPr>
          <w:p>
            <w:pPr>
              <w:jc w:val="right"/>
              <w:ind w:right="511"/>
              <w:spacing w:after="0" w:line="142" w:lineRule="exact"/>
              <w:rPr>
                <w:sz w:val="20"/>
                <w:szCs w:val="20"/>
                <w:color w:val="auto"/>
              </w:rPr>
            </w:pPr>
            <w:r>
              <w:rPr>
                <w:rFonts w:ascii="Arial" w:cs="Arial" w:eastAsia="Arial" w:hAnsi="Arial"/>
                <w:sz w:val="14"/>
                <w:szCs w:val="14"/>
                <w:b w:val="1"/>
                <w:bCs w:val="1"/>
                <w:color w:val="auto"/>
              </w:rPr>
              <w:t>Level 2</w:t>
            </w:r>
          </w:p>
        </w:tc>
        <w:tc>
          <w:tcPr>
            <w:tcW w:w="26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271"/>
              <w:spacing w:after="0" w:line="142" w:lineRule="exact"/>
              <w:rPr>
                <w:sz w:val="20"/>
                <w:szCs w:val="20"/>
                <w:color w:val="auto"/>
              </w:rPr>
            </w:pPr>
            <w:r>
              <w:rPr>
                <w:rFonts w:ascii="Arial" w:cs="Arial" w:eastAsia="Arial" w:hAnsi="Arial"/>
                <w:sz w:val="14"/>
                <w:szCs w:val="14"/>
                <w:b w:val="1"/>
                <w:bCs w:val="1"/>
                <w:color w:val="auto"/>
              </w:rPr>
              <w:t>Level 3</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jc w:val="right"/>
              <w:ind w:right="291"/>
              <w:spacing w:after="0" w:line="142" w:lineRule="exact"/>
              <w:rPr>
                <w:sz w:val="20"/>
                <w:szCs w:val="20"/>
                <w:color w:val="auto"/>
              </w:rPr>
            </w:pPr>
            <w:r>
              <w:rPr>
                <w:rFonts w:ascii="Arial" w:cs="Arial" w:eastAsia="Arial" w:hAnsi="Arial"/>
                <w:sz w:val="14"/>
                <w:szCs w:val="14"/>
                <w:b w:val="1"/>
                <w:bCs w:val="1"/>
                <w:color w:val="auto"/>
              </w:rPr>
              <w:t>(in millions)</w:t>
            </w:r>
          </w:p>
        </w:tc>
        <w:tc>
          <w:tcPr>
            <w:tcW w:w="4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 (liabilities)</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Mortgage loans</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91"/>
              <w:spacing w:after="0"/>
              <w:rPr>
                <w:sz w:val="20"/>
                <w:szCs w:val="20"/>
                <w:color w:val="auto"/>
              </w:rPr>
            </w:pPr>
            <w:r>
              <w:rPr>
                <w:rFonts w:ascii="Arial" w:cs="Arial" w:eastAsia="Arial" w:hAnsi="Arial"/>
                <w:sz w:val="18"/>
                <w:szCs w:val="18"/>
                <w:color w:val="auto"/>
              </w:rPr>
              <w:t>11,811.6</w:t>
            </w: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12,350.2</w:t>
            </w:r>
          </w:p>
        </w:tc>
        <w:tc>
          <w:tcPr>
            <w:tcW w:w="400" w:type="dxa"/>
            <w:vAlign w:val="bottom"/>
            <w:gridSpan w:val="2"/>
          </w:tcPr>
          <w:p>
            <w:pPr>
              <w:jc w:val="right"/>
              <w:ind w:right="48"/>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jc w:val="right"/>
              <w:ind w:right="59"/>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151"/>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12,350.2</w:t>
            </w: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Policy loans</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91"/>
              <w:spacing w:after="0"/>
              <w:rPr>
                <w:sz w:val="20"/>
                <w:szCs w:val="20"/>
                <w:color w:val="auto"/>
              </w:rPr>
            </w:pPr>
            <w:r>
              <w:rPr>
                <w:rFonts w:ascii="Arial" w:cs="Arial" w:eastAsia="Arial" w:hAnsi="Arial"/>
                <w:sz w:val="18"/>
                <w:szCs w:val="18"/>
                <w:color w:val="auto"/>
              </w:rPr>
              <w:t>829.2</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1,083.2</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1,083.2</w:t>
            </w:r>
          </w:p>
        </w:tc>
        <w:tc>
          <w:tcPr>
            <w:tcW w:w="0" w:type="dxa"/>
            <w:vAlign w:val="bottom"/>
          </w:tcPr>
          <w:p>
            <w:pPr>
              <w:spacing w:after="0"/>
              <w:rPr>
                <w:sz w:val="1"/>
                <w:szCs w:val="1"/>
                <w:color w:val="auto"/>
              </w:rPr>
            </w:pP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Other investments</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jc w:val="right"/>
              <w:ind w:right="91"/>
              <w:spacing w:after="0"/>
              <w:rPr>
                <w:sz w:val="20"/>
                <w:szCs w:val="20"/>
                <w:color w:val="auto"/>
              </w:rPr>
            </w:pPr>
            <w:r>
              <w:rPr>
                <w:rFonts w:ascii="Arial" w:cs="Arial" w:eastAsia="Arial" w:hAnsi="Arial"/>
                <w:sz w:val="18"/>
                <w:szCs w:val="18"/>
                <w:color w:val="auto"/>
              </w:rPr>
              <w:t>211.2</w:t>
            </w:r>
          </w:p>
        </w:tc>
        <w:tc>
          <w:tcPr>
            <w:tcW w:w="300" w:type="dxa"/>
            <w:vAlign w:val="bottom"/>
          </w:tcPr>
          <w:p>
            <w:pPr>
              <w:spacing w:after="0"/>
              <w:rPr>
                <w:sz w:val="18"/>
                <w:szCs w:val="18"/>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211.6</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160" w:type="dxa"/>
            <w:vAlign w:val="bottom"/>
          </w:tcPr>
          <w:p>
            <w:pPr>
              <w:jc w:val="right"/>
              <w:ind w:right="151"/>
              <w:spacing w:after="0"/>
              <w:rPr>
                <w:sz w:val="20"/>
                <w:szCs w:val="20"/>
                <w:color w:val="auto"/>
              </w:rPr>
            </w:pPr>
            <w:r>
              <w:rPr>
                <w:rFonts w:ascii="Arial" w:cs="Arial" w:eastAsia="Arial" w:hAnsi="Arial"/>
                <w:sz w:val="18"/>
                <w:szCs w:val="18"/>
                <w:color w:val="auto"/>
              </w:rPr>
              <w:t>183.7</w:t>
            </w:r>
          </w:p>
        </w:tc>
        <w:tc>
          <w:tcPr>
            <w:tcW w:w="26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27.9</w:t>
            </w: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91"/>
              <w:spacing w:after="0"/>
              <w:rPr>
                <w:sz w:val="20"/>
                <w:szCs w:val="20"/>
                <w:color w:val="auto"/>
              </w:rPr>
            </w:pPr>
            <w:r>
              <w:rPr>
                <w:rFonts w:ascii="Arial" w:cs="Arial" w:eastAsia="Arial" w:hAnsi="Arial"/>
                <w:sz w:val="18"/>
                <w:szCs w:val="18"/>
                <w:color w:val="auto"/>
              </w:rPr>
              <w:t>822.2</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822.2</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822.2</w:t>
            </w: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Investment-type insurance contracts</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jc w:val="right"/>
              <w:ind w:right="31"/>
              <w:spacing w:after="0"/>
              <w:rPr>
                <w:sz w:val="20"/>
                <w:szCs w:val="20"/>
                <w:color w:val="auto"/>
              </w:rPr>
            </w:pPr>
            <w:r>
              <w:rPr>
                <w:rFonts w:ascii="Arial" w:cs="Arial" w:eastAsia="Arial" w:hAnsi="Arial"/>
                <w:sz w:val="18"/>
                <w:szCs w:val="18"/>
                <w:color w:val="auto"/>
              </w:rPr>
              <w:t>(28,256.3)</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(28,322.7)</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160" w:type="dxa"/>
            <w:vAlign w:val="bottom"/>
          </w:tcPr>
          <w:p>
            <w:pPr>
              <w:jc w:val="right"/>
              <w:ind w:right="91"/>
              <w:spacing w:after="0"/>
              <w:rPr>
                <w:sz w:val="20"/>
                <w:szCs w:val="20"/>
                <w:color w:val="auto"/>
              </w:rPr>
            </w:pPr>
            <w:r>
              <w:rPr>
                <w:rFonts w:ascii="Arial" w:cs="Arial" w:eastAsia="Arial" w:hAnsi="Arial"/>
                <w:sz w:val="18"/>
                <w:szCs w:val="18"/>
                <w:color w:val="auto"/>
              </w:rPr>
              <w:t>(5,455.4)</w:t>
            </w:r>
          </w:p>
        </w:tc>
        <w:tc>
          <w:tcPr>
            <w:tcW w:w="26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(22,867.3)</w:t>
            </w: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(28.0)</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91"/>
              <w:spacing w:after="0"/>
              <w:rPr>
                <w:sz w:val="20"/>
                <w:szCs w:val="20"/>
                <w:color w:val="auto"/>
              </w:rPr>
            </w:pPr>
            <w:r>
              <w:rPr>
                <w:rFonts w:ascii="Arial" w:cs="Arial" w:eastAsia="Arial" w:hAnsi="Arial"/>
                <w:sz w:val="18"/>
                <w:szCs w:val="18"/>
                <w:color w:val="auto"/>
              </w:rPr>
              <w:t>(28.0)</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Long-term debt</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jc w:val="right"/>
              <w:ind w:right="31"/>
              <w:spacing w:after="0"/>
              <w:rPr>
                <w:sz w:val="20"/>
                <w:szCs w:val="20"/>
                <w:color w:val="auto"/>
              </w:rPr>
            </w:pPr>
            <w:r>
              <w:rPr>
                <w:rFonts w:ascii="Arial" w:cs="Arial" w:eastAsia="Arial" w:hAnsi="Arial"/>
                <w:sz w:val="18"/>
                <w:szCs w:val="18"/>
                <w:color w:val="auto"/>
              </w:rPr>
              <w:t>(2,531.2)</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(2,786.1)</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160" w:type="dxa"/>
            <w:vAlign w:val="bottom"/>
          </w:tcPr>
          <w:p>
            <w:pPr>
              <w:jc w:val="right"/>
              <w:ind w:right="91"/>
              <w:spacing w:after="0"/>
              <w:rPr>
                <w:sz w:val="20"/>
                <w:szCs w:val="20"/>
                <w:color w:val="auto"/>
              </w:rPr>
            </w:pPr>
            <w:r>
              <w:rPr>
                <w:rFonts w:ascii="Arial" w:cs="Arial" w:eastAsia="Arial" w:hAnsi="Arial"/>
                <w:sz w:val="18"/>
                <w:szCs w:val="18"/>
                <w:color w:val="auto"/>
              </w:rPr>
              <w:t>(2,703.8)</w:t>
            </w:r>
          </w:p>
        </w:tc>
        <w:tc>
          <w:tcPr>
            <w:tcW w:w="26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(82.3)</w:t>
            </w: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(128,480.5)</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(127,131.0)</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(127,131.0)</w:t>
            </w:r>
          </w:p>
        </w:tc>
        <w:tc>
          <w:tcPr>
            <w:tcW w:w="0" w:type="dxa"/>
            <w:vAlign w:val="bottom"/>
          </w:tcPr>
          <w:p>
            <w:pPr>
              <w:spacing w:after="0"/>
              <w:rPr>
                <w:sz w:val="1"/>
                <w:szCs w:val="1"/>
                <w:color w:val="auto"/>
              </w:rPr>
            </w:pP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Bank deposits</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jc w:val="right"/>
              <w:ind w:right="31"/>
              <w:spacing w:after="0"/>
              <w:rPr>
                <w:sz w:val="20"/>
                <w:szCs w:val="20"/>
                <w:color w:val="auto"/>
              </w:rPr>
            </w:pPr>
            <w:r>
              <w:rPr>
                <w:rFonts w:ascii="Arial" w:cs="Arial" w:eastAsia="Arial" w:hAnsi="Arial"/>
                <w:sz w:val="18"/>
                <w:szCs w:val="18"/>
                <w:color w:val="auto"/>
              </w:rPr>
              <w:t>(1,979.7)</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(1,985.5)</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(1,343.8)</w:t>
            </w:r>
          </w:p>
        </w:tc>
        <w:tc>
          <w:tcPr>
            <w:tcW w:w="440" w:type="dxa"/>
            <w:vAlign w:val="bottom"/>
          </w:tcPr>
          <w:p>
            <w:pPr>
              <w:spacing w:after="0"/>
              <w:rPr>
                <w:sz w:val="18"/>
                <w:szCs w:val="18"/>
                <w:color w:val="auto"/>
              </w:rPr>
            </w:pPr>
          </w:p>
        </w:tc>
        <w:tc>
          <w:tcPr>
            <w:tcW w:w="1160" w:type="dxa"/>
            <w:vAlign w:val="bottom"/>
          </w:tcPr>
          <w:p>
            <w:pPr>
              <w:jc w:val="right"/>
              <w:ind w:right="91"/>
              <w:spacing w:after="0"/>
              <w:rPr>
                <w:sz w:val="20"/>
                <w:szCs w:val="20"/>
                <w:color w:val="auto"/>
              </w:rPr>
            </w:pPr>
            <w:r>
              <w:rPr>
                <w:rFonts w:ascii="Arial" w:cs="Arial" w:eastAsia="Arial" w:hAnsi="Arial"/>
                <w:sz w:val="18"/>
                <w:szCs w:val="18"/>
                <w:color w:val="auto"/>
              </w:rPr>
              <w:t>(641.7)</w:t>
            </w:r>
          </w:p>
        </w:tc>
        <w:tc>
          <w:tcPr>
            <w:tcW w:w="26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Cash collateral payable</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(148.3)</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(148.3)</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(148.3)</w:t>
            </w:r>
          </w:p>
        </w:tc>
        <w:tc>
          <w:tcPr>
            <w:tcW w:w="4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Mortgage Loans</w:t>
      </w:r>
    </w:p>
    <w:p>
      <w:pPr>
        <w:spacing w:after="0" w:line="225"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Fair values of commercial and residential mortgage loans are primarily determined by discounting the expected cash flows at current treasury rates plus an applicable risk spread, which reflects credit quality and maturity of the loans. The risk spread is based on market clearing levels for loans with comparable credit quality, maturities and risk. The fair value of mortgage loans may also be based on the fair value of the underlying real estate collateral less cost to sell, which is estimated using appraised values. These are reflected in Level 3.</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Policy Loans</w:t>
      </w:r>
    </w:p>
    <w:p>
      <w:pPr>
        <w:spacing w:after="0" w:line="225"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Fair values of policy loans are estimated by discounting expected cash flows using a risk-free rate based on the Treasury curve. The expected cash flows reflect an estimate of timing of the repayment of the loans. These are reflected in Level 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Investments</w:t>
      </w:r>
    </w:p>
    <w:p>
      <w:pPr>
        <w:spacing w:after="0" w:line="225"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fair value of commercial loans and certain consumer loans included in other investments is calculated by discounting expected cash flows through the estimated maturity date using market interest rates that reflect the credit and interest rate risk inherent in the loans. The estimate of term to maturity is based on historical experience, adjusted as required, for current economic and lending conditions. The effect of nonperforming loans is considered in assessing the credit risk inherent in the fair</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value estimate. These are reflected in Level 3. The fair value of certain tax credit investments are estimated by discounting expected future tax benefits using estimated investment return rates. These are reflected in Level 3. The carrying value of the remaining investments reported in this line item approximate their fair value. These are reflected in Level 2.</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12"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Certain cash equivalents not reported at fair value include short-term investments with maturities of less than three months for which public quotations are not available to use in determining fair value. Because of the highly liquid nature of these assets, carrying amounts are used to approximate fair value, which are reflected in Level 2. The carrying amounts of the remaining cash and cash equivalents that are not reported at fair value on a recurring basis approximate their fair value, which are reflected in Level 1 given the nature of cash.</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Investment-Type Insurance Contracts</w:t>
      </w:r>
    </w:p>
    <w:p>
      <w:pPr>
        <w:spacing w:after="0" w:line="225" w:lineRule="exact"/>
        <w:rPr>
          <w:sz w:val="20"/>
          <w:szCs w:val="20"/>
          <w:color w:val="auto"/>
        </w:rPr>
      </w:pPr>
    </w:p>
    <w:p>
      <w:pPr>
        <w:ind w:right="120" w:firstLine="648"/>
        <w:spacing w:after="0" w:line="270" w:lineRule="auto"/>
        <w:rPr>
          <w:sz w:val="20"/>
          <w:szCs w:val="20"/>
          <w:color w:val="auto"/>
        </w:rPr>
      </w:pPr>
      <w:r>
        <w:rPr>
          <w:rFonts w:ascii="Arial" w:cs="Arial" w:eastAsia="Arial" w:hAnsi="Arial"/>
          <w:sz w:val="17"/>
          <w:szCs w:val="17"/>
          <w:color w:val="auto"/>
        </w:rPr>
        <w:t>The fair values of our reserves and liabilities for investment-type insurance contracts are determined via a third party pricing vendor or using discounted cash flow analyses when we are unable to find a price from third party pricing vendors. Third party pricing on various outstanding medium-term notes and funding agreements is based on observable inputs such as benchmark yields and spreads based on reported trades for our medium-term notes and funding agreement issuances. These are reflected in Level 2. The discounted cash flow analyses for the remaining contracts is based on current interest rates, including non-performance risk, being offered for similar contracts with maturities consistent with those remaining for the investment-type contracts being valued. These are reflected in Level 3. Investment-type insurance contracts include insurance, annuity and other policy contracts that do not involve significant mortality or morbidity risk and are only a portion of the policyholder liabilities appearing in the consolidated statements of financial position. Insurance contracts include insurance, annuity and other policy contracts that do involve significant mortality or morbidity risk. The fair values for our insurance contracts, other than investment-type contracts, are not required to be disclosed.</w:t>
      </w:r>
    </w:p>
    <w:p>
      <w:pPr>
        <w:sectPr>
          <w:pgSz w:w="11900" w:h="16838" w:orient="portrait"/>
          <w:cols w:equalWidth="0" w:num="1">
            <w:col w:w="11420"/>
          </w:cols>
          <w:pgMar w:left="240" w:top="121" w:right="239" w:bottom="0" w:gutter="0" w:footer="0" w:header="0"/>
        </w:sectPr>
      </w:pPr>
    </w:p>
    <w:bookmarkStart w:id="49" w:name="page50"/>
    <w:bookmarkEnd w:id="49"/>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Short-Term Debt</w:t>
      </w:r>
    </w:p>
    <w:p>
      <w:pPr>
        <w:spacing w:after="0" w:line="225"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The carrying amount of short-term debt approximates its fair value because of the relatively short time between origination of the debt instrument and its maturity, which is reflected in Level 2.</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Long-Term Debt</w:t>
      </w:r>
    </w:p>
    <w:p>
      <w:pPr>
        <w:spacing w:after="0" w:line="225" w:lineRule="exact"/>
        <w:rPr>
          <w:sz w:val="20"/>
          <w:szCs w:val="20"/>
          <w:color w:val="auto"/>
        </w:rPr>
      </w:pPr>
    </w:p>
    <w:p>
      <w:pPr>
        <w:ind w:right="120" w:firstLine="648"/>
        <w:spacing w:after="0" w:line="279" w:lineRule="auto"/>
        <w:rPr>
          <w:sz w:val="20"/>
          <w:szCs w:val="20"/>
          <w:color w:val="auto"/>
        </w:rPr>
      </w:pPr>
      <w:r>
        <w:rPr>
          <w:rFonts w:ascii="Arial" w:cs="Arial" w:eastAsia="Arial" w:hAnsi="Arial"/>
          <w:sz w:val="17"/>
          <w:szCs w:val="17"/>
          <w:color w:val="auto"/>
        </w:rPr>
        <w:t>Long-term debt primarily includes senior note issuances for which the fair values are determined using inputs that are observable in the market or that can be derived from or corroborated with observable market data. These are reflected in Level 2. Additionally, our long-term debt includes non-recourse mortgages and notes payable that are primarily financings for real estate developments for which the fair values are estimated using discounted cash flow analysis based on our incremental borrowing rate for similar borrowing arrangements. These are reflected in Level 3.</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Separate Account Liabilities</w:t>
      </w:r>
    </w:p>
    <w:p>
      <w:pPr>
        <w:spacing w:after="0" w:line="225" w:lineRule="exact"/>
        <w:rPr>
          <w:sz w:val="20"/>
          <w:szCs w:val="20"/>
          <w:color w:val="auto"/>
        </w:rPr>
      </w:pPr>
    </w:p>
    <w:p>
      <w:pPr>
        <w:ind w:right="100" w:firstLine="648"/>
        <w:spacing w:after="0" w:line="291" w:lineRule="auto"/>
        <w:rPr>
          <w:sz w:val="20"/>
          <w:szCs w:val="20"/>
          <w:color w:val="auto"/>
        </w:rPr>
      </w:pPr>
      <w:r>
        <w:rPr>
          <w:rFonts w:ascii="Arial" w:cs="Arial" w:eastAsia="Arial" w:hAnsi="Arial"/>
          <w:sz w:val="16"/>
          <w:szCs w:val="16"/>
          <w:color w:val="auto"/>
        </w:rPr>
        <w:t>Fair values of separate account liabilities, excluding insurance-related elements, are estimated based on market assumptions around what a potential acquirer would pay for the associated block of business, including both the separate account assets and liabilities. As the applicable separate account assets are already reflected at fair value, any adjustment to the fair value of the block is an assumed adjustment to the separate account liabilities. To compute fair value, the separate account liabilities are originally set to equal separate account assets because these are pass-through contracts. The separate account liabilities are reduced by the amount of future fees expected to be collected that are intended to offset upfront acquisition costs already incurred that a potential acquirer would not have to pay. The estimated future fees are adjusted by an adverse deviation discount and the amount is then discounted at a risk-free rate as measured by the yield on Treasury securities at maturities aligned with the estimated timing of fee collection. These are reflected in Level 3.</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Bank Deposits</w:t>
      </w:r>
    </w:p>
    <w:p>
      <w:pPr>
        <w:spacing w:after="0" w:line="212" w:lineRule="exact"/>
        <w:rPr>
          <w:sz w:val="20"/>
          <w:szCs w:val="20"/>
          <w:color w:val="auto"/>
        </w:rPr>
      </w:pPr>
    </w:p>
    <w:p>
      <w:pPr>
        <w:ind w:right="220" w:firstLine="648"/>
        <w:spacing w:after="0" w:line="286" w:lineRule="auto"/>
        <w:rPr>
          <w:sz w:val="20"/>
          <w:szCs w:val="20"/>
          <w:color w:val="auto"/>
        </w:rPr>
      </w:pPr>
      <w:r>
        <w:rPr>
          <w:rFonts w:ascii="Arial" w:cs="Arial" w:eastAsia="Arial" w:hAnsi="Arial"/>
          <w:sz w:val="17"/>
          <w:szCs w:val="17"/>
          <w:color w:val="auto"/>
        </w:rPr>
        <w:t>The fair value of deposits of our Principal Bank subsidiary with no stated maturity is equal to the amount payable on demand (i.e., their carrying amounts). These are reflected in Level 1. The fair value of certificates of deposit is based on the discounted value of contractual cash flows. The discount is estimated using the rates currently offered for deposits of similar remaining maturities. These are reflected in Level 2.</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Collateral Payable</w:t>
      </w:r>
    </w:p>
    <w:p>
      <w:pPr>
        <w:spacing w:after="0" w:line="225"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color w:val="auto"/>
        </w:rPr>
        <w:t>The carrying amount of the payable associated with our obligation to return the cash collateral received under derivative credit support annex (collateral) agreements approximates its fair value, which is reflected in Level 1.</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Segment Information</w:t>
      </w:r>
    </w:p>
    <w:p>
      <w:pPr>
        <w:spacing w:after="0" w:line="229" w:lineRule="exact"/>
        <w:rPr>
          <w:sz w:val="20"/>
          <w:szCs w:val="20"/>
          <w:color w:val="auto"/>
        </w:rPr>
      </w:pPr>
    </w:p>
    <w:p>
      <w:pPr>
        <w:ind w:right="120" w:firstLine="648"/>
        <w:spacing w:after="0" w:line="286" w:lineRule="auto"/>
        <w:rPr>
          <w:sz w:val="20"/>
          <w:szCs w:val="20"/>
          <w:color w:val="auto"/>
        </w:rPr>
      </w:pPr>
      <w:r>
        <w:rPr>
          <w:rFonts w:ascii="Arial" w:cs="Arial" w:eastAsia="Arial" w:hAnsi="Arial"/>
          <w:sz w:val="17"/>
          <w:szCs w:val="17"/>
          <w:color w:val="auto"/>
        </w:rPr>
        <w:t>We provide financial products and services through the following segments: Retirement and Investor Services, Principal Global Investors, Principal International and U.S. Insurance Solutions. In addition, we have a Corporate segment. The segments are managed and reported separately because they provide different products and services, have different strategies or have different markets and distribution channels.</w:t>
      </w:r>
    </w:p>
    <w:p>
      <w:pPr>
        <w:spacing w:after="0" w:line="166" w:lineRule="exact"/>
        <w:rPr>
          <w:sz w:val="20"/>
          <w:szCs w:val="20"/>
          <w:color w:val="auto"/>
        </w:rPr>
      </w:pPr>
    </w:p>
    <w:p>
      <w:pPr>
        <w:ind w:right="720" w:firstLine="648"/>
        <w:spacing w:after="0" w:line="277" w:lineRule="auto"/>
        <w:rPr>
          <w:sz w:val="20"/>
          <w:szCs w:val="20"/>
          <w:color w:val="auto"/>
        </w:rPr>
      </w:pPr>
      <w:r>
        <w:rPr>
          <w:rFonts w:ascii="Arial" w:cs="Arial" w:eastAsia="Arial" w:hAnsi="Arial"/>
          <w:sz w:val="18"/>
          <w:szCs w:val="18"/>
          <w:color w:val="auto"/>
        </w:rPr>
        <w:t>The Retirement and Investor Services segment provides retirement and related financial products and services primarily to businesses, their employees and other individuals.</w:t>
      </w:r>
    </w:p>
    <w:p>
      <w:pPr>
        <w:spacing w:after="0" w:line="170" w:lineRule="exact"/>
        <w:rPr>
          <w:sz w:val="20"/>
          <w:szCs w:val="20"/>
          <w:color w:val="auto"/>
        </w:rPr>
      </w:pPr>
    </w:p>
    <w:p>
      <w:pPr>
        <w:ind w:right="560" w:firstLine="648"/>
        <w:spacing w:after="0" w:line="277" w:lineRule="auto"/>
        <w:rPr>
          <w:sz w:val="20"/>
          <w:szCs w:val="20"/>
          <w:color w:val="auto"/>
        </w:rPr>
      </w:pPr>
      <w:r>
        <w:rPr>
          <w:rFonts w:ascii="Arial" w:cs="Arial" w:eastAsia="Arial" w:hAnsi="Arial"/>
          <w:sz w:val="18"/>
          <w:szCs w:val="18"/>
          <w:color w:val="auto"/>
        </w:rPr>
        <w:t>The Principal Global Investors segment provides asset management services to our asset accumulation business, our insurance operations, the Corporate segment and third party clients.</w:t>
      </w:r>
    </w:p>
    <w:p>
      <w:pPr>
        <w:spacing w:after="0" w:line="170"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The Principal International segment has operations in Brazil, Chile, China, Hong Kong Special Administrative Region, India, Mexico and Southeast Asia. We focus on countries with large middle classes, favorable demographics and growing long-term savings, ideally with defined contribution markets. We entered these countries through acquisitions, start-up operations and joint ventures.</w:t>
      </w:r>
    </w:p>
    <w:p>
      <w:pPr>
        <w:spacing w:after="0" w:line="181" w:lineRule="exact"/>
        <w:rPr>
          <w:sz w:val="20"/>
          <w:szCs w:val="20"/>
          <w:color w:val="auto"/>
        </w:rPr>
      </w:pPr>
    </w:p>
    <w:p>
      <w:pPr>
        <w:ind w:firstLine="648"/>
        <w:spacing w:after="0" w:line="342" w:lineRule="auto"/>
        <w:rPr>
          <w:sz w:val="20"/>
          <w:szCs w:val="20"/>
          <w:color w:val="auto"/>
        </w:rPr>
      </w:pPr>
      <w:r>
        <w:rPr>
          <w:rFonts w:ascii="Arial" w:cs="Arial" w:eastAsia="Arial" w:hAnsi="Arial"/>
          <w:sz w:val="16"/>
          <w:szCs w:val="16"/>
          <w:color w:val="auto"/>
        </w:rPr>
        <w:t>The U.S. Insurance Solutions segment provides individual life insurance and specialty benefits insurance, which consists of group dental and vision insurance, individual and group disability insurance, group life insurance and non-medical fee-for-service claims administration, throughout the United States.</w:t>
      </w:r>
    </w:p>
    <w:p>
      <w:pPr>
        <w:spacing w:after="0" w:line="124" w:lineRule="exact"/>
        <w:rPr>
          <w:sz w:val="20"/>
          <w:szCs w:val="20"/>
          <w:color w:val="auto"/>
        </w:rPr>
      </w:pPr>
    </w:p>
    <w:p>
      <w:pPr>
        <w:ind w:right="200" w:firstLine="648"/>
        <w:spacing w:after="0" w:line="279" w:lineRule="auto"/>
        <w:rPr>
          <w:sz w:val="20"/>
          <w:szCs w:val="20"/>
          <w:color w:val="auto"/>
        </w:rPr>
      </w:pPr>
      <w:r>
        <w:rPr>
          <w:rFonts w:ascii="Arial" w:cs="Arial" w:eastAsia="Arial" w:hAnsi="Arial"/>
          <w:sz w:val="17"/>
          <w:szCs w:val="17"/>
          <w:color w:val="auto"/>
        </w:rPr>
        <w:t>The Corporate segment manages the assets representing capital that has not been allocated to any other segment. Financial results of the Corporate segment primarily reflect our financing activities (including interest expense and preferred stock dividends), income on capital not allocated to other segments, inter-segment eliminations, income tax risks and certain income, expenses and other after-tax adjustments not allocated to the segments based on the nature of such items. Results of our exited group medical insurance business are reported in this segment.</w:t>
      </w:r>
    </w:p>
    <w:p>
      <w:pPr>
        <w:spacing w:after="0" w:line="171"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As described in Note 1, Nature of Operations and Significant Accounting Policies, planned changes to our organizational structure will be reflected in our December 31, 2015, Form 10-K.</w:t>
      </w:r>
    </w:p>
    <w:p>
      <w:pPr>
        <w:spacing w:after="0" w:line="170" w:lineRule="exact"/>
        <w:rPr>
          <w:sz w:val="20"/>
          <w:szCs w:val="20"/>
          <w:color w:val="auto"/>
        </w:rPr>
      </w:pPr>
    </w:p>
    <w:p>
      <w:pPr>
        <w:ind w:right="60" w:firstLine="648"/>
        <w:spacing w:after="0" w:line="293" w:lineRule="auto"/>
        <w:rPr>
          <w:sz w:val="20"/>
          <w:szCs w:val="20"/>
          <w:color w:val="auto"/>
        </w:rPr>
      </w:pPr>
      <w:r>
        <w:rPr>
          <w:rFonts w:ascii="Arial" w:cs="Arial" w:eastAsia="Arial" w:hAnsi="Arial"/>
          <w:sz w:val="16"/>
          <w:szCs w:val="16"/>
          <w:color w:val="auto"/>
        </w:rPr>
        <w:t>Management uses segment operating earnings in goal setting, as a basis for determining employee compensation and in evaluating performance on a basis comparable to that used by securities analysts. We determine segment operating earnings by adjusting U.S. GAAP net income for net realized capital gains (losses), as adjusted, and other after-tax adjustments which management believes are not indicative of overall operating trends. Net realized capital gains (losses), as adjusted, are net of income taxes, related changes in the amortization pattern of DAC and related actuarial balances, recognition of deferred front-end fee revenues for sales charges on retirement and life insurance products and services, amortization of hedge accounting book value adjustments for certain discontinued hedges, net realized capital gains and losses distributed, noncontrolling interest capital gains and losses, certain adjustments related to</w:t>
      </w:r>
    </w:p>
    <w:p>
      <w:pPr>
        <w:sectPr>
          <w:pgSz w:w="11900" w:h="16853" w:orient="portrait"/>
          <w:cols w:equalWidth="0" w:num="1">
            <w:col w:w="11420"/>
          </w:cols>
          <w:pgMar w:left="240" w:top="125" w:right="239" w:bottom="0" w:gutter="0" w:footer="0" w:header="0"/>
        </w:sectPr>
      </w:pPr>
    </w:p>
    <w:bookmarkStart w:id="50" w:name="page51"/>
    <w:bookmarkEnd w:id="50"/>
    <w:p>
      <w:pPr>
        <w:spacing w:after="0" w:line="13"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seed money and certain market value adjustments to fee revenues. Net realized capital gains (losses), as adjusted, exclude periodic settlements and accruals on derivative instruments not designated as hedging instruments and exclude certain market value adjustments of embedded derivatives and realized capital gains (losses) associated with our exited group medical insurance business. Segment operating revenues exclude net realized capital gains (losses) (except periodic settlements and accruals on derivatives not designated as hedging instruments), including their impact on recognition of front-end fee revenues, certain market value adjustments to fee revenues and amortization of hedge accounting book value adjustments for certain discontinued hedges, certain adjustments related to seed money and revenue from our exited group medical insurance business. Segment operating revenues include operating revenues from real estate properties that qualify for discontinued operations. While these items may be significant components in understanding and assessing the consolidated financial performance, management believes the presentation of segment operating earnings enhances the understanding of our results of operations by highlighting earnings attributable to the normal, ongoing operations of the business.</w:t>
      </w:r>
    </w:p>
    <w:p>
      <w:pPr>
        <w:spacing w:after="0" w:line="16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40" w:firstLine="648"/>
        <w:spacing w:after="0" w:line="259" w:lineRule="auto"/>
        <w:rPr>
          <w:sz w:val="20"/>
          <w:szCs w:val="20"/>
          <w:color w:val="auto"/>
        </w:rPr>
      </w:pPr>
      <w:r>
        <w:rPr>
          <w:rFonts w:ascii="Arial" w:cs="Arial" w:eastAsia="Arial" w:hAnsi="Arial"/>
          <w:sz w:val="18"/>
          <w:szCs w:val="18"/>
          <w:color w:val="auto"/>
        </w:rPr>
        <w:t>The accounting policies of the segments are consistent with the accounting policies for the consolidated financial statements, with the exception of income tax allocation. The Corporate segment functions to absorb the risk inherent in interpreting and applying tax law. The segments are allocated tax adjustments consistent with the positions we took on tax returns. The Corporate segment results reflect any differences between the tax returns and the estimated resolution of any disputes.</w:t>
      </w:r>
    </w:p>
    <w:p>
      <w:pPr>
        <w:spacing w:after="0" w:line="187"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The following tables summarize select financial information by segment and reconcile segment totals to those reported in the consolidated financial statements: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5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60" w:type="dxa"/>
            <w:vAlign w:val="bottom"/>
            <w:gridSpan w:val="5"/>
          </w:tcPr>
          <w:p>
            <w:pPr>
              <w:jc w:val="right"/>
              <w:ind w:right="280"/>
              <w:spacing w:after="0"/>
              <w:rPr>
                <w:sz w:val="20"/>
                <w:szCs w:val="20"/>
                <w:color w:val="auto"/>
              </w:rPr>
            </w:pPr>
            <w:r>
              <w:rPr>
                <w:rFonts w:ascii="Arial" w:cs="Arial" w:eastAsia="Arial" w:hAnsi="Arial"/>
                <w:sz w:val="14"/>
                <w:szCs w:val="14"/>
                <w:b w:val="1"/>
                <w:bCs w:val="1"/>
                <w:color w:val="auto"/>
                <w:w w:val="96"/>
              </w:rPr>
              <w:t>September 30, 2015</w:t>
            </w:r>
          </w:p>
        </w:tc>
        <w:tc>
          <w:tcPr>
            <w:tcW w:w="280" w:type="dxa"/>
            <w:vAlign w:val="bottom"/>
          </w:tcPr>
          <w:p>
            <w:pPr>
              <w:spacing w:after="0"/>
              <w:rPr>
                <w:sz w:val="14"/>
                <w:szCs w:val="14"/>
                <w:color w:val="auto"/>
              </w:rPr>
            </w:pPr>
          </w:p>
        </w:tc>
        <w:tc>
          <w:tcPr>
            <w:tcW w:w="180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rPr>
              <w:t>December 31, 2014</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5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gridSpan w:val="5"/>
          </w:tcPr>
          <w:p>
            <w:pPr>
              <w:jc w:val="right"/>
              <w:ind w:right="380"/>
              <w:spacing w:after="0" w:line="142" w:lineRule="exact"/>
              <w:rPr>
                <w:sz w:val="20"/>
                <w:szCs w:val="20"/>
                <w:color w:val="auto"/>
              </w:rPr>
            </w:pPr>
            <w:r>
              <w:rPr>
                <w:rFonts w:ascii="Arial" w:cs="Arial" w:eastAsia="Arial" w:hAnsi="Arial"/>
                <w:sz w:val="14"/>
                <w:szCs w:val="14"/>
                <w:b w:val="1"/>
                <w:bCs w:val="1"/>
                <w:color w:val="auto"/>
                <w:w w:val="96"/>
              </w:rPr>
              <w:t>(in millions)</w:t>
            </w:r>
          </w:p>
        </w:tc>
        <w:tc>
          <w:tcPr>
            <w:tcW w:w="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Retirement and Investor Services</w:t>
            </w:r>
          </w:p>
        </w:tc>
        <w:tc>
          <w:tcPr>
            <w:tcW w:w="200" w:type="dxa"/>
            <w:vAlign w:val="bottom"/>
          </w:tcPr>
          <w:p>
            <w:pPr>
              <w:spacing w:after="0"/>
              <w:rPr>
                <w:sz w:val="18"/>
                <w:szCs w:val="18"/>
                <w:color w:val="auto"/>
              </w:rPr>
            </w:pPr>
          </w:p>
        </w:tc>
        <w:tc>
          <w:tcPr>
            <w:tcW w:w="106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18"/>
                <w:szCs w:val="18"/>
                <w:color w:val="auto"/>
              </w:rPr>
            </w:pPr>
          </w:p>
        </w:tc>
        <w:tc>
          <w:tcPr>
            <w:tcW w:w="1180" w:type="dxa"/>
            <w:vAlign w:val="bottom"/>
            <w:gridSpan w:val="3"/>
          </w:tcPr>
          <w:p>
            <w:pPr>
              <w:jc w:val="right"/>
              <w:spacing w:after="0"/>
              <w:rPr>
                <w:sz w:val="20"/>
                <w:szCs w:val="20"/>
                <w:color w:val="auto"/>
              </w:rPr>
            </w:pPr>
            <w:r>
              <w:rPr>
                <w:rFonts w:ascii="Arial" w:cs="Arial" w:eastAsia="Arial" w:hAnsi="Arial"/>
                <w:sz w:val="18"/>
                <w:szCs w:val="18"/>
                <w:b w:val="1"/>
                <w:bCs w:val="1"/>
                <w:color w:val="auto"/>
              </w:rPr>
              <w:t>137,404.4</w:t>
            </w:r>
          </w:p>
        </w:tc>
        <w:tc>
          <w:tcPr>
            <w:tcW w:w="20" w:type="dxa"/>
            <w:vAlign w:val="bottom"/>
          </w:tcPr>
          <w:p>
            <w:pPr>
              <w:spacing w:after="0"/>
              <w:rPr>
                <w:sz w:val="18"/>
                <w:szCs w:val="18"/>
                <w:color w:val="auto"/>
              </w:rPr>
            </w:pPr>
          </w:p>
        </w:tc>
        <w:tc>
          <w:tcPr>
            <w:tcW w:w="740" w:type="dxa"/>
            <w:vAlign w:val="bottom"/>
            <w:gridSpan w:val="2"/>
          </w:tcPr>
          <w:p>
            <w:pPr>
              <w:jc w:val="right"/>
              <w:ind w:right="307"/>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138,549.4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Investors</w:t>
            </w:r>
          </w:p>
        </w:tc>
        <w:tc>
          <w:tcPr>
            <w:tcW w:w="2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1,149.9</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1,175.1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Principal International</w:t>
            </w: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0" w:type="dxa"/>
            <w:vAlign w:val="bottom"/>
            <w:gridSpan w:val="4"/>
          </w:tcPr>
          <w:p>
            <w:pPr>
              <w:jc w:val="right"/>
              <w:ind w:right="20"/>
              <w:spacing w:after="0"/>
              <w:rPr>
                <w:sz w:val="20"/>
                <w:szCs w:val="20"/>
                <w:color w:val="auto"/>
              </w:rPr>
            </w:pPr>
            <w:r>
              <w:rPr>
                <w:rFonts w:ascii="Arial" w:cs="Arial" w:eastAsia="Arial" w:hAnsi="Arial"/>
                <w:sz w:val="18"/>
                <w:szCs w:val="18"/>
                <w:b w:val="1"/>
                <w:bCs w:val="1"/>
                <w:color w:val="auto"/>
              </w:rPr>
              <w:t>50,458.0</w:t>
            </w:r>
          </w:p>
        </w:tc>
        <w:tc>
          <w:tcPr>
            <w:tcW w:w="2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53,531.8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U.S. Insurance Solutions</w:t>
            </w:r>
          </w:p>
        </w:tc>
        <w:tc>
          <w:tcPr>
            <w:tcW w:w="2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22,180.7</w:t>
            </w:r>
          </w:p>
        </w:tc>
        <w:tc>
          <w:tcPr>
            <w:tcW w:w="2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21,554.5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Corporate</w:t>
            </w: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80" w:type="dxa"/>
            <w:vAlign w:val="bottom"/>
            <w:gridSpan w:val="3"/>
          </w:tcPr>
          <w:p>
            <w:pPr>
              <w:jc w:val="right"/>
              <w:spacing w:after="0"/>
              <w:rPr>
                <w:sz w:val="20"/>
                <w:szCs w:val="20"/>
                <w:color w:val="auto"/>
              </w:rPr>
            </w:pPr>
            <w:r>
              <w:rPr>
                <w:rFonts w:ascii="Arial" w:cs="Arial" w:eastAsia="Arial" w:hAnsi="Arial"/>
                <w:sz w:val="18"/>
                <w:szCs w:val="18"/>
                <w:b w:val="1"/>
                <w:bCs w:val="1"/>
                <w:color w:val="auto"/>
              </w:rPr>
              <w:t>4,172.4</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4,276.2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520" w:type="dxa"/>
            <w:vAlign w:val="bottom"/>
            <w:tcBorders>
              <w:top w:val="single" w:sz="8" w:color="CCEEFF"/>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 consolidated assets</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9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right w:val="single" w:sz="8" w:color="CCEEFF"/>
            </w:tcBorders>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360" w:type="dxa"/>
            <w:vAlign w:val="bottom"/>
            <w:tcBorders>
              <w:top w:val="single" w:sz="8" w:color="auto"/>
              <w:bottom w:val="single" w:sz="8" w:color="auto"/>
            </w:tcBorders>
            <w:shd w:val="clear" w:color="auto" w:fill="CCEEFF"/>
          </w:tcPr>
          <w:p>
            <w:pPr>
              <w:spacing w:after="0"/>
              <w:rPr>
                <w:sz w:val="18"/>
                <w:szCs w:val="18"/>
                <w:color w:val="auto"/>
              </w:rPr>
            </w:pPr>
          </w:p>
        </w:tc>
        <w:tc>
          <w:tcPr>
            <w:tcW w:w="118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215,365.4</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jc w:val="right"/>
              <w:ind w:right="307"/>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219,087.0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gridSpan w:val="2"/>
          </w:tcPr>
          <w:p>
            <w:pPr>
              <w:spacing w:after="0" w:line="20" w:lineRule="exact"/>
              <w:rPr>
                <w:sz w:val="1"/>
                <w:szCs w:val="1"/>
                <w:color w:val="auto"/>
              </w:rPr>
            </w:pPr>
          </w:p>
        </w:tc>
        <w:tc>
          <w:tcPr>
            <w:tcW w:w="102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2"/>
        </w:trPr>
        <w:tc>
          <w:tcPr>
            <w:tcW w:w="6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34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w w:val="96"/>
              </w:rPr>
              <w:t>For the three months ended</w:t>
            </w: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80" w:type="dxa"/>
            <w:vAlign w:val="bottom"/>
            <w:gridSpan w:val="7"/>
          </w:tcPr>
          <w:p>
            <w:pPr>
              <w:jc w:val="right"/>
              <w:ind w:right="420"/>
              <w:spacing w:after="0"/>
              <w:rPr>
                <w:sz w:val="20"/>
                <w:szCs w:val="20"/>
                <w:color w:val="auto"/>
              </w:rPr>
            </w:pPr>
            <w:r>
              <w:rPr>
                <w:rFonts w:ascii="Arial" w:cs="Arial" w:eastAsia="Arial" w:hAnsi="Arial"/>
                <w:sz w:val="14"/>
                <w:szCs w:val="14"/>
                <w:b w:val="1"/>
                <w:bCs w:val="1"/>
                <w:color w:val="auto"/>
                <w:w w:val="91"/>
              </w:rPr>
              <w:t>For the nine months ended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65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20" w:type="dxa"/>
            <w:vAlign w:val="bottom"/>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0" w:type="dxa"/>
            <w:vAlign w:val="bottom"/>
            <w:gridSpan w:val="6"/>
          </w:tcPr>
          <w:p>
            <w:pPr>
              <w:jc w:val="right"/>
              <w:ind w:right="800"/>
              <w:spacing w:after="0"/>
              <w:rPr>
                <w:sz w:val="20"/>
                <w:szCs w:val="20"/>
                <w:color w:val="auto"/>
              </w:rPr>
            </w:pPr>
            <w:r>
              <w:rPr>
                <w:rFonts w:ascii="Arial" w:cs="Arial" w:eastAsia="Arial" w:hAnsi="Arial"/>
                <w:sz w:val="14"/>
                <w:szCs w:val="14"/>
                <w:b w:val="1"/>
                <w:bCs w:val="1"/>
                <w:color w:val="auto"/>
              </w:rPr>
              <w:t>September 30,</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52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352"/>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Borders>
              <w:top w:val="single" w:sz="8" w:color="auto"/>
              <w:bottom w:val="single" w:sz="8" w:color="auto"/>
            </w:tcBorders>
          </w:tcPr>
          <w:p>
            <w:pPr>
              <w:spacing w:after="0"/>
              <w:rPr>
                <w:sz w:val="12"/>
                <w:szCs w:val="12"/>
                <w:color w:val="auto"/>
              </w:rPr>
            </w:pPr>
          </w:p>
        </w:tc>
        <w:tc>
          <w:tcPr>
            <w:tcW w:w="3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271"/>
              <w:spacing w:after="0" w:line="142" w:lineRule="exact"/>
              <w:rPr>
                <w:sz w:val="20"/>
                <w:szCs w:val="20"/>
                <w:color w:val="auto"/>
              </w:rPr>
            </w:pPr>
            <w:r>
              <w:rPr>
                <w:rFonts w:ascii="Arial" w:cs="Arial" w:eastAsia="Arial" w:hAnsi="Arial"/>
                <w:sz w:val="14"/>
                <w:szCs w:val="14"/>
                <w:b w:val="1"/>
                <w:bCs w:val="1"/>
                <w:color w:val="auto"/>
                <w:w w:val="96"/>
              </w:rPr>
              <w:t>2014</w:t>
            </w:r>
          </w:p>
        </w:tc>
        <w:tc>
          <w:tcPr>
            <w:tcW w:w="240" w:type="dxa"/>
            <w:vAlign w:val="bottom"/>
            <w:tcBorders>
              <w:bottom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gridSpan w:val="2"/>
          </w:tcPr>
          <w:p>
            <w:pPr>
              <w:jc w:val="right"/>
              <w:ind w:right="287"/>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91"/>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5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00" w:type="dxa"/>
            <w:vAlign w:val="bottom"/>
            <w:gridSpan w:val="4"/>
          </w:tcPr>
          <w:p>
            <w:pPr>
              <w:jc w:val="right"/>
              <w:ind w:right="60"/>
              <w:spacing w:after="0" w:line="142" w:lineRule="exact"/>
              <w:rPr>
                <w:sz w:val="20"/>
                <w:szCs w:val="20"/>
                <w:color w:val="auto"/>
              </w:rPr>
            </w:pPr>
            <w:r>
              <w:rPr>
                <w:rFonts w:ascii="Arial" w:cs="Arial" w:eastAsia="Arial" w:hAnsi="Arial"/>
                <w:sz w:val="14"/>
                <w:szCs w:val="14"/>
                <w:b w:val="1"/>
                <w:bCs w:val="1"/>
                <w:color w:val="auto"/>
              </w:rPr>
              <w:t>(in millions)</w:t>
            </w:r>
          </w:p>
        </w:tc>
        <w:tc>
          <w:tcPr>
            <w:tcW w:w="2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revenues by segment:</w:t>
            </w:r>
          </w:p>
        </w:tc>
        <w:tc>
          <w:tcPr>
            <w:tcW w:w="2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Retirement and Investor Services</w:t>
            </w:r>
          </w:p>
        </w:tc>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1,957.5</w:t>
            </w:r>
          </w:p>
        </w:tc>
        <w:tc>
          <w:tcPr>
            <w:tcW w:w="160" w:type="dxa"/>
            <w:vAlign w:val="bottom"/>
          </w:tcPr>
          <w:p>
            <w:pPr>
              <w:spacing w:after="0"/>
              <w:rPr>
                <w:sz w:val="18"/>
                <w:szCs w:val="18"/>
                <w:color w:val="auto"/>
              </w:rPr>
            </w:pPr>
          </w:p>
        </w:tc>
        <w:tc>
          <w:tcPr>
            <w:tcW w:w="360" w:type="dxa"/>
            <w:vAlign w:val="bottom"/>
          </w:tcPr>
          <w:p>
            <w:pPr>
              <w:jc w:val="right"/>
              <w:ind w:right="174"/>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1,324.7</w:t>
            </w:r>
          </w:p>
        </w:tc>
        <w:tc>
          <w:tcPr>
            <w:tcW w:w="260" w:type="dxa"/>
            <w:vAlign w:val="bottom"/>
          </w:tcPr>
          <w:p>
            <w:pPr>
              <w:jc w:val="right"/>
              <w:ind w:right="106"/>
              <w:spacing w:after="0"/>
              <w:rPr>
                <w:sz w:val="20"/>
                <w:szCs w:val="20"/>
                <w:color w:val="auto"/>
              </w:rPr>
            </w:pPr>
            <w:r>
              <w:rPr>
                <w:rFonts w:ascii="Arial" w:cs="Arial" w:eastAsia="Arial" w:hAnsi="Arial"/>
                <w:sz w:val="15"/>
                <w:szCs w:val="15"/>
                <w:b w:val="1"/>
                <w:bCs w:val="1"/>
                <w:color w:val="auto"/>
                <w:w w:val="71"/>
              </w:rPr>
              <w:t>$</w:t>
            </w:r>
          </w:p>
        </w:tc>
        <w:tc>
          <w:tcPr>
            <w:tcW w:w="20" w:type="dxa"/>
            <w:vAlign w:val="bottom"/>
          </w:tcPr>
          <w:p>
            <w:pPr>
              <w:spacing w:after="0"/>
              <w:rPr>
                <w:sz w:val="18"/>
                <w:szCs w:val="18"/>
                <w:color w:val="auto"/>
              </w:rPr>
            </w:pPr>
          </w:p>
        </w:tc>
        <w:tc>
          <w:tcPr>
            <w:tcW w:w="88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5,385.5</w:t>
            </w:r>
          </w:p>
        </w:tc>
        <w:tc>
          <w:tcPr>
            <w:tcW w:w="28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3,851.0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Principal Global Investors</w:t>
            </w:r>
          </w:p>
        </w:tc>
        <w:tc>
          <w:tcPr>
            <w:tcW w:w="2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182.8</w:t>
            </w:r>
          </w:p>
        </w:tc>
        <w:tc>
          <w:tcPr>
            <w:tcW w:w="160" w:type="dxa"/>
            <w:vAlign w:val="bottom"/>
            <w:tcBorders>
              <w:right w:val="single" w:sz="8" w:color="CCEEFF"/>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173.6</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557.8</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517.9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Principal International</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311.2</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294.5</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862.4</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952.2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U.S. Insurance Solutions</w:t>
            </w:r>
          </w:p>
        </w:tc>
        <w:tc>
          <w:tcPr>
            <w:tcW w:w="2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853.2</w:t>
            </w:r>
          </w:p>
        </w:tc>
        <w:tc>
          <w:tcPr>
            <w:tcW w:w="160" w:type="dxa"/>
            <w:vAlign w:val="bottom"/>
            <w:tcBorders>
              <w:right w:val="single" w:sz="8" w:color="CCEEFF"/>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821.0</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2,572.7</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2,436.8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Corporate</w:t>
            </w:r>
          </w:p>
        </w:tc>
        <w:tc>
          <w:tcPr>
            <w:tcW w:w="200" w:type="dxa"/>
            <w:vAlign w:val="bottom"/>
          </w:tcPr>
          <w:p>
            <w:pPr>
              <w:spacing w:after="0"/>
              <w:rPr>
                <w:sz w:val="18"/>
                <w:szCs w:val="18"/>
                <w:color w:val="auto"/>
              </w:rPr>
            </w:pPr>
          </w:p>
        </w:tc>
        <w:tc>
          <w:tcPr>
            <w:tcW w:w="1060" w:type="dxa"/>
            <w:vAlign w:val="bottom"/>
            <w:gridSpan w:val="2"/>
          </w:tcPr>
          <w:p>
            <w:pPr>
              <w:jc w:val="right"/>
              <w:ind w:right="85"/>
              <w:spacing w:after="0"/>
              <w:rPr>
                <w:sz w:val="20"/>
                <w:szCs w:val="20"/>
                <w:color w:val="auto"/>
              </w:rPr>
            </w:pPr>
            <w:r>
              <w:rPr>
                <w:rFonts w:ascii="Arial" w:cs="Arial" w:eastAsia="Arial" w:hAnsi="Arial"/>
                <w:sz w:val="18"/>
                <w:szCs w:val="18"/>
                <w:b w:val="1"/>
                <w:bCs w:val="1"/>
                <w:color w:val="auto"/>
              </w:rPr>
              <w:t>(69.0)</w:t>
            </w:r>
          </w:p>
        </w:tc>
        <w:tc>
          <w:tcPr>
            <w:tcW w:w="36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(61.1)</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rPr>
              <w:t>(191.3)</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(163.3)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520" w:type="dxa"/>
            <w:vAlign w:val="bottom"/>
            <w:tcBorders>
              <w:top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 segment operating revenues</w:t>
            </w: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3,235.7</w:t>
            </w:r>
          </w:p>
        </w:tc>
        <w:tc>
          <w:tcPr>
            <w:tcW w:w="160" w:type="dxa"/>
            <w:vAlign w:val="bottom"/>
            <w:tcBorders>
              <w:top w:val="single" w:sz="8" w:color="CCEEFF"/>
              <w:right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2,552.7</w:t>
            </w:r>
          </w:p>
        </w:tc>
        <w:tc>
          <w:tcPr>
            <w:tcW w:w="24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9,187.1</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7,594.6</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Net realized capital gains (losses), net of related revenue adjustments</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4.8</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(68.2)</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rPr>
              <w:t>(90.9)</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(25.0)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Other income on a tax indemnification</w:t>
            </w:r>
          </w:p>
        </w:tc>
        <w:tc>
          <w:tcPr>
            <w:tcW w:w="200" w:type="dxa"/>
            <w:vAlign w:val="bottom"/>
            <w:shd w:val="clear" w:color="auto" w:fill="CCEEFF"/>
          </w:tcPr>
          <w:p>
            <w:pPr>
              <w:spacing w:after="0"/>
              <w:rPr>
                <w:sz w:val="18"/>
                <w:szCs w:val="18"/>
                <w:color w:val="auto"/>
              </w:rPr>
            </w:pPr>
          </w:p>
        </w:tc>
        <w:tc>
          <w:tcPr>
            <w:tcW w:w="1060" w:type="dxa"/>
            <w:vAlign w:val="bottom"/>
            <w:tcBorders>
              <w:right w:val="single" w:sz="8" w:color="CCEEFF"/>
            </w:tcBorders>
            <w:gridSpan w:val="2"/>
            <w:shd w:val="clear" w:color="auto" w:fill="CCEEFF"/>
          </w:tcPr>
          <w:p>
            <w:pPr>
              <w:jc w:val="right"/>
              <w:ind w:right="145"/>
              <w:spacing w:after="0"/>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60.2</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Exited group medical insurance business</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0.4</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(0.2)</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1.0</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520" w:type="dxa"/>
            <w:vAlign w:val="bottom"/>
            <w:tcBorders>
              <w:top w:val="single" w:sz="8" w:color="CCEEFF"/>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 revenues per consolidated statements of operations</w:t>
            </w: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3,240.9</w:t>
            </w:r>
          </w:p>
        </w:tc>
        <w:tc>
          <w:tcPr>
            <w:tcW w:w="16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174"/>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2,484.3</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106"/>
              <w:spacing w:after="0"/>
              <w:rPr>
                <w:sz w:val="20"/>
                <w:szCs w:val="20"/>
                <w:color w:val="auto"/>
              </w:rPr>
            </w:pPr>
            <w:r>
              <w:rPr>
                <w:rFonts w:ascii="Arial" w:cs="Arial" w:eastAsia="Arial" w:hAnsi="Arial"/>
                <w:sz w:val="15"/>
                <w:szCs w:val="15"/>
                <w:b w:val="1"/>
                <w:bCs w:val="1"/>
                <w:color w:val="auto"/>
                <w:w w:val="71"/>
              </w:rPr>
              <w:t>$</w:t>
            </w: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9,157.4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7,569.6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spacing w:after="0"/>
              <w:rPr>
                <w:sz w:val="20"/>
                <w:szCs w:val="20"/>
                <w:color w:val="auto"/>
              </w:rPr>
            </w:pPr>
            <w:r>
              <w:rPr>
                <w:rFonts w:ascii="Arial" w:cs="Arial" w:eastAsia="Arial" w:hAnsi="Arial"/>
                <w:sz w:val="18"/>
                <w:szCs w:val="18"/>
                <w:b w:val="1"/>
                <w:bCs w:val="1"/>
                <w:color w:val="auto"/>
              </w:rPr>
              <w:t>Operating earnings (loss) by segment, net of related income taxes:</w:t>
            </w: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652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Retirement and Investor Services</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163.3</w:t>
            </w:r>
          </w:p>
        </w:tc>
        <w:tc>
          <w:tcPr>
            <w:tcW w:w="160" w:type="dxa"/>
            <w:vAlign w:val="bottom"/>
            <w:tcBorders>
              <w:right w:val="single" w:sz="8" w:color="CCEEFF"/>
            </w:tcBorders>
            <w:shd w:val="clear" w:color="auto" w:fill="CCEEFF"/>
          </w:tcPr>
          <w:p>
            <w:pPr>
              <w:spacing w:after="0"/>
              <w:rPr>
                <w:sz w:val="18"/>
                <w:szCs w:val="18"/>
                <w:color w:val="auto"/>
              </w:rPr>
            </w:pPr>
          </w:p>
        </w:tc>
        <w:tc>
          <w:tcPr>
            <w:tcW w:w="360" w:type="dxa"/>
            <w:vAlign w:val="bottom"/>
            <w:shd w:val="clear" w:color="auto" w:fill="CCEEFF"/>
          </w:tcPr>
          <w:p>
            <w:pPr>
              <w:jc w:val="right"/>
              <w:ind w:right="174"/>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204.3</w:t>
            </w:r>
          </w:p>
        </w:tc>
        <w:tc>
          <w:tcPr>
            <w:tcW w:w="260" w:type="dxa"/>
            <w:vAlign w:val="bottom"/>
            <w:shd w:val="clear" w:color="auto" w:fill="CCEEFF"/>
          </w:tcPr>
          <w:p>
            <w:pPr>
              <w:jc w:val="right"/>
              <w:ind w:right="106"/>
              <w:spacing w:after="0"/>
              <w:rPr>
                <w:sz w:val="20"/>
                <w:szCs w:val="20"/>
                <w:color w:val="auto"/>
              </w:rPr>
            </w:pPr>
            <w:r>
              <w:rPr>
                <w:rFonts w:ascii="Arial" w:cs="Arial" w:eastAsia="Arial" w:hAnsi="Arial"/>
                <w:sz w:val="15"/>
                <w:szCs w:val="15"/>
                <w:b w:val="1"/>
                <w:bCs w:val="1"/>
                <w:color w:val="auto"/>
                <w:w w:val="71"/>
              </w:rPr>
              <w:t>$</w:t>
            </w:r>
          </w:p>
        </w:tc>
        <w:tc>
          <w:tcPr>
            <w:tcW w:w="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590.9</w:t>
            </w:r>
          </w:p>
        </w:tc>
        <w:tc>
          <w:tcPr>
            <w:tcW w:w="28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632.9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Principal Global Investors</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30.4</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25.3</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92.6</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79.6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Principal International</w:t>
            </w:r>
          </w:p>
        </w:tc>
        <w:tc>
          <w:tcPr>
            <w:tcW w:w="2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45.8</w:t>
            </w:r>
          </w:p>
        </w:tc>
        <w:tc>
          <w:tcPr>
            <w:tcW w:w="160" w:type="dxa"/>
            <w:vAlign w:val="bottom"/>
            <w:tcBorders>
              <w:right w:val="single" w:sz="8" w:color="CCEEFF"/>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73.8</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165.0</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205.1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U.S. Insurance Solutions</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114.5</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83.3</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228.4</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175.7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Corporate</w:t>
            </w:r>
          </w:p>
        </w:tc>
        <w:tc>
          <w:tcPr>
            <w:tcW w:w="200" w:type="dxa"/>
            <w:vAlign w:val="bottom"/>
            <w:shd w:val="clear" w:color="auto" w:fill="CCEEFF"/>
          </w:tcPr>
          <w:p>
            <w:pPr>
              <w:spacing w:after="0"/>
              <w:rPr>
                <w:sz w:val="18"/>
                <w:szCs w:val="18"/>
                <w:color w:val="auto"/>
              </w:rPr>
            </w:pPr>
          </w:p>
        </w:tc>
        <w:tc>
          <w:tcPr>
            <w:tcW w:w="1060" w:type="dxa"/>
            <w:vAlign w:val="bottom"/>
            <w:tcBorders>
              <w:right w:val="single" w:sz="8" w:color="CCEEFF"/>
            </w:tcBorders>
            <w:gridSpan w:val="2"/>
            <w:shd w:val="clear" w:color="auto" w:fill="CCEEFF"/>
          </w:tcPr>
          <w:p>
            <w:pPr>
              <w:jc w:val="right"/>
              <w:ind w:right="85"/>
              <w:spacing w:after="0"/>
              <w:rPr>
                <w:sz w:val="20"/>
                <w:szCs w:val="20"/>
                <w:color w:val="auto"/>
              </w:rPr>
            </w:pPr>
            <w:r>
              <w:rPr>
                <w:rFonts w:ascii="Arial" w:cs="Arial" w:eastAsia="Arial" w:hAnsi="Arial"/>
                <w:sz w:val="18"/>
                <w:szCs w:val="18"/>
                <w:b w:val="1"/>
                <w:bCs w:val="1"/>
                <w:color w:val="auto"/>
              </w:rPr>
              <w:t>(37.0)</w:t>
            </w: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(33.0)</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(109.6)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(99.4)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520" w:type="dxa"/>
            <w:vAlign w:val="bottom"/>
          </w:tcPr>
          <w:p>
            <w:pPr>
              <w:ind w:left="200"/>
              <w:spacing w:after="0"/>
              <w:rPr>
                <w:sz w:val="20"/>
                <w:szCs w:val="20"/>
                <w:color w:val="auto"/>
              </w:rPr>
            </w:pPr>
            <w:r>
              <w:rPr>
                <w:rFonts w:ascii="Arial" w:cs="Arial" w:eastAsia="Arial" w:hAnsi="Arial"/>
                <w:sz w:val="18"/>
                <w:szCs w:val="18"/>
                <w:color w:val="auto"/>
              </w:rPr>
              <w:t>Total segment operating earnings, net of related income taxes</w:t>
            </w:r>
          </w:p>
        </w:tc>
        <w:tc>
          <w:tcPr>
            <w:tcW w:w="2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317.0</w:t>
            </w:r>
          </w:p>
        </w:tc>
        <w:tc>
          <w:tcPr>
            <w:tcW w:w="16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353.7</w:t>
            </w:r>
          </w:p>
        </w:tc>
        <w:tc>
          <w:tcPr>
            <w:tcW w:w="24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967.3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993.9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Net realized capital losses, as adjusted (1)</w:t>
            </w:r>
          </w:p>
        </w:tc>
        <w:tc>
          <w:tcPr>
            <w:tcW w:w="200" w:type="dxa"/>
            <w:vAlign w:val="bottom"/>
            <w:shd w:val="clear" w:color="auto" w:fill="CCEEFF"/>
          </w:tcPr>
          <w:p>
            <w:pPr>
              <w:spacing w:after="0"/>
              <w:rPr>
                <w:sz w:val="18"/>
                <w:szCs w:val="18"/>
                <w:color w:val="auto"/>
              </w:rPr>
            </w:pPr>
          </w:p>
        </w:tc>
        <w:tc>
          <w:tcPr>
            <w:tcW w:w="1060" w:type="dxa"/>
            <w:vAlign w:val="bottom"/>
            <w:tcBorders>
              <w:right w:val="single" w:sz="8" w:color="CCEEFF"/>
            </w:tcBorders>
            <w:gridSpan w:val="2"/>
            <w:shd w:val="clear" w:color="auto" w:fill="CCEEFF"/>
          </w:tcPr>
          <w:p>
            <w:pPr>
              <w:jc w:val="right"/>
              <w:ind w:right="85"/>
              <w:spacing w:after="0"/>
              <w:rPr>
                <w:sz w:val="20"/>
                <w:szCs w:val="20"/>
                <w:color w:val="auto"/>
              </w:rPr>
            </w:pPr>
            <w:r>
              <w:rPr>
                <w:rFonts w:ascii="Arial" w:cs="Arial" w:eastAsia="Arial" w:hAnsi="Arial"/>
                <w:sz w:val="18"/>
                <w:szCs w:val="18"/>
                <w:b w:val="1"/>
                <w:bCs w:val="1"/>
                <w:color w:val="auto"/>
              </w:rPr>
              <w:t>(16.5)</w:t>
            </w: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(55.2)</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(86.2)</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Other after-tax adjustments (2)</w:t>
            </w:r>
          </w:p>
        </w:tc>
        <w:tc>
          <w:tcPr>
            <w:tcW w:w="200" w:type="dxa"/>
            <w:vAlign w:val="bottom"/>
          </w:tcPr>
          <w:p>
            <w:pPr>
              <w:spacing w:after="0"/>
              <w:rPr>
                <w:sz w:val="18"/>
                <w:szCs w:val="18"/>
                <w:color w:val="auto"/>
              </w:rPr>
            </w:pPr>
          </w:p>
        </w:tc>
        <w:tc>
          <w:tcPr>
            <w:tcW w:w="1060" w:type="dxa"/>
            <w:vAlign w:val="bottom"/>
            <w:gridSpan w:val="2"/>
          </w:tcPr>
          <w:p>
            <w:pPr>
              <w:jc w:val="right"/>
              <w:ind w:right="85"/>
              <w:spacing w:after="0"/>
              <w:rPr>
                <w:sz w:val="20"/>
                <w:szCs w:val="20"/>
                <w:color w:val="auto"/>
              </w:rPr>
            </w:pPr>
            <w:r>
              <w:rPr>
                <w:rFonts w:ascii="Arial" w:cs="Arial" w:eastAsia="Arial" w:hAnsi="Arial"/>
                <w:sz w:val="18"/>
                <w:szCs w:val="18"/>
                <w:b w:val="1"/>
                <w:bCs w:val="1"/>
                <w:color w:val="auto"/>
              </w:rPr>
              <w:t>(0.1)</w:t>
            </w:r>
          </w:p>
        </w:tc>
        <w:tc>
          <w:tcPr>
            <w:tcW w:w="36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(57.8)</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rPr>
              <w:t>74.6</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(105.9)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shd w:val="clear" w:color="auto" w:fill="CCEEFF"/>
          </w:tcPr>
          <w:p>
            <w:pPr>
              <w:ind w:left="200"/>
              <w:spacing w:after="0" w:line="201" w:lineRule="exact"/>
              <w:rPr>
                <w:sz w:val="20"/>
                <w:szCs w:val="20"/>
                <w:color w:val="auto"/>
              </w:rPr>
            </w:pPr>
            <w:r>
              <w:rPr>
                <w:rFonts w:ascii="Arial" w:cs="Arial" w:eastAsia="Arial" w:hAnsi="Arial"/>
                <w:sz w:val="18"/>
                <w:szCs w:val="18"/>
                <w:color w:val="auto"/>
              </w:rPr>
              <w:t>Net income available to common stockholders per consolidated statements of</w:t>
            </w:r>
          </w:p>
        </w:tc>
        <w:tc>
          <w:tcPr>
            <w:tcW w:w="200" w:type="dxa"/>
            <w:vAlign w:val="bottom"/>
            <w:shd w:val="clear" w:color="auto" w:fill="000000"/>
          </w:tcPr>
          <w:p>
            <w:pPr>
              <w:spacing w:after="0" w:line="20" w:lineRule="exact"/>
              <w:rPr>
                <w:sz w:val="1"/>
                <w:szCs w:val="1"/>
                <w:color w:val="auto"/>
              </w:rPr>
            </w:pPr>
          </w:p>
        </w:tc>
        <w:tc>
          <w:tcPr>
            <w:tcW w:w="900" w:type="dxa"/>
            <w:vAlign w:val="bottom"/>
            <w:tcBorders>
              <w:right w:val="single" w:sz="8" w:color="CCEEFF"/>
            </w:tcBorders>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520" w:type="dxa"/>
            <w:vAlign w:val="bottom"/>
            <w:vMerge w:val="continue"/>
            <w:shd w:val="clear" w:color="auto" w:fill="CCEEFF"/>
          </w:tcPr>
          <w:p>
            <w:pPr>
              <w:spacing w:after="0"/>
              <w:rPr>
                <w:sz w:val="15"/>
                <w:szCs w:val="15"/>
                <w:color w:val="auto"/>
              </w:rPr>
            </w:pPr>
          </w:p>
        </w:tc>
        <w:tc>
          <w:tcPr>
            <w:tcW w:w="200" w:type="dxa"/>
            <w:vAlign w:val="bottom"/>
            <w:vMerge w:val="restart"/>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300.4</w:t>
            </w:r>
          </w:p>
        </w:tc>
        <w:tc>
          <w:tcPr>
            <w:tcW w:w="160" w:type="dxa"/>
            <w:vAlign w:val="bottom"/>
            <w:tcBorders>
              <w:right w:val="single" w:sz="8" w:color="CCEEFF"/>
            </w:tcBorders>
            <w:shd w:val="clear" w:color="auto" w:fill="CCEEFF"/>
          </w:tcPr>
          <w:p>
            <w:pPr>
              <w:spacing w:after="0"/>
              <w:rPr>
                <w:sz w:val="15"/>
                <w:szCs w:val="15"/>
                <w:color w:val="auto"/>
              </w:rPr>
            </w:pPr>
          </w:p>
        </w:tc>
        <w:tc>
          <w:tcPr>
            <w:tcW w:w="360" w:type="dxa"/>
            <w:vAlign w:val="bottom"/>
            <w:vMerge w:val="restart"/>
            <w:shd w:val="clear" w:color="auto" w:fill="CCEEFF"/>
          </w:tcPr>
          <w:p>
            <w:pPr>
              <w:jc w:val="right"/>
              <w:ind w:right="174"/>
              <w:spacing w:after="0"/>
              <w:rPr>
                <w:sz w:val="20"/>
                <w:szCs w:val="20"/>
                <w:color w:val="auto"/>
              </w:rPr>
            </w:pPr>
            <w:r>
              <w:rPr>
                <w:rFonts w:ascii="Arial" w:cs="Arial" w:eastAsia="Arial" w:hAnsi="Arial"/>
                <w:sz w:val="18"/>
                <w:szCs w:val="18"/>
                <w:color w:val="auto"/>
                <w:w w:val="79"/>
              </w:rPr>
              <w:t>$</w:t>
            </w:r>
          </w:p>
        </w:tc>
        <w:tc>
          <w:tcPr>
            <w:tcW w:w="92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8"/>
                <w:szCs w:val="18"/>
                <w:color w:val="auto"/>
              </w:rPr>
              <w:t>240.7</w:t>
            </w:r>
          </w:p>
        </w:tc>
        <w:tc>
          <w:tcPr>
            <w:tcW w:w="260" w:type="dxa"/>
            <w:vAlign w:val="bottom"/>
            <w:vMerge w:val="restart"/>
            <w:shd w:val="clear" w:color="auto" w:fill="CCEEFF"/>
          </w:tcPr>
          <w:p>
            <w:pPr>
              <w:jc w:val="right"/>
              <w:ind w:right="106"/>
              <w:spacing w:after="0"/>
              <w:rPr>
                <w:sz w:val="20"/>
                <w:szCs w:val="20"/>
                <w:color w:val="auto"/>
              </w:rPr>
            </w:pPr>
            <w:r>
              <w:rPr>
                <w:rFonts w:ascii="Arial" w:cs="Arial" w:eastAsia="Arial" w:hAnsi="Arial"/>
                <w:sz w:val="15"/>
                <w:szCs w:val="15"/>
                <w:b w:val="1"/>
                <w:bCs w:val="1"/>
                <w:color w:val="auto"/>
                <w:w w:val="71"/>
              </w:rPr>
              <w:t>$</w:t>
            </w:r>
          </w:p>
        </w:tc>
        <w:tc>
          <w:tcPr>
            <w:tcW w:w="20" w:type="dxa"/>
            <w:vAlign w:val="bottom"/>
            <w:shd w:val="clear" w:color="auto" w:fill="CCEEFF"/>
          </w:tcPr>
          <w:p>
            <w:pPr>
              <w:spacing w:after="0"/>
              <w:rPr>
                <w:sz w:val="15"/>
                <w:szCs w:val="15"/>
                <w:color w:val="auto"/>
              </w:rPr>
            </w:pPr>
          </w:p>
        </w:tc>
        <w:tc>
          <w:tcPr>
            <w:tcW w:w="88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955.7</w:t>
            </w:r>
          </w:p>
        </w:tc>
        <w:tc>
          <w:tcPr>
            <w:tcW w:w="280" w:type="dxa"/>
            <w:vAlign w:val="bottom"/>
            <w:gridSpan w:val="2"/>
            <w:vMerge w:val="restart"/>
            <w:shd w:val="clear" w:color="auto" w:fill="CCEEFF"/>
          </w:tcPr>
          <w:p>
            <w:pPr>
              <w:jc w:val="right"/>
              <w:ind w:right="45"/>
              <w:spacing w:after="0"/>
              <w:rPr>
                <w:sz w:val="20"/>
                <w:szCs w:val="20"/>
                <w:color w:val="auto"/>
              </w:rPr>
            </w:pPr>
            <w:r>
              <w:rPr>
                <w:rFonts w:ascii="Arial" w:cs="Arial" w:eastAsia="Arial" w:hAnsi="Arial"/>
                <w:sz w:val="18"/>
                <w:szCs w:val="18"/>
                <w:color w:val="auto"/>
              </w:rPr>
              <w:t>$</w:t>
            </w:r>
          </w:p>
        </w:tc>
        <w:tc>
          <w:tcPr>
            <w:tcW w:w="9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color w:val="auto"/>
              </w:rPr>
              <w:t>840.7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7"/>
        </w:trPr>
        <w:tc>
          <w:tcPr>
            <w:tcW w:w="6520" w:type="dxa"/>
            <w:vAlign w:val="bottom"/>
            <w:shd w:val="clear" w:color="auto" w:fill="CCEEFF"/>
          </w:tcPr>
          <w:p>
            <w:pPr>
              <w:ind w:left="380"/>
              <w:spacing w:after="0"/>
              <w:rPr>
                <w:sz w:val="20"/>
                <w:szCs w:val="20"/>
                <w:color w:val="auto"/>
              </w:rPr>
            </w:pPr>
            <w:r>
              <w:rPr>
                <w:rFonts w:ascii="Arial" w:cs="Arial" w:eastAsia="Arial" w:hAnsi="Arial"/>
                <w:sz w:val="18"/>
                <w:szCs w:val="18"/>
                <w:color w:val="auto"/>
              </w:rPr>
              <w:t>operations</w:t>
            </w:r>
          </w:p>
        </w:tc>
        <w:tc>
          <w:tcPr>
            <w:tcW w:w="200" w:type="dxa"/>
            <w:vAlign w:val="bottom"/>
            <w:vMerge w:val="continue"/>
            <w:shd w:val="clear" w:color="auto" w:fill="CCEEFF"/>
          </w:tcPr>
          <w:p>
            <w:pPr>
              <w:spacing w:after="0"/>
              <w:rPr>
                <w:sz w:val="18"/>
                <w:szCs w:val="18"/>
                <w:color w:val="auto"/>
              </w:rPr>
            </w:pPr>
          </w:p>
        </w:tc>
        <w:tc>
          <w:tcPr>
            <w:tcW w:w="900" w:type="dxa"/>
            <w:vAlign w:val="bottom"/>
            <w:tcBorders>
              <w:right w:val="single" w:sz="8" w:color="CCEEFF"/>
            </w:tcBorders>
            <w:vMerge w:val="continue"/>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360" w:type="dxa"/>
            <w:vAlign w:val="bottom"/>
            <w:vMerge w:val="continue"/>
            <w:shd w:val="clear" w:color="auto" w:fill="CCEEFF"/>
          </w:tcPr>
          <w:p>
            <w:pPr>
              <w:spacing w:after="0"/>
              <w:rPr>
                <w:sz w:val="18"/>
                <w:szCs w:val="18"/>
                <w:color w:val="auto"/>
              </w:rPr>
            </w:pPr>
          </w:p>
        </w:tc>
        <w:tc>
          <w:tcPr>
            <w:tcW w:w="920" w:type="dxa"/>
            <w:vAlign w:val="bottom"/>
            <w:gridSpan w:val="2"/>
            <w:vMerge w:val="continue"/>
            <w:shd w:val="clear" w:color="auto" w:fill="CCEEFF"/>
          </w:tcPr>
          <w:p>
            <w:pPr>
              <w:spacing w:after="0"/>
              <w:rPr>
                <w:sz w:val="18"/>
                <w:szCs w:val="18"/>
                <w:color w:val="auto"/>
              </w:rPr>
            </w:pPr>
          </w:p>
        </w:tc>
        <w:tc>
          <w:tcPr>
            <w:tcW w:w="26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80" w:type="dxa"/>
            <w:vAlign w:val="bottom"/>
            <w:gridSpan w:val="3"/>
            <w:vMerge w:val="continue"/>
            <w:shd w:val="clear" w:color="auto" w:fill="CCEEFF"/>
          </w:tcPr>
          <w:p>
            <w:pPr>
              <w:spacing w:after="0"/>
              <w:rPr>
                <w:sz w:val="18"/>
                <w:szCs w:val="18"/>
                <w:color w:val="auto"/>
              </w:rPr>
            </w:pPr>
          </w:p>
        </w:tc>
        <w:tc>
          <w:tcPr>
            <w:tcW w:w="280" w:type="dxa"/>
            <w:vAlign w:val="bottom"/>
            <w:gridSpan w:val="2"/>
            <w:vMerge w:val="continue"/>
            <w:shd w:val="clear" w:color="auto" w:fill="CCEEFF"/>
          </w:tcPr>
          <w:p>
            <w:pPr>
              <w:spacing w:after="0"/>
              <w:rPr>
                <w:sz w:val="18"/>
                <w:szCs w:val="18"/>
                <w:color w:val="auto"/>
              </w:rPr>
            </w:pPr>
          </w:p>
        </w:tc>
        <w:tc>
          <w:tcPr>
            <w:tcW w:w="920" w:type="dxa"/>
            <w:vAlign w:val="bottom"/>
            <w:gridSpan w:val="2"/>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20" w:type="dxa"/>
            <w:vAlign w:val="bottom"/>
            <w:tcBorders>
              <w:top w:val="single" w:sz="8" w:color="CCEEFF"/>
              <w:bottom w:val="single" w:sz="8" w:color="CCEEFF"/>
            </w:tcBorders>
            <w:vMerge w:val="restart"/>
          </w:tcPr>
          <w:p>
            <w:pPr>
              <w:ind w:left="5620"/>
              <w:spacing w:after="0"/>
              <w:rPr>
                <w:sz w:val="20"/>
                <w:szCs w:val="20"/>
                <w:color w:val="auto"/>
              </w:rPr>
            </w:pPr>
            <w:r>
              <w:rPr>
                <w:rFonts w:ascii="Arial" w:cs="Arial" w:eastAsia="Arial" w:hAnsi="Arial"/>
                <w:sz w:val="18"/>
                <w:szCs w:val="18"/>
                <w:color w:val="auto"/>
              </w:rPr>
              <w:t>72</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52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65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211455</wp:posOffset>
            </wp:positionV>
            <wp:extent cx="1826895"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ectPr>
          <w:pgSz w:w="11900" w:h="16851" w:orient="portrait"/>
          <w:cols w:equalWidth="0" w:num="1">
            <w:col w:w="11460"/>
          </w:cols>
          <w:pgMar w:left="240" w:top="125" w:right="199" w:bottom="0" w:gutter="0" w:footer="0" w:header="0"/>
        </w:sectPr>
      </w:pP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6"/>
          <w:szCs w:val="16"/>
          <w:color w:val="auto"/>
        </w:rPr>
        <w:t>(1)  Net realized capital gains (losses), as adjusted, is derived as follows:</w:t>
      </w:r>
    </w:p>
    <w:p>
      <w:pPr>
        <w:sectPr>
          <w:pgSz w:w="11900" w:h="16851" w:orient="portrait"/>
          <w:cols w:equalWidth="0" w:num="1">
            <w:col w:w="11460"/>
          </w:cols>
          <w:pgMar w:left="240" w:top="125" w:right="199" w:bottom="0" w:gutter="0" w:footer="0" w:header="0"/>
          <w:type w:val="continuous"/>
        </w:sectPr>
      </w:pPr>
    </w:p>
    <w:bookmarkStart w:id="51" w:name="page52"/>
    <w:bookmarkEnd w:id="51"/>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520" w:type="dxa"/>
            <w:vAlign w:val="bottom"/>
          </w:tcPr>
          <w:p>
            <w:pPr>
              <w:spacing w:after="0"/>
              <w:rPr>
                <w:sz w:val="14"/>
                <w:szCs w:val="14"/>
                <w:color w:val="auto"/>
              </w:rPr>
            </w:pPr>
          </w:p>
        </w:tc>
        <w:tc>
          <w:tcPr>
            <w:tcW w:w="2540" w:type="dxa"/>
            <w:vAlign w:val="bottom"/>
            <w:gridSpan w:val="7"/>
          </w:tcPr>
          <w:p>
            <w:pPr>
              <w:jc w:val="right"/>
              <w:ind w:right="460"/>
              <w:spacing w:after="0"/>
              <w:rPr>
                <w:sz w:val="20"/>
                <w:szCs w:val="20"/>
                <w:color w:val="auto"/>
              </w:rPr>
            </w:pPr>
            <w:r>
              <w:rPr>
                <w:rFonts w:ascii="Arial" w:cs="Arial" w:eastAsia="Arial" w:hAnsi="Arial"/>
                <w:sz w:val="14"/>
                <w:szCs w:val="14"/>
                <w:b w:val="1"/>
                <w:bCs w:val="1"/>
                <w:color w:val="auto"/>
              </w:rPr>
              <w:t>For the three months ended</w:t>
            </w:r>
          </w:p>
        </w:tc>
        <w:tc>
          <w:tcPr>
            <w:tcW w:w="260" w:type="dxa"/>
            <w:vAlign w:val="bottom"/>
          </w:tcPr>
          <w:p>
            <w:pPr>
              <w:spacing w:after="0"/>
              <w:rPr>
                <w:sz w:val="14"/>
                <w:szCs w:val="14"/>
                <w:color w:val="auto"/>
              </w:rPr>
            </w:pPr>
          </w:p>
        </w:tc>
        <w:tc>
          <w:tcPr>
            <w:tcW w:w="2100" w:type="dxa"/>
            <w:vAlign w:val="bottom"/>
            <w:gridSpan w:val="6"/>
          </w:tcPr>
          <w:p>
            <w:pPr>
              <w:jc w:val="right"/>
              <w:ind w:right="420"/>
              <w:spacing w:after="0"/>
              <w:rPr>
                <w:sz w:val="20"/>
                <w:szCs w:val="20"/>
                <w:color w:val="auto"/>
              </w:rPr>
            </w:pPr>
            <w:r>
              <w:rPr>
                <w:rFonts w:ascii="Arial" w:cs="Arial" w:eastAsia="Arial" w:hAnsi="Arial"/>
                <w:sz w:val="14"/>
                <w:szCs w:val="14"/>
                <w:b w:val="1"/>
                <w:bCs w:val="1"/>
                <w:color w:val="auto"/>
                <w:w w:val="92"/>
              </w:rPr>
              <w:t>For the nine months ended</w:t>
            </w:r>
          </w:p>
        </w:tc>
        <w:tc>
          <w:tcPr>
            <w:tcW w:w="0" w:type="dxa"/>
            <w:vAlign w:val="bottom"/>
          </w:tcPr>
          <w:p>
            <w:pPr>
              <w:spacing w:after="0"/>
              <w:rPr>
                <w:sz w:val="1"/>
                <w:szCs w:val="1"/>
                <w:color w:val="auto"/>
              </w:rPr>
            </w:pPr>
          </w:p>
        </w:tc>
      </w:tr>
      <w:tr>
        <w:trPr>
          <w:trHeight w:val="171"/>
        </w:trPr>
        <w:tc>
          <w:tcPr>
            <w:tcW w:w="652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w w:val="96"/>
              </w:rPr>
              <w:t>September 30,</w:t>
            </w:r>
          </w:p>
        </w:tc>
        <w:tc>
          <w:tcPr>
            <w:tcW w:w="68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6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520" w:type="dxa"/>
            <w:vAlign w:val="bottom"/>
          </w:tcPr>
          <w:p>
            <w:pPr>
              <w:spacing w:after="0"/>
              <w:rPr>
                <w:sz w:val="12"/>
                <w:szCs w:val="12"/>
                <w:color w:val="auto"/>
              </w:rPr>
            </w:pPr>
          </w:p>
        </w:tc>
        <w:tc>
          <w:tcPr>
            <w:tcW w:w="6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2015</w:t>
            </w:r>
          </w:p>
        </w:tc>
        <w:tc>
          <w:tcPr>
            <w:tcW w:w="38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w w:val="96"/>
              </w:rPr>
              <w:t>2014</w:t>
            </w:r>
          </w:p>
        </w:tc>
        <w:tc>
          <w:tcPr>
            <w:tcW w:w="24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2015</w:t>
            </w:r>
          </w:p>
        </w:tc>
        <w:tc>
          <w:tcPr>
            <w:tcW w:w="24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91"/>
              <w:spacing w:after="0" w:line="142" w:lineRule="exact"/>
              <w:rPr>
                <w:sz w:val="20"/>
                <w:szCs w:val="20"/>
                <w:color w:val="auto"/>
              </w:rPr>
            </w:pPr>
            <w:r>
              <w:rPr>
                <w:rFonts w:ascii="Arial" w:cs="Arial" w:eastAsia="Arial" w:hAnsi="Arial"/>
                <w:sz w:val="14"/>
                <w:szCs w:val="14"/>
                <w:b w:val="1"/>
                <w:bCs w:val="1"/>
                <w:color w:val="auto"/>
                <w:w w:val="89"/>
              </w:rPr>
              <w:t>2014</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80" w:type="dxa"/>
            <w:vAlign w:val="bottom"/>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7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realized capital gains (losses):</w:t>
            </w:r>
          </w:p>
        </w:tc>
        <w:tc>
          <w:tcPr>
            <w:tcW w:w="6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Net realized capital gains (losses)</w:t>
            </w:r>
          </w:p>
        </w:tc>
        <w:tc>
          <w:tcPr>
            <w:tcW w:w="660" w:type="dxa"/>
            <w:vAlign w:val="bottom"/>
          </w:tcPr>
          <w:p>
            <w:pPr>
              <w:jc w:val="right"/>
              <w:ind w:right="507"/>
              <w:spacing w:after="0"/>
              <w:rPr>
                <w:sz w:val="20"/>
                <w:szCs w:val="20"/>
                <w:color w:val="auto"/>
              </w:rPr>
            </w:pPr>
            <w:r>
              <w:rPr>
                <w:rFonts w:ascii="Arial" w:cs="Arial" w:eastAsia="Arial" w:hAnsi="Arial"/>
                <w:sz w:val="15"/>
                <w:szCs w:val="15"/>
                <w:b w:val="1"/>
                <w:bCs w:val="1"/>
                <w:color w:val="auto"/>
                <w:w w:val="71"/>
              </w:rPr>
              <w:t>$</w:t>
            </w:r>
          </w:p>
        </w:tc>
        <w:tc>
          <w:tcPr>
            <w:tcW w:w="5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38.4</w:t>
            </w:r>
          </w:p>
        </w:tc>
        <w:tc>
          <w:tcPr>
            <w:tcW w:w="44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(46.4)</w:t>
            </w: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(10.0)</w:t>
            </w:r>
          </w:p>
        </w:tc>
        <w:tc>
          <w:tcPr>
            <w:tcW w:w="320" w:type="dxa"/>
            <w:vAlign w:val="bottom"/>
          </w:tcPr>
          <w:p>
            <w:pPr>
              <w:jc w:val="right"/>
              <w:ind w:right="210"/>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41.0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Certain derivative and hedging-related adjustments</w:t>
            </w: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89"/>
              </w:rPr>
              <w:t>(34.2)</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(21.9)</w:t>
            </w:r>
          </w:p>
        </w:tc>
        <w:tc>
          <w:tcPr>
            <w:tcW w:w="260" w:type="dxa"/>
            <w:vAlign w:val="bottom"/>
            <w:shd w:val="clear" w:color="auto" w:fill="CCEEFF"/>
          </w:tcPr>
          <w:p>
            <w:pPr>
              <w:spacing w:after="0"/>
              <w:rPr>
                <w:sz w:val="18"/>
                <w:szCs w:val="18"/>
                <w:color w:val="auto"/>
              </w:rPr>
            </w:pPr>
          </w:p>
        </w:tc>
        <w:tc>
          <w:tcPr>
            <w:tcW w:w="10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(80.3)</w:t>
            </w:r>
          </w:p>
        </w:tc>
        <w:tc>
          <w:tcPr>
            <w:tcW w:w="3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(66.4)</w:t>
            </w: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Certain market value adjustments to fee revenues</w:t>
            </w:r>
          </w:p>
        </w:tc>
        <w:tc>
          <w:tcPr>
            <w:tcW w:w="66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w:t>
            </w:r>
          </w:p>
        </w:tc>
        <w:tc>
          <w:tcPr>
            <w:tcW w:w="320" w:type="dxa"/>
            <w:vAlign w:val="bottom"/>
          </w:tcPr>
          <w:p>
            <w:pPr>
              <w:spacing w:after="0"/>
              <w:rPr>
                <w:sz w:val="18"/>
                <w:szCs w:val="18"/>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Certain adjustments related to seed money</w:t>
            </w: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0.5</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0.5</w:t>
            </w:r>
          </w:p>
        </w:tc>
        <w:tc>
          <w:tcPr>
            <w:tcW w:w="3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Recognition of front-end fee (revenue) expense</w:t>
            </w:r>
          </w:p>
        </w:tc>
        <w:tc>
          <w:tcPr>
            <w:tcW w:w="66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0.1</w:t>
            </w:r>
          </w:p>
        </w:tc>
        <w:tc>
          <w:tcPr>
            <w:tcW w:w="26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0.4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shd w:val="clear" w:color="auto" w:fill="CCEEFF"/>
          </w:tcPr>
          <w:p>
            <w:pPr>
              <w:ind w:left="200"/>
              <w:spacing w:after="0"/>
              <w:rPr>
                <w:sz w:val="20"/>
                <w:szCs w:val="20"/>
                <w:color w:val="auto"/>
              </w:rPr>
            </w:pPr>
            <w:r>
              <w:rPr>
                <w:rFonts w:ascii="Arial" w:cs="Arial" w:eastAsia="Arial" w:hAnsi="Arial"/>
                <w:sz w:val="18"/>
                <w:szCs w:val="18"/>
                <w:color w:val="auto"/>
              </w:rPr>
              <w:t>Net realized capital gains (losses), net of related revenue adjustments</w:t>
            </w:r>
          </w:p>
        </w:tc>
        <w:tc>
          <w:tcPr>
            <w:tcW w:w="66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gridSpan w:val="2"/>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520" w:type="dxa"/>
            <w:vAlign w:val="bottom"/>
            <w:vMerge w:val="continue"/>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4.8</w:t>
            </w:r>
          </w:p>
        </w:tc>
        <w:tc>
          <w:tcPr>
            <w:tcW w:w="14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(68.2)</w:t>
            </w:r>
          </w:p>
        </w:tc>
        <w:tc>
          <w:tcPr>
            <w:tcW w:w="260" w:type="dxa"/>
            <w:vAlign w:val="bottom"/>
            <w:shd w:val="clear" w:color="auto" w:fill="CCEEFF"/>
          </w:tcPr>
          <w:p>
            <w:pPr>
              <w:spacing w:after="0"/>
              <w:rPr>
                <w:sz w:val="18"/>
                <w:szCs w:val="18"/>
                <w:color w:val="auto"/>
              </w:rPr>
            </w:pPr>
          </w:p>
        </w:tc>
        <w:tc>
          <w:tcPr>
            <w:tcW w:w="10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(90.9)</w:t>
            </w:r>
          </w:p>
        </w:tc>
        <w:tc>
          <w:tcPr>
            <w:tcW w:w="3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(25.0)</w:t>
            </w: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Amortization of deferred acquisition costs and other actuarial balances</w:t>
            </w:r>
          </w:p>
        </w:tc>
        <w:tc>
          <w:tcPr>
            <w:tcW w:w="66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b w:val="1"/>
                <w:bCs w:val="1"/>
                <w:color w:val="auto"/>
                <w:w w:val="89"/>
              </w:rPr>
              <w:t>(28.6)</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(3.6)</w:t>
            </w: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(28.4)</w:t>
            </w:r>
          </w:p>
        </w:tc>
        <w:tc>
          <w:tcPr>
            <w:tcW w:w="320" w:type="dxa"/>
            <w:vAlign w:val="bottom"/>
          </w:tcPr>
          <w:p>
            <w:pPr>
              <w:spacing w:after="0"/>
              <w:rPr>
                <w:sz w:val="18"/>
                <w:szCs w:val="18"/>
                <w:color w:val="auto"/>
              </w:rPr>
            </w:pPr>
          </w:p>
        </w:tc>
        <w:tc>
          <w:tcPr>
            <w:tcW w:w="780" w:type="dxa"/>
            <w:vAlign w:val="bottom"/>
            <w:gridSpan w:val="3"/>
          </w:tcPr>
          <w:p>
            <w:pPr>
              <w:jc w:val="right"/>
              <w:ind w:right="40"/>
              <w:spacing w:after="0"/>
              <w:rPr>
                <w:sz w:val="20"/>
                <w:szCs w:val="20"/>
                <w:color w:val="auto"/>
              </w:rPr>
            </w:pPr>
            <w:r>
              <w:rPr>
                <w:rFonts w:ascii="Arial" w:cs="Arial" w:eastAsia="Arial" w:hAnsi="Arial"/>
                <w:sz w:val="18"/>
                <w:szCs w:val="18"/>
                <w:color w:val="auto"/>
              </w:rPr>
              <w:t>(26.8)</w:t>
            </w: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Capital (gains) losses distributed</w:t>
            </w: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12.9</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w:t>
            </w:r>
          </w:p>
        </w:tc>
        <w:tc>
          <w:tcPr>
            <w:tcW w:w="260" w:type="dxa"/>
            <w:vAlign w:val="bottom"/>
            <w:shd w:val="clear" w:color="auto" w:fill="CCEEFF"/>
          </w:tcPr>
          <w:p>
            <w:pPr>
              <w:spacing w:after="0"/>
              <w:rPr>
                <w:sz w:val="18"/>
                <w:szCs w:val="18"/>
                <w:color w:val="auto"/>
              </w:rPr>
            </w:pPr>
          </w:p>
        </w:tc>
        <w:tc>
          <w:tcPr>
            <w:tcW w:w="10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14.8</w:t>
            </w:r>
          </w:p>
        </w:tc>
        <w:tc>
          <w:tcPr>
            <w:tcW w:w="3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(18.1)</w:t>
            </w: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Certain market value adjustments of embedded derivatives</w:t>
            </w:r>
          </w:p>
        </w:tc>
        <w:tc>
          <w:tcPr>
            <w:tcW w:w="66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b w:val="1"/>
                <w:bCs w:val="1"/>
                <w:color w:val="auto"/>
              </w:rPr>
              <w:t>(1.1)</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5.7</w:t>
            </w: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(2.0)</w:t>
            </w:r>
          </w:p>
        </w:tc>
        <w:tc>
          <w:tcPr>
            <w:tcW w:w="32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6.0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w w:val="97"/>
              </w:rPr>
              <w:t>Net realized capital losses associated with exited group medical insurance business</w:t>
            </w: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0.1</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0.1</w:t>
            </w:r>
          </w:p>
        </w:tc>
        <w:tc>
          <w:tcPr>
            <w:tcW w:w="3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Noncontrolling interest capital gains</w:t>
            </w:r>
          </w:p>
        </w:tc>
        <w:tc>
          <w:tcPr>
            <w:tcW w:w="66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b w:val="1"/>
                <w:bCs w:val="1"/>
                <w:color w:val="auto"/>
              </w:rPr>
              <w:t>(3.7)</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(0.1)</w:t>
            </w: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(5.7)</w:t>
            </w:r>
          </w:p>
        </w:tc>
        <w:tc>
          <w:tcPr>
            <w:tcW w:w="320" w:type="dxa"/>
            <w:vAlign w:val="bottom"/>
          </w:tcPr>
          <w:p>
            <w:pPr>
              <w:spacing w:after="0"/>
              <w:rPr>
                <w:sz w:val="18"/>
                <w:szCs w:val="18"/>
                <w:color w:val="auto"/>
              </w:rPr>
            </w:pPr>
          </w:p>
        </w:tc>
        <w:tc>
          <w:tcPr>
            <w:tcW w:w="780" w:type="dxa"/>
            <w:vAlign w:val="bottom"/>
            <w:gridSpan w:val="3"/>
          </w:tcPr>
          <w:p>
            <w:pPr>
              <w:jc w:val="right"/>
              <w:ind w:right="4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Income tax effect</w:t>
            </w: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(0.9)</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19.8</w:t>
            </w:r>
          </w:p>
        </w:tc>
        <w:tc>
          <w:tcPr>
            <w:tcW w:w="260" w:type="dxa"/>
            <w:vAlign w:val="bottom"/>
            <w:shd w:val="clear" w:color="auto" w:fill="CCEEFF"/>
          </w:tcPr>
          <w:p>
            <w:pPr>
              <w:spacing w:after="0"/>
              <w:rPr>
                <w:sz w:val="18"/>
                <w:szCs w:val="18"/>
                <w:color w:val="auto"/>
              </w:rPr>
            </w:pPr>
          </w:p>
        </w:tc>
        <w:tc>
          <w:tcPr>
            <w:tcW w:w="10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25.9</w:t>
            </w:r>
          </w:p>
        </w:tc>
        <w:tc>
          <w:tcPr>
            <w:tcW w:w="3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520" w:type="dxa"/>
            <w:vAlign w:val="bottom"/>
          </w:tcPr>
          <w:p>
            <w:pPr>
              <w:ind w:left="200"/>
              <w:spacing w:after="0"/>
              <w:rPr>
                <w:sz w:val="20"/>
                <w:szCs w:val="20"/>
                <w:color w:val="auto"/>
              </w:rPr>
            </w:pPr>
            <w:r>
              <w:rPr>
                <w:rFonts w:ascii="Arial" w:cs="Arial" w:eastAsia="Arial" w:hAnsi="Arial"/>
                <w:sz w:val="18"/>
                <w:szCs w:val="18"/>
                <w:color w:val="auto"/>
              </w:rPr>
              <w:t>Net realized capital losses, as adjusted</w:t>
            </w:r>
          </w:p>
        </w:tc>
        <w:tc>
          <w:tcPr>
            <w:tcW w:w="660" w:type="dxa"/>
            <w:vAlign w:val="bottom"/>
            <w:tcBorders>
              <w:top w:val="single" w:sz="8" w:color="auto"/>
            </w:tcBorders>
          </w:tcPr>
          <w:p>
            <w:pPr>
              <w:jc w:val="right"/>
              <w:ind w:right="507"/>
              <w:spacing w:after="0"/>
              <w:rPr>
                <w:sz w:val="20"/>
                <w:szCs w:val="20"/>
                <w:color w:val="auto"/>
              </w:rPr>
            </w:pPr>
            <w:r>
              <w:rPr>
                <w:rFonts w:ascii="Arial" w:cs="Arial" w:eastAsia="Arial" w:hAnsi="Arial"/>
                <w:sz w:val="15"/>
                <w:szCs w:val="15"/>
                <w:b w:val="1"/>
                <w:bCs w:val="1"/>
                <w:color w:val="auto"/>
                <w:w w:val="71"/>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87"/>
              </w:rPr>
              <w:t>(16.5</w:t>
            </w:r>
          </w:p>
        </w:tc>
        <w:tc>
          <w:tcPr>
            <w:tcW w:w="140" w:type="dxa"/>
            <w:vAlign w:val="bottom"/>
          </w:tcPr>
          <w:p>
            <w:pPr>
              <w:jc w:val="right"/>
              <w:spacing w:after="0"/>
              <w:rPr>
                <w:sz w:val="20"/>
                <w:szCs w:val="20"/>
                <w:color w:val="auto"/>
              </w:rPr>
            </w:pPr>
            <w:r>
              <w:rPr>
                <w:rFonts w:ascii="Arial" w:cs="Arial" w:eastAsia="Arial" w:hAnsi="Arial"/>
                <w:sz w:val="16"/>
                <w:szCs w:val="16"/>
                <w:b w:val="1"/>
                <w:bCs w:val="1"/>
                <w:color w:val="auto"/>
                <w:w w:val="74"/>
              </w:rPr>
              <w:t>)</w:t>
            </w:r>
          </w:p>
        </w:tc>
        <w:tc>
          <w:tcPr>
            <w:tcW w:w="80" w:type="dxa"/>
            <w:vAlign w:val="bottom"/>
          </w:tcPr>
          <w:p>
            <w:pPr>
              <w:spacing w:after="0"/>
              <w:rPr>
                <w:sz w:val="19"/>
                <w:szCs w:val="19"/>
                <w:color w:val="auto"/>
              </w:rPr>
            </w:pPr>
          </w:p>
        </w:tc>
        <w:tc>
          <w:tcPr>
            <w:tcW w:w="36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(55.2</w:t>
            </w:r>
          </w:p>
        </w:tc>
        <w:tc>
          <w:tcPr>
            <w:tcW w:w="240" w:type="dxa"/>
            <w:vAlign w:val="bottom"/>
          </w:tcPr>
          <w:p>
            <w:pPr>
              <w:jc w:val="right"/>
              <w:ind w:right="100"/>
              <w:spacing w:after="0"/>
              <w:rPr>
                <w:sz w:val="20"/>
                <w:szCs w:val="20"/>
                <w:color w:val="auto"/>
              </w:rPr>
            </w:pPr>
            <w:r>
              <w:rPr>
                <w:rFonts w:ascii="Arial" w:cs="Arial" w:eastAsia="Arial" w:hAnsi="Arial"/>
                <w:sz w:val="16"/>
                <w:szCs w:val="16"/>
                <w:color w:val="auto"/>
                <w:w w:val="74"/>
              </w:rPr>
              <w:t>)</w:t>
            </w: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(86.2</w:t>
            </w:r>
          </w:p>
        </w:tc>
        <w:tc>
          <w:tcPr>
            <w:tcW w:w="240" w:type="dxa"/>
            <w:vAlign w:val="bottom"/>
          </w:tcPr>
          <w:p>
            <w:pPr>
              <w:jc w:val="right"/>
              <w:ind w:right="100"/>
              <w:spacing w:after="0"/>
              <w:rPr>
                <w:sz w:val="20"/>
                <w:szCs w:val="20"/>
                <w:color w:val="auto"/>
              </w:rPr>
            </w:pPr>
            <w:r>
              <w:rPr>
                <w:rFonts w:ascii="Arial" w:cs="Arial" w:eastAsia="Arial" w:hAnsi="Arial"/>
                <w:sz w:val="16"/>
                <w:szCs w:val="16"/>
                <w:b w:val="1"/>
                <w:bCs w:val="1"/>
                <w:color w:val="auto"/>
                <w:w w:val="74"/>
              </w:rPr>
              <w:t>)</w:t>
            </w:r>
          </w:p>
        </w:tc>
        <w:tc>
          <w:tcPr>
            <w:tcW w:w="320" w:type="dxa"/>
            <w:vAlign w:val="bottom"/>
            <w:tcBorders>
              <w:top w:val="single" w:sz="8" w:color="auto"/>
            </w:tcBorders>
          </w:tcPr>
          <w:p>
            <w:pPr>
              <w:jc w:val="right"/>
              <w:ind w:right="210"/>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(47.3</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65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right="520" w:hanging="332"/>
        <w:spacing w:after="0" w:line="277" w:lineRule="auto"/>
        <w:tabs>
          <w:tab w:leader="none" w:pos="347" w:val="left"/>
        </w:tabs>
        <w:numPr>
          <w:ilvl w:val="0"/>
          <w:numId w:val="26"/>
        </w:numPr>
        <w:rPr>
          <w:rFonts w:ascii="Arial" w:cs="Arial" w:eastAsia="Arial" w:hAnsi="Arial"/>
          <w:sz w:val="18"/>
          <w:szCs w:val="18"/>
          <w:color w:val="auto"/>
        </w:rPr>
      </w:pPr>
      <w:r>
        <w:rPr>
          <w:rFonts w:ascii="Arial" w:cs="Arial" w:eastAsia="Arial" w:hAnsi="Arial"/>
          <w:sz w:val="18"/>
          <w:szCs w:val="18"/>
          <w:color w:val="auto"/>
        </w:rPr>
        <w:t>For the three months ended September 30, 2015, other after-tax adjustments included the negative effect of losses associated with our exited group medical insurance business that did not qualify for discontinued operations accounting treatment under U.S. GAAP.</w:t>
      </w:r>
    </w:p>
    <w:p>
      <w:pPr>
        <w:spacing w:after="0" w:line="170" w:lineRule="exact"/>
        <w:rPr>
          <w:rFonts w:ascii="Arial" w:cs="Arial" w:eastAsia="Arial" w:hAnsi="Arial"/>
          <w:sz w:val="18"/>
          <w:szCs w:val="18"/>
          <w:color w:val="auto"/>
        </w:rPr>
      </w:pPr>
    </w:p>
    <w:p>
      <w:pPr>
        <w:ind w:left="340" w:right="20"/>
        <w:spacing w:after="0" w:line="286" w:lineRule="auto"/>
        <w:rPr>
          <w:rFonts w:ascii="Arial" w:cs="Arial" w:eastAsia="Arial" w:hAnsi="Arial"/>
          <w:sz w:val="18"/>
          <w:szCs w:val="18"/>
          <w:color w:val="auto"/>
        </w:rPr>
      </w:pPr>
      <w:r>
        <w:rPr>
          <w:rFonts w:ascii="Arial" w:cs="Arial" w:eastAsia="Arial" w:hAnsi="Arial"/>
          <w:sz w:val="17"/>
          <w:szCs w:val="17"/>
          <w:color w:val="auto"/>
        </w:rPr>
        <w:t>For the three months ended September 30, 2014, other after-tax adjustments included the negative effect of an increase in net deferred tax liabilities resulting from the third quarter 2014 enactment of tax legislation in Chile ($58.1 million) and the positive effect of gains associated with our exited group medical insurance business that did not qualify for discontinued operations accounting treatment under U.S. GAAP ($0.3 million).</w:t>
      </w:r>
    </w:p>
    <w:p>
      <w:pPr>
        <w:spacing w:after="0" w:line="165" w:lineRule="exact"/>
        <w:rPr>
          <w:rFonts w:ascii="Arial" w:cs="Arial" w:eastAsia="Arial" w:hAnsi="Arial"/>
          <w:sz w:val="18"/>
          <w:szCs w:val="18"/>
          <w:color w:val="auto"/>
        </w:rPr>
      </w:pPr>
    </w:p>
    <w:p>
      <w:pPr>
        <w:ind w:left="340" w:right="40"/>
        <w:spacing w:after="0" w:line="259" w:lineRule="auto"/>
        <w:rPr>
          <w:rFonts w:ascii="Arial" w:cs="Arial" w:eastAsia="Arial" w:hAnsi="Arial"/>
          <w:sz w:val="18"/>
          <w:szCs w:val="18"/>
          <w:color w:val="auto"/>
        </w:rPr>
      </w:pPr>
      <w:r>
        <w:rPr>
          <w:rFonts w:ascii="Arial" w:cs="Arial" w:eastAsia="Arial" w:hAnsi="Arial"/>
          <w:sz w:val="18"/>
          <w:szCs w:val="18"/>
          <w:color w:val="auto"/>
        </w:rPr>
        <w:t>For the nine months ended September 30, 2015, other after-tax adjustments included the positive effect of a change in deferred tax balances related to the merger of two of our Chilean legal entities ($105.2 million) and the negative effect of: (1) the impact of a court ruling on some uncertain tax positions ($30.3 million) and (2) losses associated with our exited group medical insurance business that did not qualify for discontinued operations accounting treatment under U.S. GAAP ($0.3 million).</w:t>
      </w:r>
    </w:p>
    <w:p>
      <w:pPr>
        <w:spacing w:after="0" w:line="186" w:lineRule="exact"/>
        <w:rPr>
          <w:rFonts w:ascii="Arial" w:cs="Arial" w:eastAsia="Arial" w:hAnsi="Arial"/>
          <w:sz w:val="18"/>
          <w:szCs w:val="18"/>
          <w:color w:val="auto"/>
        </w:rPr>
      </w:pPr>
    </w:p>
    <w:p>
      <w:pPr>
        <w:ind w:left="340" w:right="20"/>
        <w:spacing w:after="0" w:line="259" w:lineRule="auto"/>
        <w:rPr>
          <w:rFonts w:ascii="Arial" w:cs="Arial" w:eastAsia="Arial" w:hAnsi="Arial"/>
          <w:sz w:val="18"/>
          <w:szCs w:val="18"/>
          <w:color w:val="auto"/>
        </w:rPr>
      </w:pPr>
      <w:r>
        <w:rPr>
          <w:rFonts w:ascii="Arial" w:cs="Arial" w:eastAsia="Arial" w:hAnsi="Arial"/>
          <w:sz w:val="18"/>
          <w:szCs w:val="18"/>
          <w:color w:val="auto"/>
        </w:rPr>
        <w:t>For the nine months ended September 30, 2014, other after-tax adjustments included the negative effect of: (a) an increase in net deferred tax liabilities resulting from the third quarter 2014 enactment of tax legislation in Chile ($58.1 million); (b) the impact of a court ruling on some uncertain tax positions ($47.5 million) and (c) losses associated with our exited group medical insurance business that did not qualify for discontinued operations accounting treatment under U.S. GAAP ($0.3 million).</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operating revenues for our products and services: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5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340" w:type="dxa"/>
            <w:vAlign w:val="bottom"/>
            <w:gridSpan w:val="6"/>
          </w:tcPr>
          <w:p>
            <w:pPr>
              <w:jc w:val="right"/>
              <w:ind w:right="540"/>
              <w:spacing w:after="0"/>
              <w:rPr>
                <w:sz w:val="20"/>
                <w:szCs w:val="20"/>
                <w:color w:val="auto"/>
              </w:rPr>
            </w:pPr>
            <w:r>
              <w:rPr>
                <w:rFonts w:ascii="Arial" w:cs="Arial" w:eastAsia="Arial" w:hAnsi="Arial"/>
                <w:sz w:val="14"/>
                <w:szCs w:val="14"/>
                <w:b w:val="1"/>
                <w:bCs w:val="1"/>
                <w:color w:val="auto"/>
                <w:w w:val="96"/>
              </w:rPr>
              <w:t>For the three months ended</w:t>
            </w:r>
          </w:p>
        </w:tc>
        <w:tc>
          <w:tcPr>
            <w:tcW w:w="260" w:type="dxa"/>
            <w:vAlign w:val="bottom"/>
          </w:tcPr>
          <w:p>
            <w:pPr>
              <w:spacing w:after="0"/>
              <w:rPr>
                <w:sz w:val="14"/>
                <w:szCs w:val="14"/>
                <w:color w:val="auto"/>
              </w:rPr>
            </w:pPr>
          </w:p>
        </w:tc>
        <w:tc>
          <w:tcPr>
            <w:tcW w:w="2100" w:type="dxa"/>
            <w:vAlign w:val="bottom"/>
            <w:gridSpan w:val="6"/>
          </w:tcPr>
          <w:p>
            <w:pPr>
              <w:jc w:val="right"/>
              <w:ind w:right="420"/>
              <w:spacing w:after="0"/>
              <w:rPr>
                <w:sz w:val="20"/>
                <w:szCs w:val="20"/>
                <w:color w:val="auto"/>
              </w:rPr>
            </w:pPr>
            <w:r>
              <w:rPr>
                <w:rFonts w:ascii="Arial" w:cs="Arial" w:eastAsia="Arial" w:hAnsi="Arial"/>
                <w:sz w:val="14"/>
                <w:szCs w:val="14"/>
                <w:b w:val="1"/>
                <w:bCs w:val="1"/>
                <w:color w:val="auto"/>
                <w:w w:val="92"/>
              </w:rPr>
              <w:t>For the nine months ended</w:t>
            </w:r>
          </w:p>
        </w:tc>
      </w:tr>
      <w:tr>
        <w:trPr>
          <w:trHeight w:val="171"/>
        </w:trPr>
        <w:tc>
          <w:tcPr>
            <w:tcW w:w="65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September 30,</w:t>
            </w:r>
          </w:p>
        </w:tc>
        <w:tc>
          <w:tcPr>
            <w:tcW w:w="68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September 30,</w:t>
            </w:r>
          </w:p>
        </w:tc>
        <w:tc>
          <w:tcPr>
            <w:tcW w:w="6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652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292"/>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71"/>
              <w:spacing w:after="0" w:line="142" w:lineRule="exact"/>
              <w:rPr>
                <w:sz w:val="20"/>
                <w:szCs w:val="20"/>
                <w:color w:val="auto"/>
              </w:rPr>
            </w:pPr>
            <w:r>
              <w:rPr>
                <w:rFonts w:ascii="Arial" w:cs="Arial" w:eastAsia="Arial" w:hAnsi="Arial"/>
                <w:sz w:val="14"/>
                <w:szCs w:val="14"/>
                <w:b w:val="1"/>
                <w:bCs w:val="1"/>
                <w:color w:val="auto"/>
                <w:w w:val="96"/>
              </w:rPr>
              <w:t>2014</w:t>
            </w:r>
          </w:p>
        </w:tc>
        <w:tc>
          <w:tcPr>
            <w:tcW w:w="24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91"/>
              <w:spacing w:after="0" w:line="142" w:lineRule="exact"/>
              <w:rPr>
                <w:sz w:val="20"/>
                <w:szCs w:val="20"/>
                <w:color w:val="auto"/>
              </w:rPr>
            </w:pPr>
            <w:r>
              <w:rPr>
                <w:rFonts w:ascii="Arial" w:cs="Arial" w:eastAsia="Arial" w:hAnsi="Arial"/>
                <w:sz w:val="14"/>
                <w:szCs w:val="14"/>
                <w:b w:val="1"/>
                <w:bCs w:val="1"/>
                <w:color w:val="auto"/>
                <w:w w:val="89"/>
              </w:rPr>
              <w:t>2014</w:t>
            </w:r>
          </w:p>
        </w:tc>
        <w:tc>
          <w:tcPr>
            <w:tcW w:w="100" w:type="dxa"/>
            <w:vAlign w:val="bottom"/>
          </w:tcPr>
          <w:p>
            <w:pPr>
              <w:spacing w:after="0"/>
              <w:rPr>
                <w:sz w:val="12"/>
                <w:szCs w:val="12"/>
                <w:color w:val="auto"/>
              </w:rPr>
            </w:pPr>
          </w:p>
        </w:tc>
      </w:tr>
      <w:tr>
        <w:trPr>
          <w:trHeight w:val="142"/>
        </w:trPr>
        <w:tc>
          <w:tcPr>
            <w:tcW w:w="65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80" w:type="dxa"/>
            <w:vAlign w:val="bottom"/>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Retirement and Investor Services:</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520" w:type="dxa"/>
            <w:vAlign w:val="bottom"/>
          </w:tcPr>
          <w:p>
            <w:pPr>
              <w:ind w:left="200"/>
              <w:spacing w:after="0"/>
              <w:rPr>
                <w:sz w:val="20"/>
                <w:szCs w:val="20"/>
                <w:color w:val="auto"/>
              </w:rPr>
            </w:pPr>
            <w:r>
              <w:rPr>
                <w:rFonts w:ascii="Arial" w:cs="Arial" w:eastAsia="Arial" w:hAnsi="Arial"/>
                <w:sz w:val="18"/>
                <w:szCs w:val="18"/>
                <w:color w:val="auto"/>
              </w:rPr>
              <w:t>Full service accumulation</w:t>
            </w:r>
          </w:p>
        </w:tc>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9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383.0</w:t>
            </w:r>
          </w:p>
        </w:tc>
        <w:tc>
          <w:tcPr>
            <w:tcW w:w="44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392.1</w:t>
            </w: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9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1,153.8</w:t>
            </w:r>
          </w:p>
        </w:tc>
        <w:tc>
          <w:tcPr>
            <w:tcW w:w="420" w:type="dxa"/>
            <w:vAlign w:val="bottom"/>
            <w:gridSpan w:val="2"/>
          </w:tcPr>
          <w:p>
            <w:pPr>
              <w:jc w:val="right"/>
              <w:ind w:right="185"/>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1,170.0</w:t>
            </w:r>
          </w:p>
        </w:tc>
      </w:tr>
      <w:tr>
        <w:trPr>
          <w:trHeight w:val="216"/>
        </w:trPr>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Principal Funds</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231.8</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219.7</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699.9</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638.2</w:t>
            </w:r>
          </w:p>
        </w:tc>
      </w:tr>
      <w:tr>
        <w:trPr>
          <w:trHeight w:val="216"/>
        </w:trPr>
        <w:tc>
          <w:tcPr>
            <w:tcW w:w="6520" w:type="dxa"/>
            <w:vAlign w:val="bottom"/>
          </w:tcPr>
          <w:p>
            <w:pPr>
              <w:ind w:left="200"/>
              <w:spacing w:after="0"/>
              <w:rPr>
                <w:sz w:val="20"/>
                <w:szCs w:val="20"/>
                <w:color w:val="auto"/>
              </w:rPr>
            </w:pPr>
            <w:r>
              <w:rPr>
                <w:rFonts w:ascii="Arial" w:cs="Arial" w:eastAsia="Arial" w:hAnsi="Arial"/>
                <w:sz w:val="18"/>
                <w:szCs w:val="18"/>
                <w:color w:val="auto"/>
              </w:rPr>
              <w:t>Individual annuities</w:t>
            </w:r>
          </w:p>
        </w:tc>
        <w:tc>
          <w:tcPr>
            <w:tcW w:w="2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476.7</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335.6</w:t>
            </w:r>
          </w:p>
        </w:tc>
        <w:tc>
          <w:tcPr>
            <w:tcW w:w="26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1,524.0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1,082.9</w:t>
            </w:r>
          </w:p>
        </w:tc>
      </w:tr>
      <w:tr>
        <w:trPr>
          <w:trHeight w:val="216"/>
        </w:trPr>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Bank and trust services</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19.9</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21.9</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64.2</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63.7</w:t>
            </w:r>
          </w:p>
        </w:tc>
      </w:tr>
      <w:tr>
        <w:trPr>
          <w:trHeight w:val="216"/>
        </w:trPr>
        <w:tc>
          <w:tcPr>
            <w:tcW w:w="6520" w:type="dxa"/>
            <w:vAlign w:val="bottom"/>
          </w:tcPr>
          <w:p>
            <w:pPr>
              <w:ind w:left="200"/>
              <w:spacing w:after="0"/>
              <w:rPr>
                <w:sz w:val="20"/>
                <w:szCs w:val="20"/>
                <w:color w:val="auto"/>
              </w:rPr>
            </w:pPr>
            <w:r>
              <w:rPr>
                <w:rFonts w:ascii="Arial" w:cs="Arial" w:eastAsia="Arial" w:hAnsi="Arial"/>
                <w:sz w:val="18"/>
                <w:szCs w:val="18"/>
                <w:color w:val="auto"/>
              </w:rPr>
              <w:t>Eliminations</w:t>
            </w:r>
          </w:p>
        </w:tc>
        <w:tc>
          <w:tcPr>
            <w:tcW w:w="2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(36.9)</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(38.8)</w:t>
            </w:r>
          </w:p>
        </w:tc>
        <w:tc>
          <w:tcPr>
            <w:tcW w:w="260" w:type="dxa"/>
            <w:vAlign w:val="bottom"/>
          </w:tcPr>
          <w:p>
            <w:pPr>
              <w:spacing w:after="0"/>
              <w:rPr>
                <w:sz w:val="18"/>
                <w:szCs w:val="18"/>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(115.0)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(116.3)</w:t>
            </w:r>
          </w:p>
        </w:tc>
      </w:tr>
      <w:tr>
        <w:trPr>
          <w:trHeight w:val="210"/>
        </w:trPr>
        <w:tc>
          <w:tcPr>
            <w:tcW w:w="6520" w:type="dxa"/>
            <w:vAlign w:val="bottom"/>
            <w:tcBorders>
              <w:top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Accumulation</w:t>
            </w:r>
          </w:p>
        </w:tc>
        <w:tc>
          <w:tcPr>
            <w:tcW w:w="20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1,074.5</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930.5</w:t>
            </w:r>
          </w:p>
        </w:tc>
        <w:tc>
          <w:tcPr>
            <w:tcW w:w="24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3,326.9</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2,838.5</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6520" w:type="dxa"/>
            <w:vAlign w:val="bottom"/>
          </w:tcPr>
          <w:p>
            <w:pPr>
              <w:ind w:left="200"/>
              <w:spacing w:after="0"/>
              <w:rPr>
                <w:sz w:val="20"/>
                <w:szCs w:val="20"/>
                <w:color w:val="auto"/>
              </w:rPr>
            </w:pPr>
            <w:r>
              <w:rPr>
                <w:rFonts w:ascii="Arial" w:cs="Arial" w:eastAsia="Arial" w:hAnsi="Arial"/>
                <w:sz w:val="18"/>
                <w:szCs w:val="18"/>
                <w:color w:val="auto"/>
              </w:rPr>
              <w:t>Investment only</w:t>
            </w:r>
          </w:p>
        </w:tc>
        <w:tc>
          <w:tcPr>
            <w:tcW w:w="2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63.8</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73.4</w:t>
            </w:r>
          </w:p>
        </w:tc>
        <w:tc>
          <w:tcPr>
            <w:tcW w:w="26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199.9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234.5</w:t>
            </w:r>
          </w:p>
        </w:tc>
      </w:tr>
      <w:tr>
        <w:trPr>
          <w:trHeight w:val="216"/>
        </w:trPr>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Full service payout</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819.2</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320.8</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1,858.7</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778.0</w:t>
            </w:r>
          </w:p>
        </w:tc>
      </w:tr>
      <w:tr>
        <w:trPr>
          <w:trHeight w:val="210"/>
        </w:trPr>
        <w:tc>
          <w:tcPr>
            <w:tcW w:w="6520" w:type="dxa"/>
            <w:vAlign w:val="bottom"/>
            <w:tcBorders>
              <w:bottom w:val="single" w:sz="8" w:color="CCEEFF"/>
            </w:tcBorders>
          </w:tcPr>
          <w:p>
            <w:pPr>
              <w:ind w:left="360"/>
              <w:spacing w:after="0"/>
              <w:rPr>
                <w:sz w:val="20"/>
                <w:szCs w:val="20"/>
                <w:color w:val="auto"/>
              </w:rPr>
            </w:pPr>
            <w:r>
              <w:rPr>
                <w:rFonts w:ascii="Arial" w:cs="Arial" w:eastAsia="Arial" w:hAnsi="Arial"/>
                <w:sz w:val="18"/>
                <w:szCs w:val="18"/>
                <w:color w:val="auto"/>
              </w:rPr>
              <w:t>Total Guaranteed</w:t>
            </w:r>
          </w:p>
        </w:tc>
        <w:tc>
          <w:tcPr>
            <w:tcW w:w="200" w:type="dxa"/>
            <w:vAlign w:val="bottom"/>
            <w:tcBorders>
              <w:top w:val="single" w:sz="8" w:color="auto"/>
              <w:bottom w:val="single" w:sz="8" w:color="auto"/>
            </w:tcBorders>
          </w:tcPr>
          <w:p>
            <w:pPr>
              <w:spacing w:after="0"/>
              <w:rPr>
                <w:sz w:val="18"/>
                <w:szCs w:val="18"/>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883.0</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36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394.2</w:t>
            </w:r>
          </w:p>
        </w:tc>
        <w:tc>
          <w:tcPr>
            <w:tcW w:w="24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2,058.6</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34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1,012.5</w:t>
            </w:r>
          </w:p>
        </w:tc>
        <w:tc>
          <w:tcPr>
            <w:tcW w:w="100" w:type="dxa"/>
            <w:vAlign w:val="bottom"/>
            <w:tcBorders>
              <w:bottom w:val="single" w:sz="8" w:color="CCEEFF"/>
            </w:tcBorders>
          </w:tcPr>
          <w:p>
            <w:pPr>
              <w:spacing w:after="0"/>
              <w:rPr>
                <w:sz w:val="18"/>
                <w:szCs w:val="18"/>
                <w:color w:val="auto"/>
              </w:rPr>
            </w:pPr>
          </w:p>
        </w:tc>
      </w:tr>
      <w:tr>
        <w:trPr>
          <w:trHeight w:val="210"/>
        </w:trPr>
        <w:tc>
          <w:tcPr>
            <w:tcW w:w="65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Total Retirement and Investor Services</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1,957.5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1,324.7</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5,385.5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3,851.0</w:t>
            </w:r>
          </w:p>
        </w:tc>
        <w:tc>
          <w:tcPr>
            <w:tcW w:w="100" w:type="dxa"/>
            <w:vAlign w:val="bottom"/>
            <w:shd w:val="clear" w:color="auto" w:fill="CCEEFF"/>
          </w:tcPr>
          <w:p>
            <w:pPr>
              <w:spacing w:after="0"/>
              <w:rPr>
                <w:sz w:val="18"/>
                <w:szCs w:val="18"/>
                <w:color w:val="auto"/>
              </w:rPr>
            </w:pP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Principal Global Investors (1)</w:t>
            </w:r>
          </w:p>
        </w:tc>
        <w:tc>
          <w:tcPr>
            <w:tcW w:w="2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182.8</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173.6</w:t>
            </w:r>
          </w:p>
        </w:tc>
        <w:tc>
          <w:tcPr>
            <w:tcW w:w="26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557.8</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517.9</w:t>
            </w: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Principal International</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311.2</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294.5</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862.4</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952.2</w:t>
            </w:r>
          </w:p>
        </w:tc>
      </w:tr>
      <w:tr>
        <w:trPr>
          <w:trHeight w:val="216"/>
        </w:trPr>
        <w:tc>
          <w:tcPr>
            <w:tcW w:w="6520" w:type="dxa"/>
            <w:vAlign w:val="bottom"/>
          </w:tcPr>
          <w:p>
            <w:pPr>
              <w:spacing w:after="0"/>
              <w:rPr>
                <w:sz w:val="20"/>
                <w:szCs w:val="20"/>
                <w:color w:val="auto"/>
              </w:rPr>
            </w:pPr>
            <w:r>
              <w:rPr>
                <w:rFonts w:ascii="Arial" w:cs="Arial" w:eastAsia="Arial" w:hAnsi="Arial"/>
                <w:sz w:val="18"/>
                <w:szCs w:val="18"/>
                <w:color w:val="auto"/>
              </w:rPr>
              <w:t>U.S. Insurance Solutions:</w:t>
            </w:r>
          </w:p>
        </w:tc>
        <w:tc>
          <w:tcPr>
            <w:tcW w:w="2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Individual life insurance</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389.6</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382.7</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1,178.2</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1,148.5</w:t>
            </w:r>
          </w:p>
        </w:tc>
      </w:tr>
      <w:tr>
        <w:trPr>
          <w:trHeight w:val="216"/>
        </w:trPr>
        <w:tc>
          <w:tcPr>
            <w:tcW w:w="6520" w:type="dxa"/>
            <w:vAlign w:val="bottom"/>
          </w:tcPr>
          <w:p>
            <w:pPr>
              <w:ind w:left="200"/>
              <w:spacing w:after="0"/>
              <w:rPr>
                <w:sz w:val="20"/>
                <w:szCs w:val="20"/>
                <w:color w:val="auto"/>
              </w:rPr>
            </w:pPr>
            <w:r>
              <w:rPr>
                <w:rFonts w:ascii="Arial" w:cs="Arial" w:eastAsia="Arial" w:hAnsi="Arial"/>
                <w:sz w:val="18"/>
                <w:szCs w:val="18"/>
                <w:color w:val="auto"/>
              </w:rPr>
              <w:t>Specialty benefits insurance</w:t>
            </w:r>
          </w:p>
        </w:tc>
        <w:tc>
          <w:tcPr>
            <w:tcW w:w="2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463.6</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438.3</w:t>
            </w:r>
          </w:p>
        </w:tc>
        <w:tc>
          <w:tcPr>
            <w:tcW w:w="26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1,394.6</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1,288.4</w:t>
            </w:r>
          </w:p>
        </w:tc>
      </w:tr>
      <w:tr>
        <w:trPr>
          <w:trHeight w:val="216"/>
        </w:trPr>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Eliminations</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(0.1)</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(0.1)</w:t>
            </w:r>
          </w:p>
        </w:tc>
      </w:tr>
      <w:tr>
        <w:trPr>
          <w:trHeight w:val="210"/>
        </w:trPr>
        <w:tc>
          <w:tcPr>
            <w:tcW w:w="6520" w:type="dxa"/>
            <w:vAlign w:val="bottom"/>
          </w:tcPr>
          <w:p>
            <w:pPr>
              <w:ind w:left="360"/>
              <w:spacing w:after="0"/>
              <w:rPr>
                <w:sz w:val="20"/>
                <w:szCs w:val="20"/>
                <w:color w:val="auto"/>
              </w:rPr>
            </w:pPr>
            <w:r>
              <w:rPr>
                <w:rFonts w:ascii="Arial" w:cs="Arial" w:eastAsia="Arial" w:hAnsi="Arial"/>
                <w:sz w:val="18"/>
                <w:szCs w:val="18"/>
                <w:color w:val="auto"/>
              </w:rPr>
              <w:t>Total U.S. Insurance Solutions</w:t>
            </w:r>
          </w:p>
        </w:tc>
        <w:tc>
          <w:tcPr>
            <w:tcW w:w="2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853.2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821.0</w:t>
            </w:r>
          </w:p>
        </w:tc>
        <w:tc>
          <w:tcPr>
            <w:tcW w:w="24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2,572.7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2,436.8</w:t>
            </w:r>
          </w:p>
        </w:tc>
        <w:tc>
          <w:tcPr>
            <w:tcW w:w="100" w:type="dxa"/>
            <w:vAlign w:val="bottom"/>
          </w:tcPr>
          <w:p>
            <w:pPr>
              <w:spacing w:after="0"/>
              <w:rPr>
                <w:sz w:val="18"/>
                <w:szCs w:val="18"/>
                <w:color w:val="auto"/>
              </w:rPr>
            </w:pPr>
          </w:p>
        </w:tc>
      </w:tr>
      <w:tr>
        <w:trPr>
          <w:trHeight w:val="216"/>
        </w:trPr>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Corporate</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(69.0)</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(61.1)</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(191.3)</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(163.3)</w:t>
            </w:r>
          </w:p>
        </w:tc>
      </w:tr>
      <w:tr>
        <w:trPr>
          <w:trHeight w:val="250"/>
        </w:trPr>
        <w:tc>
          <w:tcPr>
            <w:tcW w:w="65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operating revenues</w:t>
            </w: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3,235.7</w:t>
            </w:r>
          </w:p>
        </w:tc>
        <w:tc>
          <w:tcPr>
            <w:tcW w:w="14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2,552.7</w:t>
            </w:r>
          </w:p>
        </w:tc>
        <w:tc>
          <w:tcPr>
            <w:tcW w:w="24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9,187.1</w:t>
            </w:r>
          </w:p>
        </w:tc>
        <w:tc>
          <w:tcPr>
            <w:tcW w:w="14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340" w:type="dxa"/>
            <w:vAlign w:val="bottom"/>
            <w:tcBorders>
              <w:top w:val="single" w:sz="8" w:color="auto"/>
              <w:bottom w:val="single" w:sz="8" w:color="auto"/>
            </w:tcBorders>
          </w:tcPr>
          <w:p>
            <w:pPr>
              <w:jc w:val="right"/>
              <w:ind w:right="185"/>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7,594.6</w:t>
            </w:r>
          </w:p>
        </w:tc>
        <w:tc>
          <w:tcPr>
            <w:tcW w:w="100" w:type="dxa"/>
            <w:vAlign w:val="bottom"/>
            <w:tcBorders>
              <w:bottom w:val="single" w:sz="8" w:color="CCEEFF"/>
            </w:tcBorders>
          </w:tcPr>
          <w:p>
            <w:pPr>
              <w:spacing w:after="0"/>
              <w:rPr>
                <w:sz w:val="21"/>
                <w:szCs w:val="21"/>
                <w:color w:val="auto"/>
              </w:rPr>
            </w:pPr>
          </w:p>
        </w:tc>
      </w:tr>
      <w:tr>
        <w:trPr>
          <w:trHeight w:val="197"/>
        </w:trPr>
        <w:tc>
          <w:tcPr>
            <w:tcW w:w="6520" w:type="dxa"/>
            <w:vAlign w:val="bottom"/>
            <w:shd w:val="clear" w:color="auto" w:fill="CCEEFF"/>
          </w:tcPr>
          <w:p>
            <w:pPr>
              <w:spacing w:after="0" w:line="190" w:lineRule="exact"/>
              <w:rPr>
                <w:sz w:val="20"/>
                <w:szCs w:val="20"/>
                <w:color w:val="auto"/>
              </w:rPr>
            </w:pPr>
            <w:r>
              <w:rPr>
                <w:rFonts w:ascii="Arial" w:cs="Arial" w:eastAsia="Arial" w:hAnsi="Arial"/>
                <w:sz w:val="18"/>
                <w:szCs w:val="18"/>
                <w:color w:val="auto"/>
              </w:rPr>
              <w:t>Total operating revenues</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8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3,235.7</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2,552.7</w:t>
            </w: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9,187.1</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7,594.6</w:t>
            </w:r>
          </w:p>
        </w:tc>
        <w:tc>
          <w:tcPr>
            <w:tcW w:w="100" w:type="dxa"/>
            <w:vAlign w:val="bottom"/>
            <w:shd w:val="clear" w:color="auto" w:fill="CCEEFF"/>
          </w:tcPr>
          <w:p>
            <w:pPr>
              <w:spacing w:after="0"/>
              <w:rPr>
                <w:sz w:val="17"/>
                <w:szCs w:val="17"/>
                <w:color w:val="auto"/>
              </w:rPr>
            </w:pPr>
          </w:p>
        </w:tc>
      </w:tr>
      <w:tr>
        <w:trPr>
          <w:trHeight w:val="216"/>
        </w:trPr>
        <w:tc>
          <w:tcPr>
            <w:tcW w:w="6520" w:type="dxa"/>
            <w:vAlign w:val="bottom"/>
          </w:tcPr>
          <w:p>
            <w:pPr>
              <w:ind w:left="200"/>
              <w:spacing w:after="0"/>
              <w:rPr>
                <w:sz w:val="20"/>
                <w:szCs w:val="20"/>
                <w:color w:val="auto"/>
              </w:rPr>
            </w:pPr>
            <w:r>
              <w:rPr>
                <w:rFonts w:ascii="Arial" w:cs="Arial" w:eastAsia="Arial" w:hAnsi="Arial"/>
                <w:sz w:val="18"/>
                <w:szCs w:val="18"/>
                <w:color w:val="auto"/>
              </w:rPr>
              <w:t>Net realized capital gains (losses), net of related revenue adjustments</w:t>
            </w:r>
          </w:p>
        </w:tc>
        <w:tc>
          <w:tcPr>
            <w:tcW w:w="2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4.8</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(68.2)</w:t>
            </w:r>
          </w:p>
        </w:tc>
        <w:tc>
          <w:tcPr>
            <w:tcW w:w="260" w:type="dxa"/>
            <w:vAlign w:val="bottom"/>
          </w:tcPr>
          <w:p>
            <w:pPr>
              <w:spacing w:after="0"/>
              <w:rPr>
                <w:sz w:val="18"/>
                <w:szCs w:val="18"/>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(90.9)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(25.0)</w:t>
            </w:r>
          </w:p>
        </w:tc>
      </w:tr>
      <w:tr>
        <w:trPr>
          <w:trHeight w:val="216"/>
        </w:trPr>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income on a tax indemnification</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60.2</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520" w:type="dxa"/>
            <w:vAlign w:val="bottom"/>
          </w:tcPr>
          <w:p>
            <w:pPr>
              <w:ind w:left="200"/>
              <w:spacing w:after="0"/>
              <w:rPr>
                <w:sz w:val="20"/>
                <w:szCs w:val="20"/>
                <w:color w:val="auto"/>
              </w:rPr>
            </w:pPr>
            <w:r>
              <w:rPr>
                <w:rFonts w:ascii="Arial" w:cs="Arial" w:eastAsia="Arial" w:hAnsi="Arial"/>
                <w:sz w:val="18"/>
                <w:szCs w:val="18"/>
                <w:color w:val="auto"/>
              </w:rPr>
              <w:t>Exited group medical insurance business</w:t>
            </w:r>
          </w:p>
        </w:tc>
        <w:tc>
          <w:tcPr>
            <w:tcW w:w="2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0.4</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(0.2)</w:t>
            </w:r>
          </w:p>
        </w:tc>
        <w:tc>
          <w:tcPr>
            <w:tcW w:w="26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131"/>
        </w:trPr>
        <w:tc>
          <w:tcPr>
            <w:tcW w:w="6520" w:type="dxa"/>
            <w:vAlign w:val="bottom"/>
            <w:tcBorders>
              <w:top w:val="single" w:sz="8" w:color="CCEEFF"/>
            </w:tcBorders>
            <w:shd w:val="clear" w:color="auto" w:fill="CCEEFF"/>
          </w:tcPr>
          <w:p>
            <w:pPr>
              <w:spacing w:after="0"/>
              <w:rPr>
                <w:sz w:val="11"/>
                <w:szCs w:val="11"/>
                <w:color w:val="auto"/>
              </w:rPr>
            </w:pPr>
          </w:p>
        </w:tc>
        <w:tc>
          <w:tcPr>
            <w:tcW w:w="20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68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76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340" w:type="dxa"/>
            <w:vAlign w:val="bottom"/>
            <w:tcBorders>
              <w:top w:val="single" w:sz="8" w:color="auto"/>
            </w:tcBorders>
            <w:shd w:val="clear" w:color="auto" w:fill="CCEEFF"/>
          </w:tcPr>
          <w:p>
            <w:pPr>
              <w:spacing w:after="0"/>
              <w:rPr>
                <w:sz w:val="11"/>
                <w:szCs w:val="11"/>
                <w:color w:val="auto"/>
              </w:rPr>
            </w:pPr>
          </w:p>
        </w:tc>
        <w:tc>
          <w:tcPr>
            <w:tcW w:w="6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r>
    </w:tbl>
    <w:p>
      <w:pPr>
        <w:sectPr>
          <w:pgSz w:w="11900" w:h="16900" w:orient="portrait"/>
          <w:cols w:equalWidth="0" w:num="1">
            <w:col w:w="11420"/>
          </w:cols>
          <w:pgMar w:left="240" w:top="320" w:right="239" w:bottom="0" w:gutter="0" w:footer="0" w:header="0"/>
        </w:sectPr>
      </w:pPr>
    </w:p>
    <w:bookmarkStart w:id="52" w:name="page53"/>
    <w:bookmarkEnd w:id="52"/>
    <w:p>
      <w:pPr>
        <w:spacing w:after="0"/>
        <w:tabs>
          <w:tab w:leader="none" w:pos="6500" w:val="left"/>
          <w:tab w:leader="none" w:pos="7000" w:val="left"/>
          <w:tab w:leader="none" w:pos="7760" w:val="left"/>
          <w:tab w:leader="none" w:pos="8260" w:val="left"/>
          <w:tab w:leader="none" w:pos="9040" w:val="left"/>
          <w:tab w:leader="none" w:pos="9520" w:val="left"/>
          <w:tab w:leader="none" w:pos="10280" w:val="left"/>
          <w:tab w:leader="none" w:pos="10760" w:val="left"/>
        </w:tabs>
        <w:rPr>
          <w:sz w:val="20"/>
          <w:szCs w:val="20"/>
          <w:color w:val="auto"/>
        </w:rPr>
      </w:pPr>
      <w:r>
        <w:rPr>
          <w:rFonts w:ascii="Arial" w:cs="Arial" w:eastAsia="Arial" w:hAnsi="Arial"/>
          <w:sz w:val="18"/>
          <w:szCs w:val="18"/>
          <w:color w:val="auto"/>
        </w:rPr>
        <w:t>Total revenues per consolidated statements of operations</w:t>
      </w:r>
      <w:r>
        <w:rPr>
          <w:sz w:val="20"/>
          <w:szCs w:val="20"/>
          <w:color w:val="auto"/>
        </w:rPr>
        <w:tab/>
      </w:r>
      <w:r>
        <w:rPr>
          <w:rFonts w:ascii="Arial" w:cs="Arial" w:eastAsia="Arial" w:hAnsi="Arial"/>
          <w:sz w:val="18"/>
          <w:szCs w:val="18"/>
          <w:b w:val="1"/>
          <w:bCs w:val="1"/>
          <w:color w:val="auto"/>
        </w:rPr>
        <w:t>$</w:t>
      </w:r>
      <w:r>
        <w:rPr>
          <w:sz w:val="20"/>
          <w:szCs w:val="20"/>
          <w:color w:val="auto"/>
        </w:rPr>
        <w:tab/>
      </w:r>
      <w:r>
        <w:rPr>
          <w:rFonts w:ascii="Arial" w:cs="Arial" w:eastAsia="Arial" w:hAnsi="Arial"/>
          <w:sz w:val="18"/>
          <w:szCs w:val="18"/>
          <w:b w:val="1"/>
          <w:bCs w:val="1"/>
          <w:color w:val="auto"/>
        </w:rPr>
        <w:t>3,240.9</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2,484.3</w:t>
      </w:r>
      <w:r>
        <w:rPr>
          <w:sz w:val="20"/>
          <w:szCs w:val="20"/>
          <w:color w:val="auto"/>
        </w:rPr>
        <w:tab/>
      </w:r>
      <w:r>
        <w:rPr>
          <w:rFonts w:ascii="Arial" w:cs="Arial" w:eastAsia="Arial" w:hAnsi="Arial"/>
          <w:sz w:val="18"/>
          <w:szCs w:val="18"/>
          <w:b w:val="1"/>
          <w:bCs w:val="1"/>
          <w:color w:val="auto"/>
        </w:rPr>
        <w:t>$</w:t>
      </w:r>
      <w:r>
        <w:rPr>
          <w:sz w:val="20"/>
          <w:szCs w:val="20"/>
          <w:color w:val="auto"/>
        </w:rPr>
        <w:tab/>
      </w:r>
      <w:r>
        <w:rPr>
          <w:rFonts w:ascii="Arial" w:cs="Arial" w:eastAsia="Arial" w:hAnsi="Arial"/>
          <w:sz w:val="18"/>
          <w:szCs w:val="18"/>
          <w:b w:val="1"/>
          <w:bCs w:val="1"/>
          <w:color w:val="auto"/>
        </w:rPr>
        <w:t>9,157.4</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7,569.6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6319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46620" cy="1631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248920</wp:posOffset>
            </wp:positionV>
            <wp:extent cx="1826895"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340" w:right="220" w:hanging="332"/>
        <w:spacing w:after="0" w:line="277" w:lineRule="auto"/>
        <w:tabs>
          <w:tab w:leader="none" w:pos="361"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Reflects inter-segment revenues of $76.1 million and $71.0 million for the three months ended September 30, 2015 and 2014, respectively, and $237.7 million and $214.4 million for the nine months ended September 30, 2015 and 2014, respectively.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Stock-Based Compensation Plans</w:t>
      </w:r>
    </w:p>
    <w:p>
      <w:pPr>
        <w:spacing w:after="0" w:line="229"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As of September 30, 2015, we have the 2014 Stock Incentive Plan, the Employee Stock Purchase Plan, the 2014 Directors Stock Plan, the Long-Term Performance Plan, the Amended and Restated 2010 Stock Incentive Plan, the 2005 Directors Stock Plan, the Stock Incentive Plan and the Directors Stock Plan (“Stock Based Compensation Plans”). As of May 20, 2014, no new grants will be made under the Amended and Restated 2010 Stock Incentive Plan or the 2005 Directors Stock Plan. No grants have been made under the Stock Incentive Plan, the Directors Stock Plan or the Long-Term Performance Plan since at least 2005. Under the terms of the 2014 Stock Incentive Plan, grants may be nonqualified stock options, incentive stock options qualifying under Section 422 of the Internal Revenue Code, restricted stock, restricted stock units, stock appreciation rights, performance shares, performance units or other stock-based awards. The 2014 Directors Stock Plan provides for the grant of nonqualified stock options, restricted stock, restricted stock units or other stock-based awards to our nonemployee directors. To date, we have not granted any incentive stock options, restricted stock or performance units under any plans.</w:t>
      </w:r>
    </w:p>
    <w:p>
      <w:pPr>
        <w:spacing w:after="0" w:line="166"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As of September 30, 2015, the maximum number of new shares of common stock that were available for grant under the 2014 Stock Incentive Plan and the 2014 Directors Stock Plan was 12.0 million.</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For awards with graded vesting, we use an accelerated expense attribution method. The compensation cost that was charged against income for stock-based awards granted under the Stock-Based Compensation Plans was as follows: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6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3440" w:type="dxa"/>
            <w:vAlign w:val="bottom"/>
            <w:tcBorders>
              <w:bottom w:val="single" w:sz="8" w:color="auto"/>
            </w:tcBorders>
            <w:gridSpan w:val="3"/>
          </w:tcPr>
          <w:p>
            <w:pPr>
              <w:jc w:val="center"/>
              <w:ind w:left="408"/>
              <w:spacing w:after="0"/>
              <w:rPr>
                <w:sz w:val="20"/>
                <w:szCs w:val="20"/>
                <w:color w:val="auto"/>
              </w:rPr>
            </w:pPr>
            <w:r>
              <w:rPr>
                <w:rFonts w:ascii="Arial" w:cs="Arial" w:eastAsia="Arial" w:hAnsi="Arial"/>
                <w:sz w:val="14"/>
                <w:szCs w:val="14"/>
                <w:b w:val="1"/>
                <w:bCs w:val="1"/>
                <w:color w:val="auto"/>
                <w:w w:val="91"/>
              </w:rPr>
              <w:t>For the nine months ended September 30,</w:t>
            </w:r>
          </w:p>
        </w:tc>
        <w:tc>
          <w:tcPr>
            <w:tcW w:w="5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476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1300" w:type="dxa"/>
            <w:vAlign w:val="bottom"/>
            <w:tcBorders>
              <w:bottom w:val="single" w:sz="8" w:color="auto"/>
            </w:tcBorders>
          </w:tcPr>
          <w:p>
            <w:pPr>
              <w:jc w:val="right"/>
              <w:ind w:right="168"/>
              <w:spacing w:after="0" w:line="142" w:lineRule="exact"/>
              <w:rPr>
                <w:sz w:val="20"/>
                <w:szCs w:val="20"/>
                <w:color w:val="auto"/>
              </w:rPr>
            </w:pPr>
            <w:r>
              <w:rPr>
                <w:rFonts w:ascii="Arial" w:cs="Arial" w:eastAsia="Arial" w:hAnsi="Arial"/>
                <w:sz w:val="14"/>
                <w:szCs w:val="14"/>
                <w:b w:val="1"/>
                <w:bCs w:val="1"/>
                <w:color w:val="auto"/>
              </w:rPr>
              <w:t>2015</w:t>
            </w:r>
          </w:p>
        </w:tc>
        <w:tc>
          <w:tcPr>
            <w:tcW w:w="680" w:type="dxa"/>
            <w:vAlign w:val="bottom"/>
            <w:tcBorders>
              <w:bottom w:val="single" w:sz="8" w:color="auto"/>
            </w:tcBorders>
          </w:tcPr>
          <w:p>
            <w:pPr>
              <w:spacing w:after="0"/>
              <w:rPr>
                <w:sz w:val="12"/>
                <w:szCs w:val="12"/>
                <w:color w:val="auto"/>
              </w:rPr>
            </w:pPr>
          </w:p>
        </w:tc>
        <w:tc>
          <w:tcPr>
            <w:tcW w:w="1460" w:type="dxa"/>
            <w:vAlign w:val="bottom"/>
            <w:tcBorders>
              <w:bottom w:val="single" w:sz="8" w:color="auto"/>
            </w:tcBorders>
          </w:tcPr>
          <w:p>
            <w:pPr>
              <w:jc w:val="right"/>
              <w:ind w:right="179"/>
              <w:spacing w:after="0" w:line="142" w:lineRule="exact"/>
              <w:rPr>
                <w:sz w:val="20"/>
                <w:szCs w:val="20"/>
                <w:color w:val="auto"/>
              </w:rPr>
            </w:pPr>
            <w:r>
              <w:rPr>
                <w:rFonts w:ascii="Arial" w:cs="Arial" w:eastAsia="Arial" w:hAnsi="Arial"/>
                <w:sz w:val="14"/>
                <w:szCs w:val="14"/>
                <w:b w:val="1"/>
                <w:bCs w:val="1"/>
                <w:color w:val="auto"/>
              </w:rPr>
              <w:t>2014</w:t>
            </w:r>
          </w:p>
        </w:tc>
        <w:tc>
          <w:tcPr>
            <w:tcW w:w="50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r>
      <w:tr>
        <w:trPr>
          <w:trHeight w:val="142"/>
        </w:trPr>
        <w:tc>
          <w:tcPr>
            <w:tcW w:w="476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2140" w:type="dxa"/>
            <w:vAlign w:val="bottom"/>
            <w:gridSpan w:val="2"/>
          </w:tcPr>
          <w:p>
            <w:pPr>
              <w:jc w:val="center"/>
              <w:ind w:right="719"/>
              <w:spacing w:after="0" w:line="142" w:lineRule="exact"/>
              <w:rPr>
                <w:sz w:val="20"/>
                <w:szCs w:val="20"/>
                <w:color w:val="auto"/>
              </w:rPr>
            </w:pPr>
            <w:r>
              <w:rPr>
                <w:rFonts w:ascii="Arial" w:cs="Arial" w:eastAsia="Arial" w:hAnsi="Arial"/>
                <w:sz w:val="14"/>
                <w:szCs w:val="14"/>
                <w:b w:val="1"/>
                <w:bCs w:val="1"/>
                <w:color w:val="auto"/>
                <w:w w:val="94"/>
              </w:rPr>
              <w:t>(in millions)</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4760" w:type="dxa"/>
            <w:vAlign w:val="bottom"/>
            <w:shd w:val="clear" w:color="auto" w:fill="CCEEFF"/>
          </w:tcPr>
          <w:p>
            <w:pPr>
              <w:spacing w:after="0"/>
              <w:rPr>
                <w:sz w:val="20"/>
                <w:szCs w:val="20"/>
                <w:color w:val="auto"/>
              </w:rPr>
            </w:pPr>
            <w:r>
              <w:rPr>
                <w:rFonts w:ascii="Arial" w:cs="Arial" w:eastAsia="Arial" w:hAnsi="Arial"/>
                <w:sz w:val="18"/>
                <w:szCs w:val="18"/>
                <w:color w:val="auto"/>
              </w:rPr>
              <w:t>Compensation cost</w:t>
            </w:r>
          </w:p>
        </w:tc>
        <w:tc>
          <w:tcPr>
            <w:tcW w:w="3920" w:type="dxa"/>
            <w:vAlign w:val="bottom"/>
            <w:gridSpan w:val="2"/>
            <w:shd w:val="clear" w:color="auto" w:fill="CCEEFF"/>
          </w:tcPr>
          <w:p>
            <w:pPr>
              <w:jc w:val="right"/>
              <w:ind w:right="1128"/>
              <w:spacing w:after="0"/>
              <w:rPr>
                <w:sz w:val="20"/>
                <w:szCs w:val="20"/>
                <w:color w:val="auto"/>
              </w:rPr>
            </w:pPr>
            <w:r>
              <w:rPr>
                <w:rFonts w:ascii="Arial" w:cs="Arial" w:eastAsia="Arial" w:hAnsi="Arial"/>
                <w:sz w:val="18"/>
                <w:szCs w:val="18"/>
                <w:b w:val="1"/>
                <w:bCs w:val="1"/>
                <w:color w:val="auto"/>
              </w:rPr>
              <w:t>$</w:t>
            </w: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8"/>
                <w:szCs w:val="18"/>
                <w:b w:val="1"/>
                <w:bCs w:val="1"/>
                <w:color w:val="auto"/>
              </w:rPr>
              <w:t>52.5</w:t>
            </w:r>
          </w:p>
        </w:tc>
        <w:tc>
          <w:tcPr>
            <w:tcW w:w="1460" w:type="dxa"/>
            <w:vAlign w:val="bottom"/>
            <w:shd w:val="clear" w:color="auto" w:fill="CCEEFF"/>
          </w:tcPr>
          <w:p>
            <w:pPr>
              <w:jc w:val="right"/>
              <w:ind w:right="1139"/>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50.3</w:t>
            </w:r>
          </w:p>
        </w:tc>
      </w:tr>
      <w:tr>
        <w:trPr>
          <w:trHeight w:val="216"/>
        </w:trPr>
        <w:tc>
          <w:tcPr>
            <w:tcW w:w="4760" w:type="dxa"/>
            <w:vAlign w:val="bottom"/>
          </w:tcPr>
          <w:p>
            <w:pPr>
              <w:spacing w:after="0"/>
              <w:rPr>
                <w:sz w:val="20"/>
                <w:szCs w:val="20"/>
                <w:color w:val="auto"/>
              </w:rPr>
            </w:pPr>
            <w:r>
              <w:rPr>
                <w:rFonts w:ascii="Arial" w:cs="Arial" w:eastAsia="Arial" w:hAnsi="Arial"/>
                <w:sz w:val="18"/>
                <w:szCs w:val="18"/>
                <w:color w:val="auto"/>
              </w:rPr>
              <w:t>Related income tax benefit</w:t>
            </w:r>
          </w:p>
        </w:tc>
        <w:tc>
          <w:tcPr>
            <w:tcW w:w="26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680" w:type="dxa"/>
            <w:vAlign w:val="bottom"/>
          </w:tcPr>
          <w:p>
            <w:pPr>
              <w:jc w:val="right"/>
              <w:ind w:right="54"/>
              <w:spacing w:after="0"/>
              <w:rPr>
                <w:sz w:val="20"/>
                <w:szCs w:val="20"/>
                <w:color w:val="auto"/>
              </w:rPr>
            </w:pPr>
            <w:r>
              <w:rPr>
                <w:rFonts w:ascii="Arial" w:cs="Arial" w:eastAsia="Arial" w:hAnsi="Arial"/>
                <w:sz w:val="18"/>
                <w:szCs w:val="18"/>
                <w:b w:val="1"/>
                <w:bCs w:val="1"/>
                <w:color w:val="auto"/>
              </w:rPr>
              <w:t>17.0</w:t>
            </w:r>
          </w:p>
        </w:tc>
        <w:tc>
          <w:tcPr>
            <w:tcW w:w="146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16.4</w:t>
            </w:r>
          </w:p>
        </w:tc>
      </w:tr>
      <w:tr>
        <w:trPr>
          <w:trHeight w:val="216"/>
        </w:trPr>
        <w:tc>
          <w:tcPr>
            <w:tcW w:w="4760" w:type="dxa"/>
            <w:vAlign w:val="bottom"/>
            <w:shd w:val="clear" w:color="auto" w:fill="CCEEFF"/>
          </w:tcPr>
          <w:p>
            <w:pPr>
              <w:spacing w:after="0"/>
              <w:rPr>
                <w:sz w:val="20"/>
                <w:szCs w:val="20"/>
                <w:color w:val="auto"/>
              </w:rPr>
            </w:pPr>
            <w:r>
              <w:rPr>
                <w:rFonts w:ascii="Arial" w:cs="Arial" w:eastAsia="Arial" w:hAnsi="Arial"/>
                <w:sz w:val="18"/>
                <w:szCs w:val="18"/>
                <w:color w:val="auto"/>
              </w:rPr>
              <w:t>Capitalized as part of an asset</w:t>
            </w:r>
          </w:p>
        </w:tc>
        <w:tc>
          <w:tcPr>
            <w:tcW w:w="26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8"/>
                <w:szCs w:val="18"/>
                <w:b w:val="1"/>
                <w:bCs w:val="1"/>
                <w:color w:val="auto"/>
              </w:rPr>
              <w:t>1.7</w:t>
            </w:r>
          </w:p>
        </w:tc>
        <w:tc>
          <w:tcPr>
            <w:tcW w:w="14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Nonqualified Stock Options</w:t>
      </w:r>
    </w:p>
    <w:p>
      <w:pPr>
        <w:spacing w:after="0" w:line="229" w:lineRule="exact"/>
        <w:rPr>
          <w:sz w:val="20"/>
          <w:szCs w:val="20"/>
          <w:color w:val="auto"/>
        </w:rPr>
      </w:pPr>
    </w:p>
    <w:p>
      <w:pPr>
        <w:ind w:right="280" w:firstLine="648"/>
        <w:spacing w:after="0" w:line="264" w:lineRule="auto"/>
        <w:rPr>
          <w:sz w:val="20"/>
          <w:szCs w:val="20"/>
          <w:color w:val="auto"/>
        </w:rPr>
      </w:pPr>
      <w:r>
        <w:rPr>
          <w:rFonts w:ascii="Arial" w:cs="Arial" w:eastAsia="Arial" w:hAnsi="Arial"/>
          <w:sz w:val="18"/>
          <w:szCs w:val="18"/>
          <w:color w:val="auto"/>
        </w:rPr>
        <w:t>Nonqualified stock options were granted to certain employees under the 2014 Stock Incentive Plan. Total options granted were 0.6 million for the nine months ended September 30, 2015. The fair value of stock options is estimated using the Black-Scholes option pricing model. The following is a summary of the assumptions used in this model for the stock options granted during the period:</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540" w:type="dxa"/>
            <w:vAlign w:val="bottom"/>
          </w:tcPr>
          <w:p>
            <w:pPr>
              <w:spacing w:after="0"/>
              <w:rPr>
                <w:sz w:val="14"/>
                <w:szCs w:val="14"/>
                <w:color w:val="auto"/>
              </w:rPr>
            </w:pPr>
          </w:p>
        </w:tc>
        <w:tc>
          <w:tcPr>
            <w:tcW w:w="2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6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w w:val="96"/>
              </w:rPr>
              <w:t>For the nine months ended</w:t>
            </w:r>
          </w:p>
        </w:tc>
      </w:tr>
      <w:tr>
        <w:trPr>
          <w:trHeight w:val="171"/>
        </w:trPr>
        <w:tc>
          <w:tcPr>
            <w:tcW w:w="6540" w:type="dxa"/>
            <w:vAlign w:val="bottom"/>
            <w:tcBorders>
              <w:bottom w:val="single" w:sz="8" w:color="CCEEFF"/>
            </w:tcBorders>
          </w:tcPr>
          <w:p>
            <w:pPr>
              <w:spacing w:after="0"/>
              <w:rPr>
                <w:sz w:val="14"/>
                <w:szCs w:val="14"/>
                <w:color w:val="auto"/>
              </w:rPr>
            </w:pPr>
          </w:p>
        </w:tc>
        <w:tc>
          <w:tcPr>
            <w:tcW w:w="242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tcPr>
          <w:p>
            <w:pPr>
              <w:jc w:val="right"/>
              <w:ind w:right="455"/>
              <w:spacing w:after="0"/>
              <w:rPr>
                <w:sz w:val="20"/>
                <w:szCs w:val="20"/>
                <w:color w:val="auto"/>
              </w:rPr>
            </w:pPr>
            <w:r>
              <w:rPr>
                <w:rFonts w:ascii="Arial" w:cs="Arial" w:eastAsia="Arial" w:hAnsi="Arial"/>
                <w:sz w:val="14"/>
                <w:szCs w:val="14"/>
                <w:b w:val="1"/>
                <w:bCs w:val="1"/>
                <w:color w:val="auto"/>
              </w:rPr>
              <w:t>September 30, 2015</w:t>
            </w:r>
          </w:p>
        </w:tc>
        <w:tc>
          <w:tcPr>
            <w:tcW w:w="180" w:type="dxa"/>
            <w:vAlign w:val="bottom"/>
            <w:tcBorders>
              <w:bottom w:val="single" w:sz="8" w:color="CCEEFF"/>
            </w:tcBorders>
          </w:tcPr>
          <w:p>
            <w:pPr>
              <w:spacing w:after="0"/>
              <w:rPr>
                <w:sz w:val="14"/>
                <w:szCs w:val="14"/>
                <w:color w:val="auto"/>
              </w:rPr>
            </w:pPr>
          </w:p>
        </w:tc>
      </w:tr>
      <w:tr>
        <w:trPr>
          <w:trHeight w:val="210"/>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2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52.2%</w:t>
            </w:r>
          </w:p>
        </w:tc>
      </w:tr>
      <w:tr>
        <w:trPr>
          <w:trHeight w:val="216"/>
        </w:trPr>
        <w:tc>
          <w:tcPr>
            <w:tcW w:w="6540" w:type="dxa"/>
            <w:vAlign w:val="bottom"/>
          </w:tcPr>
          <w:p>
            <w:pPr>
              <w:spacing w:after="0"/>
              <w:rPr>
                <w:sz w:val="20"/>
                <w:szCs w:val="20"/>
                <w:color w:val="auto"/>
              </w:rPr>
            </w:pPr>
            <w:r>
              <w:rPr>
                <w:rFonts w:ascii="Arial" w:cs="Arial" w:eastAsia="Arial" w:hAnsi="Arial"/>
                <w:sz w:val="18"/>
                <w:szCs w:val="18"/>
                <w:color w:val="auto"/>
              </w:rPr>
              <w:t>Expected term (in years)</w:t>
            </w:r>
          </w:p>
        </w:tc>
        <w:tc>
          <w:tcPr>
            <w:tcW w:w="2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6.5</w:t>
            </w:r>
          </w:p>
        </w:tc>
      </w:tr>
      <w:tr>
        <w:trPr>
          <w:trHeight w:val="216"/>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2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1.8%</w:t>
            </w:r>
          </w:p>
        </w:tc>
      </w:tr>
      <w:tr>
        <w:trPr>
          <w:trHeight w:val="216"/>
        </w:trPr>
        <w:tc>
          <w:tcPr>
            <w:tcW w:w="6540" w:type="dxa"/>
            <w:vAlign w:val="bottom"/>
          </w:tcPr>
          <w:p>
            <w:pPr>
              <w:spacing w:after="0"/>
              <w:rPr>
                <w:sz w:val="20"/>
                <w:szCs w:val="20"/>
                <w:color w:val="auto"/>
              </w:rPr>
            </w:pPr>
            <w:r>
              <w:rPr>
                <w:rFonts w:ascii="Arial" w:cs="Arial" w:eastAsia="Arial" w:hAnsi="Arial"/>
                <w:sz w:val="18"/>
                <w:szCs w:val="18"/>
                <w:color w:val="auto"/>
              </w:rPr>
              <w:t>Expected dividend yield</w:t>
            </w:r>
          </w:p>
        </w:tc>
        <w:tc>
          <w:tcPr>
            <w:tcW w:w="2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60" w:type="dxa"/>
            <w:vAlign w:val="bottom"/>
            <w:gridSpan w:val="2"/>
          </w:tcPr>
          <w:p>
            <w:pPr>
              <w:jc w:val="right"/>
              <w:spacing w:after="0"/>
              <w:rPr>
                <w:sz w:val="20"/>
                <w:szCs w:val="20"/>
                <w:color w:val="auto"/>
              </w:rPr>
            </w:pPr>
            <w:r>
              <w:rPr>
                <w:rFonts w:ascii="Arial" w:cs="Arial" w:eastAsia="Arial" w:hAnsi="Arial"/>
                <w:sz w:val="18"/>
                <w:szCs w:val="18"/>
                <w:b w:val="1"/>
                <w:bCs w:val="1"/>
                <w:color w:val="auto"/>
              </w:rPr>
              <w:t>2.81%</w:t>
            </w:r>
          </w:p>
        </w:tc>
      </w:tr>
      <w:tr>
        <w:trPr>
          <w:trHeight w:val="216"/>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estimated fair value per common share</w:t>
            </w:r>
          </w:p>
        </w:tc>
        <w:tc>
          <w:tcPr>
            <w:tcW w:w="2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22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20.43</w:t>
            </w:r>
          </w:p>
        </w:tc>
      </w:tr>
    </w:tbl>
    <w:p>
      <w:pPr>
        <w:spacing w:after="0" w:line="202"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As of September 30, 2015, we had $5.5 million of total unrecognized compensation cost related to nonvested stock options. The cost is expected to be recognized over a weighted-average service period of approximately 1.4 years.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Share Awards</w:t>
      </w:r>
    </w:p>
    <w:p>
      <w:pPr>
        <w:spacing w:after="0" w:line="229"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Performance share awards were granted to certain employees under the 2014 Stock Incentive Plan. Total performance share awards granted were 0.3 million for the nine months ended September 30, 2015. The performance share awards granted represent initial target awards and do not reflect potential increases or decreases resulting from the final performance results to be determined at the end of the performance period. The actual number of common shares to be awarded at the end of each performance period will range between 0% and 150% of the initial target awards. The fair value of performance share awards is determined based on the closing stock price of our common shares on the grant date. The weighted-average grant date fair value of these performance share awards granted was $51.33 per common share.</w:t>
      </w:r>
    </w:p>
    <w:p>
      <w:pPr>
        <w:spacing w:after="0" w:line="178"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As of September 30, 2015, we had $9.6 million of total unrecognized compensation cost related to nonvested performance share awards granted. The cost is expected to be recognized over a weighted-average service period of approximately 1.6 years.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Units</w:t>
      </w:r>
    </w:p>
    <w:p>
      <w:pPr>
        <w:spacing w:after="0" w:line="229"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Restricted stock units were issued to certain employees and agents pursuant to the 2014 Stock Incentive Plan and non-employee directors pursuant to the 2015 Directors Stock Plan. Total restricted stock units granted were 0.9 million for the nine months ended September 30, 2015. The fair value of restricted stock units is determined based on the closing stock price of our common shares on the grant date. The weighted-average grant date fair value of these restricted stock units granted was $51.35 per common share.</w:t>
      </w:r>
    </w:p>
    <w:p>
      <w:pPr>
        <w:sectPr>
          <w:pgSz w:w="11900" w:h="16838" w:orient="portrait"/>
          <w:cols w:equalWidth="0" w:num="1">
            <w:col w:w="11420"/>
          </w:cols>
          <w:pgMar w:left="240" w:top="121" w:right="239" w:bottom="88" w:gutter="0" w:footer="0" w:header="0"/>
        </w:sectPr>
      </w:pPr>
    </w:p>
    <w:bookmarkStart w:id="53" w:name="page54"/>
    <w:bookmarkEnd w:id="53"/>
    <w:p>
      <w:pPr>
        <w:ind w:left="660"/>
        <w:spacing w:after="0"/>
        <w:rPr>
          <w:sz w:val="20"/>
          <w:szCs w:val="20"/>
          <w:color w:val="auto"/>
        </w:rPr>
      </w:pPr>
      <w:r>
        <w:rPr>
          <w:rFonts w:ascii="Arial" w:cs="Arial" w:eastAsia="Arial" w:hAnsi="Arial"/>
          <w:sz w:val="16"/>
          <w:szCs w:val="16"/>
          <w:color w:val="auto"/>
        </w:rPr>
        <w:t xml:space="preserve">As of September 30, 2015, we had $54.6 million of total unrecognized compensation cost related to nonvested </w:t>
      </w:r>
      <w:r>
        <w:rPr>
          <w:rFonts w:ascii="Arial" w:cs="Arial" w:eastAsia="Arial" w:hAnsi="Arial"/>
          <w:sz w:val="15"/>
          <w:szCs w:val="15"/>
          <w:color w:val="auto"/>
        </w:rPr>
        <w:t>restricted stock unit awards granted.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cost is expected to be recognized over a weighted-average period of approximately 1.8 years.</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Stock Purchase Plan</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Under the Employee Stock Purchase Plan, employees purchased 0.3 million shares for the nine months ended September 30, 2015. The weighted average fair value of the discount on the stock purchased was $7.69 per share.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September 30, 2015, a total of 4.4 million of new shares are available to be made issuable by us for this plan.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Earnings Per Common Share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computations of the basic and diluted per share amounts were as follows: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60" w:type="dxa"/>
            <w:vAlign w:val="bottom"/>
          </w:tcPr>
          <w:p>
            <w:pPr>
              <w:spacing w:after="0"/>
              <w:rPr>
                <w:sz w:val="14"/>
                <w:szCs w:val="14"/>
                <w:color w:val="auto"/>
              </w:rPr>
            </w:pPr>
          </w:p>
        </w:tc>
        <w:tc>
          <w:tcPr>
            <w:tcW w:w="2140" w:type="dxa"/>
            <w:vAlign w:val="bottom"/>
            <w:gridSpan w:val="5"/>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40" w:type="dxa"/>
            <w:vAlign w:val="bottom"/>
            <w:gridSpan w:val="6"/>
          </w:tcPr>
          <w:p>
            <w:pPr>
              <w:ind w:left="160"/>
              <w:spacing w:after="0"/>
              <w:rPr>
                <w:sz w:val="20"/>
                <w:szCs w:val="20"/>
                <w:color w:val="auto"/>
              </w:rPr>
            </w:pPr>
            <w:r>
              <w:rPr>
                <w:rFonts w:ascii="Arial" w:cs="Arial" w:eastAsia="Arial" w:hAnsi="Arial"/>
                <w:sz w:val="14"/>
                <w:szCs w:val="14"/>
                <w:b w:val="1"/>
                <w:bCs w:val="1"/>
                <w:color w:val="auto"/>
              </w:rPr>
              <w:t>For the nine months ended</w:t>
            </w:r>
          </w:p>
        </w:tc>
        <w:tc>
          <w:tcPr>
            <w:tcW w:w="0" w:type="dxa"/>
            <w:vAlign w:val="bottom"/>
          </w:tcPr>
          <w:p>
            <w:pPr>
              <w:spacing w:after="0"/>
              <w:rPr>
                <w:sz w:val="1"/>
                <w:szCs w:val="1"/>
                <w:color w:val="auto"/>
              </w:rPr>
            </w:pPr>
          </w:p>
        </w:tc>
      </w:tr>
      <w:tr>
        <w:trPr>
          <w:trHeight w:val="171"/>
        </w:trPr>
        <w:tc>
          <w:tcPr>
            <w:tcW w:w="6060" w:type="dxa"/>
            <w:vAlign w:val="bottom"/>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4"/>
          </w:tcPr>
          <w:p>
            <w:pPr>
              <w:jc w:val="right"/>
              <w:ind w:right="336"/>
              <w:spacing w:after="0"/>
              <w:rPr>
                <w:sz w:val="20"/>
                <w:szCs w:val="20"/>
                <w:color w:val="auto"/>
              </w:rPr>
            </w:pPr>
            <w:r>
              <w:rPr>
                <w:rFonts w:ascii="Arial" w:cs="Arial" w:eastAsia="Arial" w:hAnsi="Arial"/>
                <w:sz w:val="14"/>
                <w:szCs w:val="14"/>
                <w:b w:val="1"/>
                <w:bCs w:val="1"/>
                <w:color w:val="auto"/>
              </w:rPr>
              <w:t>September 30,</w:t>
            </w:r>
          </w:p>
        </w:tc>
        <w:tc>
          <w:tcPr>
            <w:tcW w:w="4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060" w:type="dxa"/>
            <w:vAlign w:val="bottom"/>
          </w:tcPr>
          <w:p>
            <w:pPr>
              <w:spacing w:after="0"/>
              <w:rPr>
                <w:sz w:val="12"/>
                <w:szCs w:val="12"/>
                <w:color w:val="auto"/>
              </w:rPr>
            </w:pPr>
          </w:p>
        </w:tc>
        <w:tc>
          <w:tcPr>
            <w:tcW w:w="7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2015</w:t>
            </w:r>
          </w:p>
        </w:tc>
        <w:tc>
          <w:tcPr>
            <w:tcW w:w="4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2014</w:t>
            </w:r>
          </w:p>
        </w:tc>
        <w:tc>
          <w:tcPr>
            <w:tcW w:w="42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ind w:left="180"/>
              <w:spacing w:after="0" w:line="142" w:lineRule="exact"/>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351"/>
              <w:spacing w:after="0" w:line="142" w:lineRule="exact"/>
              <w:rPr>
                <w:sz w:val="20"/>
                <w:szCs w:val="20"/>
                <w:color w:val="auto"/>
              </w:rPr>
            </w:pPr>
            <w:r>
              <w:rPr>
                <w:rFonts w:ascii="Arial" w:cs="Arial" w:eastAsia="Arial" w:hAnsi="Arial"/>
                <w:sz w:val="14"/>
                <w:szCs w:val="14"/>
                <w:b w:val="1"/>
                <w:bCs w:val="1"/>
                <w:color w:val="auto"/>
                <w:w w:val="96"/>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0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20" w:type="dxa"/>
            <w:vAlign w:val="bottom"/>
            <w:gridSpan w:val="6"/>
          </w:tcPr>
          <w:p>
            <w:pPr>
              <w:jc w:val="right"/>
              <w:ind w:right="320"/>
              <w:spacing w:after="0" w:line="142" w:lineRule="exact"/>
              <w:rPr>
                <w:sz w:val="20"/>
                <w:szCs w:val="20"/>
                <w:color w:val="auto"/>
              </w:rPr>
            </w:pPr>
            <w:r>
              <w:rPr>
                <w:rFonts w:ascii="Arial" w:cs="Arial" w:eastAsia="Arial" w:hAnsi="Arial"/>
                <w:sz w:val="14"/>
                <w:szCs w:val="14"/>
                <w:b w:val="1"/>
                <w:bCs w:val="1"/>
                <w:color w:val="auto"/>
                <w:w w:val="98"/>
              </w:rPr>
              <w:t>(in millions, except per share data)</w:t>
            </w: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740" w:type="dxa"/>
            <w:vAlign w:val="bottom"/>
            <w:shd w:val="clear" w:color="auto" w:fill="CCEEFF"/>
          </w:tcPr>
          <w:p>
            <w:pPr>
              <w:jc w:val="right"/>
              <w:ind w:right="586"/>
              <w:spacing w:after="0"/>
              <w:rPr>
                <w:sz w:val="20"/>
                <w:szCs w:val="20"/>
                <w:color w:val="auto"/>
              </w:rPr>
            </w:pPr>
            <w:r>
              <w:rPr>
                <w:rFonts w:ascii="Arial" w:cs="Arial" w:eastAsia="Arial" w:hAnsi="Arial"/>
                <w:sz w:val="15"/>
                <w:szCs w:val="15"/>
                <w:b w:val="1"/>
                <w:bCs w:val="1"/>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8"/>
              </w:rPr>
              <w:t>300.9</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576"/>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8"/>
              </w:rPr>
              <w:t>252.8</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994.9</w:t>
            </w:r>
          </w:p>
        </w:tc>
        <w:tc>
          <w:tcPr>
            <w:tcW w:w="500" w:type="dxa"/>
            <w:vAlign w:val="bottom"/>
            <w:gridSpan w:val="2"/>
            <w:shd w:val="clear" w:color="auto" w:fill="CCEEFF"/>
          </w:tcPr>
          <w:p>
            <w:pPr>
              <w:jc w:val="right"/>
              <w:ind w:right="22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896.1</w:t>
            </w:r>
          </w:p>
        </w:tc>
        <w:tc>
          <w:tcPr>
            <w:tcW w:w="0" w:type="dxa"/>
            <w:vAlign w:val="bottom"/>
          </w:tcPr>
          <w:p>
            <w:pPr>
              <w:spacing w:after="0"/>
              <w:rPr>
                <w:sz w:val="1"/>
                <w:szCs w:val="1"/>
                <w:color w:val="auto"/>
              </w:rPr>
            </w:pPr>
          </w:p>
        </w:tc>
      </w:tr>
      <w:tr>
        <w:trPr>
          <w:trHeight w:val="216"/>
        </w:trPr>
        <w:tc>
          <w:tcPr>
            <w:tcW w:w="6060" w:type="dxa"/>
            <w:vAlign w:val="bottom"/>
          </w:tcPr>
          <w:p>
            <w:pPr>
              <w:spacing w:after="0"/>
              <w:rPr>
                <w:sz w:val="20"/>
                <w:szCs w:val="20"/>
                <w:color w:val="auto"/>
              </w:rPr>
            </w:pPr>
            <w:r>
              <w:rPr>
                <w:rFonts w:ascii="Arial" w:cs="Arial" w:eastAsia="Arial" w:hAnsi="Arial"/>
                <w:sz w:val="18"/>
                <w:szCs w:val="18"/>
                <w:color w:val="auto"/>
              </w:rPr>
              <w:t>Subtract:</w:t>
            </w:r>
          </w:p>
        </w:tc>
        <w:tc>
          <w:tcPr>
            <w:tcW w:w="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income attributable to noncontrolling interest</w:t>
            </w:r>
          </w:p>
        </w:tc>
        <w:tc>
          <w:tcPr>
            <w:tcW w:w="74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3.9</w:t>
            </w: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14.5</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16"/>
        </w:trPr>
        <w:tc>
          <w:tcPr>
            <w:tcW w:w="6060" w:type="dxa"/>
            <w:vAlign w:val="bottom"/>
          </w:tcPr>
          <w:p>
            <w:pPr>
              <w:ind w:left="200"/>
              <w:spacing w:after="0"/>
              <w:rPr>
                <w:sz w:val="20"/>
                <w:szCs w:val="20"/>
                <w:color w:val="auto"/>
              </w:rPr>
            </w:pPr>
            <w:r>
              <w:rPr>
                <w:rFonts w:ascii="Arial" w:cs="Arial" w:eastAsia="Arial" w:hAnsi="Arial"/>
                <w:sz w:val="18"/>
                <w:szCs w:val="18"/>
                <w:color w:val="auto"/>
              </w:rPr>
              <w:t>Preferred stock dividends</w:t>
            </w:r>
          </w:p>
        </w:tc>
        <w:tc>
          <w:tcPr>
            <w:tcW w:w="740" w:type="dxa"/>
            <w:vAlign w:val="bottom"/>
          </w:tcPr>
          <w:p>
            <w:pPr>
              <w:spacing w:after="0"/>
              <w:rPr>
                <w:sz w:val="18"/>
                <w:szCs w:val="18"/>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8.2</w:t>
            </w:r>
          </w:p>
        </w:tc>
        <w:tc>
          <w:tcPr>
            <w:tcW w:w="26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16.5</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24.7</w:t>
            </w:r>
          </w:p>
        </w:tc>
        <w:tc>
          <w:tcPr>
            <w:tcW w:w="0" w:type="dxa"/>
            <w:vAlign w:val="bottom"/>
          </w:tcPr>
          <w:p>
            <w:pPr>
              <w:spacing w:after="0"/>
              <w:rPr>
                <w:sz w:val="1"/>
                <w:szCs w:val="1"/>
                <w:color w:val="auto"/>
              </w:rPr>
            </w:pPr>
          </w:p>
        </w:tc>
      </w:tr>
      <w:tr>
        <w:trPr>
          <w:trHeight w:val="216"/>
        </w:trPr>
        <w:tc>
          <w:tcPr>
            <w:tcW w:w="606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3"/>
              </w:rPr>
              <w:t>Excess of redemption value over carrying value of preferred shares redeemed</w:t>
            </w:r>
          </w:p>
        </w:tc>
        <w:tc>
          <w:tcPr>
            <w:tcW w:w="74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8.2</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060" w:type="dxa"/>
            <w:vAlign w:val="bottom"/>
          </w:tcPr>
          <w:p>
            <w:pPr>
              <w:ind w:left="200"/>
              <w:spacing w:after="0"/>
              <w:rPr>
                <w:sz w:val="20"/>
                <w:szCs w:val="20"/>
                <w:color w:val="auto"/>
              </w:rPr>
            </w:pPr>
            <w:r>
              <w:rPr>
                <w:rFonts w:ascii="Arial" w:cs="Arial" w:eastAsia="Arial" w:hAnsi="Arial"/>
                <w:sz w:val="18"/>
                <w:szCs w:val="18"/>
                <w:color w:val="auto"/>
                <w:w w:val="97"/>
              </w:rPr>
              <w:t>Adjustments to redemption amounts of redeemable noncontrolling interests</w:t>
            </w:r>
          </w:p>
        </w:tc>
        <w:tc>
          <w:tcPr>
            <w:tcW w:w="740" w:type="dxa"/>
            <w:vAlign w:val="bottom"/>
          </w:tcPr>
          <w:p>
            <w:pPr>
              <w:spacing w:after="0"/>
              <w:rPr>
                <w:sz w:val="18"/>
                <w:szCs w:val="18"/>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10.3</w:t>
            </w:r>
          </w:p>
        </w:tc>
        <w:tc>
          <w:tcPr>
            <w:tcW w:w="26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19.7</w:t>
            </w:r>
          </w:p>
        </w:tc>
        <w:tc>
          <w:tcPr>
            <w:tcW w:w="0" w:type="dxa"/>
            <w:vAlign w:val="bottom"/>
          </w:tcPr>
          <w:p>
            <w:pPr>
              <w:spacing w:after="0"/>
              <w:rPr>
                <w:sz w:val="1"/>
                <w:szCs w:val="1"/>
                <w:color w:val="auto"/>
              </w:rPr>
            </w:pPr>
          </w:p>
        </w:tc>
      </w:tr>
      <w:tr>
        <w:trPr>
          <w:trHeight w:val="210"/>
        </w:trPr>
        <w:tc>
          <w:tcPr>
            <w:tcW w:w="60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740" w:type="dxa"/>
            <w:vAlign w:val="bottom"/>
            <w:tcBorders>
              <w:top w:val="single" w:sz="8" w:color="auto"/>
              <w:bottom w:val="single" w:sz="8" w:color="auto"/>
            </w:tcBorders>
            <w:shd w:val="clear" w:color="auto" w:fill="CCEEFF"/>
          </w:tcPr>
          <w:p>
            <w:pPr>
              <w:jc w:val="right"/>
              <w:ind w:right="586"/>
              <w:spacing w:after="0"/>
              <w:rPr>
                <w:sz w:val="20"/>
                <w:szCs w:val="20"/>
                <w:color w:val="auto"/>
              </w:rPr>
            </w:pPr>
            <w:r>
              <w:rPr>
                <w:rFonts w:ascii="Arial" w:cs="Arial" w:eastAsia="Arial" w:hAnsi="Arial"/>
                <w:sz w:val="15"/>
                <w:szCs w:val="15"/>
                <w:b w:val="1"/>
                <w:bCs w:val="1"/>
                <w:color w:val="auto"/>
                <w:w w:val="71"/>
              </w:rPr>
              <w:t>$</w:t>
            </w:r>
          </w:p>
        </w:tc>
        <w:tc>
          <w:tcPr>
            <w:tcW w:w="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8"/>
              </w:rPr>
              <w:t>300.4</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right"/>
              <w:ind w:right="576"/>
              <w:spacing w:after="0"/>
              <w:rPr>
                <w:sz w:val="20"/>
                <w:szCs w:val="20"/>
                <w:color w:val="auto"/>
              </w:rPr>
            </w:pPr>
            <w:r>
              <w:rPr>
                <w:rFonts w:ascii="Arial" w:cs="Arial" w:eastAsia="Arial" w:hAnsi="Arial"/>
                <w:sz w:val="18"/>
                <w:szCs w:val="18"/>
                <w:color w:val="auto"/>
                <w:w w:val="79"/>
              </w:rPr>
              <w:t>$</w:t>
            </w:r>
          </w:p>
        </w:tc>
        <w:tc>
          <w:tcPr>
            <w:tcW w:w="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230.4</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955.7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380" w:type="dxa"/>
            <w:vAlign w:val="bottom"/>
            <w:tcBorders>
              <w:top w:val="single" w:sz="8" w:color="auto"/>
              <w:bottom w:val="single" w:sz="8" w:color="auto"/>
            </w:tcBorders>
            <w:shd w:val="clear" w:color="auto" w:fill="CCEEFF"/>
          </w:tcPr>
          <w:p>
            <w:pPr>
              <w:jc w:val="right"/>
              <w:ind w:right="22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821.0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60" w:type="dxa"/>
            <w:vAlign w:val="bottom"/>
            <w:vMerge w:val="restart"/>
          </w:tcPr>
          <w:p>
            <w:pPr>
              <w:spacing w:after="0"/>
              <w:rPr>
                <w:sz w:val="20"/>
                <w:szCs w:val="20"/>
                <w:color w:val="auto"/>
              </w:rPr>
            </w:pPr>
            <w:r>
              <w:rPr>
                <w:rFonts w:ascii="Arial" w:cs="Arial" w:eastAsia="Arial" w:hAnsi="Arial"/>
                <w:sz w:val="18"/>
                <w:szCs w:val="18"/>
                <w:color w:val="auto"/>
              </w:rPr>
              <w:t>Weighted-average shares outstanding:</w:t>
            </w:r>
          </w:p>
        </w:tc>
        <w:tc>
          <w:tcPr>
            <w:tcW w:w="7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6060" w:type="dxa"/>
            <w:vAlign w:val="bottom"/>
            <w:vMerge w:val="continue"/>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6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Basic</w:t>
            </w:r>
          </w:p>
        </w:tc>
        <w:tc>
          <w:tcPr>
            <w:tcW w:w="74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8"/>
              </w:rPr>
              <w:t>295.0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8"/>
              </w:rPr>
              <w:t>294.2</w:t>
            </w: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295.0</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294.9</w:t>
            </w:r>
          </w:p>
        </w:tc>
        <w:tc>
          <w:tcPr>
            <w:tcW w:w="0" w:type="dxa"/>
            <w:vAlign w:val="bottom"/>
          </w:tcPr>
          <w:p>
            <w:pPr>
              <w:spacing w:after="0"/>
              <w:rPr>
                <w:sz w:val="1"/>
                <w:szCs w:val="1"/>
                <w:color w:val="auto"/>
              </w:rPr>
            </w:pPr>
          </w:p>
        </w:tc>
      </w:tr>
      <w:tr>
        <w:trPr>
          <w:trHeight w:val="216"/>
        </w:trPr>
        <w:tc>
          <w:tcPr>
            <w:tcW w:w="6060" w:type="dxa"/>
            <w:vAlign w:val="bottom"/>
          </w:tcPr>
          <w:p>
            <w:pPr>
              <w:ind w:left="200"/>
              <w:spacing w:after="0"/>
              <w:rPr>
                <w:sz w:val="20"/>
                <w:szCs w:val="20"/>
                <w:color w:val="auto"/>
              </w:rPr>
            </w:pPr>
            <w:r>
              <w:rPr>
                <w:rFonts w:ascii="Arial" w:cs="Arial" w:eastAsia="Arial" w:hAnsi="Arial"/>
                <w:sz w:val="18"/>
                <w:szCs w:val="18"/>
                <w:color w:val="auto"/>
              </w:rPr>
              <w:t>Dilutive effects:</w:t>
            </w:r>
          </w:p>
        </w:tc>
        <w:tc>
          <w:tcPr>
            <w:tcW w:w="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Stock options</w:t>
            </w:r>
          </w:p>
        </w:tc>
        <w:tc>
          <w:tcPr>
            <w:tcW w:w="74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w:t>
            </w: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6060" w:type="dxa"/>
            <w:vAlign w:val="bottom"/>
          </w:tcPr>
          <w:p>
            <w:pPr>
              <w:ind w:left="380"/>
              <w:spacing w:after="0"/>
              <w:rPr>
                <w:sz w:val="20"/>
                <w:szCs w:val="20"/>
                <w:color w:val="auto"/>
              </w:rPr>
            </w:pPr>
            <w:r>
              <w:rPr>
                <w:rFonts w:ascii="Arial" w:cs="Arial" w:eastAsia="Arial" w:hAnsi="Arial"/>
                <w:sz w:val="18"/>
                <w:szCs w:val="18"/>
                <w:color w:val="auto"/>
              </w:rPr>
              <w:t>Restricted stock units</w:t>
            </w:r>
          </w:p>
        </w:tc>
        <w:tc>
          <w:tcPr>
            <w:tcW w:w="74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b w:val="1"/>
                <w:bCs w:val="1"/>
                <w:color w:val="auto"/>
              </w:rPr>
              <w:t>1.6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1.8</w:t>
            </w:r>
          </w:p>
        </w:tc>
        <w:tc>
          <w:tcPr>
            <w:tcW w:w="26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1.6</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60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Performance share awards</w:t>
            </w:r>
          </w:p>
        </w:tc>
        <w:tc>
          <w:tcPr>
            <w:tcW w:w="74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0.4</w:t>
            </w: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0.3</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50"/>
        </w:trPr>
        <w:tc>
          <w:tcPr>
            <w:tcW w:w="606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Diluted</w:t>
            </w:r>
          </w:p>
        </w:tc>
        <w:tc>
          <w:tcPr>
            <w:tcW w:w="740" w:type="dxa"/>
            <w:vAlign w:val="bottom"/>
            <w:tcBorders>
              <w:top w:val="single" w:sz="8" w:color="auto"/>
              <w:bottom w:val="single" w:sz="8" w:color="auto"/>
            </w:tcBorders>
          </w:tcPr>
          <w:p>
            <w:pPr>
              <w:spacing w:after="0"/>
              <w:rPr>
                <w:sz w:val="21"/>
                <w:szCs w:val="21"/>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88"/>
              </w:rPr>
              <w:t>298.5</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760" w:type="dxa"/>
            <w:vAlign w:val="bottom"/>
            <w:tcBorders>
              <w:top w:val="single" w:sz="8" w:color="auto"/>
              <w:bottom w:val="single" w:sz="8" w:color="auto"/>
            </w:tcBorders>
          </w:tcPr>
          <w:p>
            <w:pPr>
              <w:spacing w:after="0"/>
              <w:rPr>
                <w:sz w:val="21"/>
                <w:szCs w:val="21"/>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298.2</w:t>
            </w:r>
          </w:p>
        </w:tc>
        <w:tc>
          <w:tcPr>
            <w:tcW w:w="20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298.5</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380" w:type="dxa"/>
            <w:vAlign w:val="bottom"/>
            <w:tcBorders>
              <w:top w:val="single" w:sz="8" w:color="auto"/>
              <w:bottom w:val="single" w:sz="8" w:color="auto"/>
            </w:tcBorders>
          </w:tcPr>
          <w:p>
            <w:pPr>
              <w:spacing w:after="0"/>
              <w:rPr>
                <w:sz w:val="21"/>
                <w:szCs w:val="21"/>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298.7</w:t>
            </w:r>
          </w:p>
        </w:tc>
        <w:tc>
          <w:tcPr>
            <w:tcW w:w="1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6060" w:type="dxa"/>
            <w:vAlign w:val="bottom"/>
            <w:shd w:val="clear" w:color="auto" w:fill="CCEEFF"/>
          </w:tcPr>
          <w:p>
            <w:pPr>
              <w:spacing w:after="0" w:line="170" w:lineRule="exact"/>
              <w:rPr>
                <w:sz w:val="20"/>
                <w:szCs w:val="20"/>
                <w:color w:val="auto"/>
              </w:rPr>
            </w:pPr>
            <w:r>
              <w:rPr>
                <w:rFonts w:ascii="Arial" w:cs="Arial" w:eastAsia="Arial" w:hAnsi="Arial"/>
                <w:sz w:val="18"/>
                <w:szCs w:val="18"/>
                <w:color w:val="auto"/>
              </w:rPr>
              <w:t>Net income per common share:</w:t>
            </w:r>
          </w:p>
        </w:tc>
        <w:tc>
          <w:tcPr>
            <w:tcW w:w="74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56"/>
        </w:trPr>
        <w:tc>
          <w:tcPr>
            <w:tcW w:w="6060" w:type="dxa"/>
            <w:vAlign w:val="bottom"/>
          </w:tcPr>
          <w:p>
            <w:pPr>
              <w:ind w:left="200"/>
              <w:spacing w:after="0"/>
              <w:rPr>
                <w:sz w:val="20"/>
                <w:szCs w:val="20"/>
                <w:color w:val="auto"/>
              </w:rPr>
            </w:pPr>
            <w:r>
              <w:rPr>
                <w:rFonts w:ascii="Arial" w:cs="Arial" w:eastAsia="Arial" w:hAnsi="Arial"/>
                <w:sz w:val="18"/>
                <w:szCs w:val="18"/>
                <w:color w:val="auto"/>
              </w:rPr>
              <w:t>Basic</w:t>
            </w:r>
          </w:p>
        </w:tc>
        <w:tc>
          <w:tcPr>
            <w:tcW w:w="740" w:type="dxa"/>
            <w:vAlign w:val="bottom"/>
          </w:tcPr>
          <w:p>
            <w:pPr>
              <w:jc w:val="right"/>
              <w:ind w:right="586"/>
              <w:spacing w:after="0"/>
              <w:rPr>
                <w:sz w:val="20"/>
                <w:szCs w:val="20"/>
                <w:color w:val="auto"/>
              </w:rPr>
            </w:pPr>
            <w:r>
              <w:rPr>
                <w:rFonts w:ascii="Arial" w:cs="Arial" w:eastAsia="Arial" w:hAnsi="Arial"/>
                <w:sz w:val="15"/>
                <w:szCs w:val="15"/>
                <w:b w:val="1"/>
                <w:bCs w:val="1"/>
                <w:color w:val="auto"/>
                <w:w w:val="71"/>
              </w:rPr>
              <w:t>$</w:t>
            </w:r>
          </w:p>
        </w:tc>
        <w:tc>
          <w:tcPr>
            <w:tcW w:w="5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1.02</w:t>
            </w:r>
          </w:p>
        </w:tc>
        <w:tc>
          <w:tcPr>
            <w:tcW w:w="860" w:type="dxa"/>
            <w:vAlign w:val="bottom"/>
            <w:gridSpan w:val="2"/>
          </w:tcPr>
          <w:p>
            <w:pPr>
              <w:jc w:val="right"/>
              <w:ind w:right="576"/>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0.78</w:t>
            </w:r>
          </w:p>
        </w:tc>
        <w:tc>
          <w:tcPr>
            <w:tcW w:w="260" w:type="dxa"/>
            <w:vAlign w:val="bottom"/>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3.24</w:t>
            </w:r>
          </w:p>
        </w:tc>
        <w:tc>
          <w:tcPr>
            <w:tcW w:w="500" w:type="dxa"/>
            <w:vAlign w:val="bottom"/>
            <w:gridSpan w:val="2"/>
          </w:tcPr>
          <w:p>
            <w:pPr>
              <w:jc w:val="right"/>
              <w:ind w:right="22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2.78</w:t>
            </w:r>
          </w:p>
        </w:tc>
        <w:tc>
          <w:tcPr>
            <w:tcW w:w="0" w:type="dxa"/>
            <w:vAlign w:val="bottom"/>
          </w:tcPr>
          <w:p>
            <w:pPr>
              <w:spacing w:after="0"/>
              <w:rPr>
                <w:sz w:val="1"/>
                <w:szCs w:val="1"/>
                <w:color w:val="auto"/>
              </w:rPr>
            </w:pPr>
          </w:p>
        </w:tc>
      </w:tr>
      <w:tr>
        <w:trPr>
          <w:trHeight w:val="197"/>
        </w:trPr>
        <w:tc>
          <w:tcPr>
            <w:tcW w:w="6060" w:type="dxa"/>
            <w:vAlign w:val="bottom"/>
            <w:tcBorders>
              <w:top w:val="single" w:sz="8" w:color="CCEEFF"/>
              <w:bottom w:val="single" w:sz="8" w:color="CCEEFF"/>
            </w:tcBorders>
            <w:shd w:val="clear" w:color="auto" w:fill="CCEEFF"/>
          </w:tcPr>
          <w:p>
            <w:pPr>
              <w:ind w:left="200"/>
              <w:spacing w:after="0" w:line="190" w:lineRule="exact"/>
              <w:rPr>
                <w:sz w:val="20"/>
                <w:szCs w:val="20"/>
                <w:color w:val="auto"/>
              </w:rPr>
            </w:pPr>
            <w:r>
              <w:rPr>
                <w:rFonts w:ascii="Arial" w:cs="Arial" w:eastAsia="Arial" w:hAnsi="Arial"/>
                <w:sz w:val="18"/>
                <w:szCs w:val="18"/>
                <w:color w:val="auto"/>
              </w:rPr>
              <w:t>Diluted</w:t>
            </w:r>
          </w:p>
        </w:tc>
        <w:tc>
          <w:tcPr>
            <w:tcW w:w="740" w:type="dxa"/>
            <w:vAlign w:val="bottom"/>
            <w:tcBorders>
              <w:top w:val="single" w:sz="8" w:color="auto"/>
              <w:bottom w:val="single" w:sz="8" w:color="auto"/>
            </w:tcBorders>
            <w:shd w:val="clear" w:color="auto" w:fill="CCEEFF"/>
          </w:tcPr>
          <w:p>
            <w:pPr>
              <w:jc w:val="right"/>
              <w:ind w:right="586"/>
              <w:spacing w:after="0"/>
              <w:rPr>
                <w:sz w:val="20"/>
                <w:szCs w:val="20"/>
                <w:color w:val="auto"/>
              </w:rPr>
            </w:pPr>
            <w:r>
              <w:rPr>
                <w:rFonts w:ascii="Arial" w:cs="Arial" w:eastAsia="Arial" w:hAnsi="Arial"/>
                <w:sz w:val="15"/>
                <w:szCs w:val="15"/>
                <w:b w:val="1"/>
                <w:bCs w:val="1"/>
                <w:color w:val="auto"/>
                <w:w w:val="71"/>
              </w:rPr>
              <w:t>$</w:t>
            </w:r>
          </w:p>
        </w:tc>
        <w:tc>
          <w:tcPr>
            <w:tcW w:w="4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1.01</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760" w:type="dxa"/>
            <w:vAlign w:val="bottom"/>
            <w:tcBorders>
              <w:top w:val="single" w:sz="8" w:color="auto"/>
              <w:bottom w:val="single" w:sz="8" w:color="auto"/>
            </w:tcBorders>
            <w:shd w:val="clear" w:color="auto" w:fill="CCEEFF"/>
          </w:tcPr>
          <w:p>
            <w:pPr>
              <w:jc w:val="right"/>
              <w:ind w:right="576"/>
              <w:spacing w:after="0" w:line="196" w:lineRule="exact"/>
              <w:rPr>
                <w:sz w:val="20"/>
                <w:szCs w:val="20"/>
                <w:color w:val="auto"/>
              </w:rPr>
            </w:pPr>
            <w:r>
              <w:rPr>
                <w:rFonts w:ascii="Arial" w:cs="Arial" w:eastAsia="Arial" w:hAnsi="Arial"/>
                <w:sz w:val="18"/>
                <w:szCs w:val="18"/>
                <w:color w:val="auto"/>
                <w:w w:val="79"/>
              </w:rPr>
              <w:t>$</w:t>
            </w:r>
          </w:p>
        </w:tc>
        <w:tc>
          <w:tcPr>
            <w:tcW w:w="4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0.77</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70"/>
              <w:spacing w:after="0" w:line="196" w:lineRule="exact"/>
              <w:rPr>
                <w:sz w:val="20"/>
                <w:szCs w:val="20"/>
                <w:color w:val="auto"/>
              </w:rPr>
            </w:pPr>
            <w:r>
              <w:rPr>
                <w:rFonts w:ascii="Arial" w:cs="Arial" w:eastAsia="Arial" w:hAnsi="Arial"/>
                <w:sz w:val="18"/>
                <w:szCs w:val="18"/>
                <w:b w:val="1"/>
                <w:bCs w:val="1"/>
                <w:color w:val="auto"/>
                <w:w w:val="79"/>
              </w:rPr>
              <w:t>$</w:t>
            </w:r>
          </w:p>
        </w:tc>
        <w:tc>
          <w:tcPr>
            <w:tcW w:w="8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3.20</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380" w:type="dxa"/>
            <w:vAlign w:val="bottom"/>
            <w:tcBorders>
              <w:top w:val="single" w:sz="8" w:color="auto"/>
              <w:bottom w:val="single" w:sz="8" w:color="auto"/>
            </w:tcBorders>
            <w:shd w:val="clear" w:color="auto" w:fill="CCEEFF"/>
          </w:tcPr>
          <w:p>
            <w:pPr>
              <w:jc w:val="right"/>
              <w:ind w:right="22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2.75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400" w:firstLine="648"/>
        <w:spacing w:after="0" w:line="277" w:lineRule="auto"/>
        <w:rPr>
          <w:sz w:val="20"/>
          <w:szCs w:val="20"/>
          <w:color w:val="auto"/>
        </w:rPr>
      </w:pPr>
      <w:r>
        <w:rPr>
          <w:rFonts w:ascii="Arial" w:cs="Arial" w:eastAsia="Arial" w:hAnsi="Arial"/>
          <w:sz w:val="18"/>
          <w:szCs w:val="18"/>
          <w:color w:val="auto"/>
        </w:rPr>
        <w:t>The calculation of diluted earnings per share for the three and nine months ended September 30, 2015 and 2014, excludes the incremental effect related to certain outstanding stock-based compensation grants due to their anti-dilutive effect.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Condensed Consolidating Financial Information</w:t>
      </w:r>
    </w:p>
    <w:p>
      <w:pPr>
        <w:spacing w:after="0" w:line="229"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Principal Life has established special purpose entities to issue secured medium-term notes. Under the program, the payment obligations of principal and interest on the notes are secured by funding agreements issued by Principal Life. Principal Life’s payment obligations on the funding agreements are fully and unconditionally guaranteed by PFG. All of the outstanding stock of Principal Life is indirectly owned by PFG and PFG is the only guarantor of the payment obligations of the funding agreements.</w:t>
      </w:r>
    </w:p>
    <w:p>
      <w:pPr>
        <w:spacing w:after="0" w:line="187" w:lineRule="exact"/>
        <w:rPr>
          <w:sz w:val="20"/>
          <w:szCs w:val="20"/>
          <w:color w:val="auto"/>
        </w:rPr>
      </w:pPr>
    </w:p>
    <w:p>
      <w:pPr>
        <w:ind w:right="40" w:firstLine="648"/>
        <w:spacing w:after="0" w:line="286" w:lineRule="auto"/>
        <w:rPr>
          <w:sz w:val="20"/>
          <w:szCs w:val="20"/>
          <w:color w:val="auto"/>
        </w:rPr>
      </w:pPr>
      <w:r>
        <w:rPr>
          <w:rFonts w:ascii="Arial" w:cs="Arial" w:eastAsia="Arial" w:hAnsi="Arial"/>
          <w:sz w:val="17"/>
          <w:szCs w:val="17"/>
          <w:color w:val="auto"/>
        </w:rPr>
        <w:t>The following tables set forth condensed consolidating financial information of (i) PFG, (ii) Principal Life, (iii) Principal Financial Services, Inc. (“PFS”) and all other direct and indirect subsidiaries of PFG on a combined basis and (iv) the eliminations necessary to arrive at the information for PFG on a consolidated basis as of September 30, 2015 and December 31, 2014, and for the nine months ended September 30, 2015 and 2014.</w:t>
      </w:r>
    </w:p>
    <w:p>
      <w:pPr>
        <w:spacing w:after="0" w:line="166" w:lineRule="exact"/>
        <w:rPr>
          <w:sz w:val="20"/>
          <w:szCs w:val="20"/>
          <w:color w:val="auto"/>
        </w:rPr>
      </w:pPr>
    </w:p>
    <w:p>
      <w:pPr>
        <w:ind w:right="20" w:firstLine="648"/>
        <w:spacing w:after="0" w:line="297" w:lineRule="auto"/>
        <w:rPr>
          <w:sz w:val="20"/>
          <w:szCs w:val="20"/>
          <w:color w:val="auto"/>
        </w:rPr>
      </w:pPr>
      <w:r>
        <w:rPr>
          <w:rFonts w:ascii="Arial" w:cs="Arial" w:eastAsia="Arial" w:hAnsi="Arial"/>
          <w:sz w:val="16"/>
          <w:szCs w:val="16"/>
          <w:color w:val="auto"/>
        </w:rPr>
        <w:t>In presenting the condensed consolidating financial statements, the equity method of accounting has been applied to (i) PFG’s interest in all direct subsidiaries of PFG, (ii) Principal Life’s interest in all direct subsidiaries of Principal Life and (iii) PFS’s interest in Principal Life even though all such subsidiaries meet the requirements to be consolidated under U.S. GAAP. Earnings of subsidiaries are, therefore, reflected in the parent’s investment and earnings. All intercompany balances and transactions, including elimination of the parent’s investment in subsidiaries, between PFG, Principal Life and PFS and all other subsidiaries have been eliminated, as shown in the column “Eliminations.” These condensed consolidating financial statements should be read in</w:t>
      </w:r>
    </w:p>
    <w:p>
      <w:pPr>
        <w:sectPr>
          <w:pgSz w:w="11900" w:h="16838" w:orient="portrait"/>
          <w:cols w:equalWidth="0" w:num="1">
            <w:col w:w="11420"/>
          </w:cols>
          <w:pgMar w:left="240" w:top="125" w:right="239" w:bottom="0" w:gutter="0" w:footer="0" w:header="0"/>
        </w:sectPr>
      </w:pPr>
    </w:p>
    <w:bookmarkStart w:id="54" w:name="page55"/>
    <w:bookmarkEnd w:id="54"/>
    <w:p>
      <w:pPr>
        <w:ind w:right="400"/>
        <w:spacing w:after="0" w:line="277" w:lineRule="auto"/>
        <w:rPr>
          <w:sz w:val="20"/>
          <w:szCs w:val="20"/>
          <w:color w:val="auto"/>
        </w:rPr>
      </w:pPr>
      <w:r>
        <w:rPr>
          <w:rFonts w:ascii="Arial" w:cs="Arial" w:eastAsia="Arial" w:hAnsi="Arial"/>
          <w:sz w:val="18"/>
          <w:szCs w:val="18"/>
          <w:color w:val="auto"/>
        </w:rPr>
        <w:t>conjunction with the consolidated financial statements. The financial information may not necessarily be indicative of results of operations, cash flows or financial position had the subsidiaries operated as independent entities.</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Principal</w:t>
            </w:r>
          </w:p>
        </w:tc>
        <w:tc>
          <w:tcPr>
            <w:tcW w:w="120" w:type="dxa"/>
            <w:vAlign w:val="bottom"/>
          </w:tcPr>
          <w:p>
            <w:pPr>
              <w:spacing w:after="0"/>
              <w:rPr>
                <w:sz w:val="14"/>
                <w:szCs w:val="14"/>
                <w:color w:val="auto"/>
              </w:rPr>
            </w:pPr>
          </w:p>
        </w:tc>
        <w:tc>
          <w:tcPr>
            <w:tcW w:w="12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Principal Life</w:t>
            </w:r>
          </w:p>
        </w:tc>
        <w:tc>
          <w:tcPr>
            <w:tcW w:w="120" w:type="dxa"/>
            <w:vAlign w:val="bottom"/>
          </w:tcPr>
          <w:p>
            <w:pPr>
              <w:spacing w:after="0"/>
              <w:rPr>
                <w:sz w:val="14"/>
                <w:szCs w:val="14"/>
                <w:color w:val="auto"/>
              </w:rPr>
            </w:pPr>
          </w:p>
        </w:tc>
        <w:tc>
          <w:tcPr>
            <w:tcW w:w="15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Principal Financial</w:t>
            </w: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7"/>
              </w:rPr>
              <w:t>Principal</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2"/>
              </w:rPr>
              <w:t>Financial</w:t>
            </w:r>
          </w:p>
        </w:tc>
        <w:tc>
          <w:tcPr>
            <w:tcW w:w="120" w:type="dxa"/>
            <w:vAlign w:val="bottom"/>
          </w:tcPr>
          <w:p>
            <w:pPr>
              <w:spacing w:after="0"/>
              <w:rPr>
                <w:sz w:val="12"/>
                <w:szCs w:val="12"/>
                <w:color w:val="auto"/>
              </w:rPr>
            </w:pPr>
          </w:p>
        </w:tc>
        <w:tc>
          <w:tcPr>
            <w:tcW w:w="12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3"/>
              </w:rPr>
              <w:t>Insurance</w:t>
            </w:r>
          </w:p>
        </w:tc>
        <w:tc>
          <w:tcPr>
            <w:tcW w:w="12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1"/>
              </w:rPr>
              <w:t>Services, Inc. and</w:t>
            </w: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7"/>
              </w:rPr>
              <w:t>Group, Inc.</w:t>
            </w:r>
          </w:p>
        </w:tc>
        <w:tc>
          <w:tcPr>
            <w:tcW w:w="1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Company</w:t>
            </w:r>
          </w:p>
        </w:tc>
        <w:tc>
          <w:tcPr>
            <w:tcW w:w="120" w:type="dxa"/>
            <w:vAlign w:val="bottom"/>
          </w:tcPr>
          <w:p>
            <w:pPr>
              <w:spacing w:after="0"/>
              <w:rPr>
                <w:sz w:val="12"/>
                <w:szCs w:val="12"/>
                <w:color w:val="auto"/>
              </w:rPr>
            </w:pPr>
          </w:p>
        </w:tc>
        <w:tc>
          <w:tcPr>
            <w:tcW w:w="15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Other Subsidiaries</w:t>
            </w:r>
          </w:p>
        </w:tc>
        <w:tc>
          <w:tcPr>
            <w:tcW w:w="120" w:type="dxa"/>
            <w:vAlign w:val="bottom"/>
          </w:tcPr>
          <w:p>
            <w:pPr>
              <w:spacing w:after="0"/>
              <w:rPr>
                <w:sz w:val="12"/>
                <w:szCs w:val="12"/>
                <w:color w:val="auto"/>
              </w:rPr>
            </w:pPr>
          </w:p>
        </w:tc>
        <w:tc>
          <w:tcPr>
            <w:tcW w:w="122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w w:val="96"/>
              </w:rPr>
              <w:t>Eliminations</w:t>
            </w:r>
          </w:p>
        </w:tc>
        <w:tc>
          <w:tcPr>
            <w:tcW w:w="120" w:type="dxa"/>
            <w:vAlign w:val="bottom"/>
          </w:tcPr>
          <w:p>
            <w:pPr>
              <w:spacing w:after="0"/>
              <w:rPr>
                <w:sz w:val="12"/>
                <w:szCs w:val="12"/>
                <w:color w:val="auto"/>
              </w:rPr>
            </w:pP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Group, Inc.</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6"/>
              </w:rPr>
              <w:t>Parent Only</w:t>
            </w:r>
          </w:p>
        </w:tc>
        <w:tc>
          <w:tcPr>
            <w:tcW w:w="120" w:type="dxa"/>
            <w:vAlign w:val="bottom"/>
          </w:tcPr>
          <w:p>
            <w:pPr>
              <w:spacing w:after="0"/>
              <w:rPr>
                <w:sz w:val="14"/>
                <w:szCs w:val="14"/>
                <w:color w:val="auto"/>
              </w:rPr>
            </w:pPr>
          </w:p>
        </w:tc>
        <w:tc>
          <w:tcPr>
            <w:tcW w:w="12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6"/>
              </w:rPr>
              <w:t>Only</w:t>
            </w:r>
          </w:p>
        </w:tc>
        <w:tc>
          <w:tcPr>
            <w:tcW w:w="120" w:type="dxa"/>
            <w:vAlign w:val="bottom"/>
          </w:tcPr>
          <w:p>
            <w:pPr>
              <w:spacing w:after="0"/>
              <w:rPr>
                <w:sz w:val="14"/>
                <w:szCs w:val="14"/>
                <w:color w:val="auto"/>
              </w:rPr>
            </w:pPr>
          </w:p>
        </w:tc>
        <w:tc>
          <w:tcPr>
            <w:tcW w:w="15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3"/>
              </w:rPr>
              <w:t>Combined</w:t>
            </w: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560" w:type="dxa"/>
            <w:vAlign w:val="bottom"/>
            <w:tcBorders>
              <w:top w:val="single" w:sz="8" w:color="auto"/>
            </w:tcBorders>
            <w:gridSpan w:val="2"/>
          </w:tcPr>
          <w:p>
            <w:pPr>
              <w:jc w:val="right"/>
              <w:ind w:right="620"/>
              <w:spacing w:after="0" w:line="142" w:lineRule="exact"/>
              <w:rPr>
                <w:sz w:val="20"/>
                <w:szCs w:val="20"/>
                <w:color w:val="auto"/>
              </w:rPr>
            </w:pPr>
            <w:r>
              <w:rPr>
                <w:rFonts w:ascii="Arial" w:cs="Arial" w:eastAsia="Arial" w:hAnsi="Arial"/>
                <w:sz w:val="14"/>
                <w:szCs w:val="14"/>
                <w:b w:val="1"/>
                <w:bCs w:val="1"/>
                <w:color w:val="auto"/>
              </w:rPr>
              <w:t>(in millions)</w:t>
            </w:r>
          </w:p>
        </w:tc>
        <w:tc>
          <w:tcPr>
            <w:tcW w:w="12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5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43,723.9</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6,433.3</w:t>
            </w:r>
          </w:p>
        </w:tc>
        <w:tc>
          <w:tcPr>
            <w:tcW w:w="2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(376.6)</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49,780.6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358.7</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351.5</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710.2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101.5</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363.8</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465.3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0.3</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868.8</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869.1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Mortgage loans</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11,527.0</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1,174.3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(469.2)</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12,232.1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6.4</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1,408.6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1,415.0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Policy loans</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792.7</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30.1</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822.8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Investment in unconsolidated entities</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12,494.0</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2,701.4</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5,957.4</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(20,562.4)</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590.4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Other investments</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9.7</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3,827.7</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1,573.9</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(2,731.3)</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2,680.0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578.1</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928.6</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1,420.0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(412.5)</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2,514.2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Accrued investment income</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500.3</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68.2</w:t>
            </w: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(1.7)</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566.8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1,455.3</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2,390.3</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(2,444.0)</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1,401.6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Deferred acquisition costs</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2,925.9</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219.1</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3,145.0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530.6</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81.0</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611.6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Goodwill</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54.3</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950.9</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1,005.2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24.9</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1,374.0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1,398.9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Separate account assets</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92,088.8</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41,957.0</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134,045.8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452.7</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913.8</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3,093.7</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(3,349.4)</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1,110.8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96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assets</w:t>
            </w:r>
          </w:p>
        </w:tc>
        <w:tc>
          <w:tcPr>
            <w:tcW w:w="44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13,534.5</w:t>
            </w:r>
          </w:p>
        </w:tc>
        <w:tc>
          <w:tcPr>
            <w:tcW w:w="22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162,462.</w:t>
            </w:r>
            <w:r>
              <w:rPr>
                <w:rFonts w:ascii="Arial" w:cs="Arial" w:eastAsia="Arial" w:hAnsi="Arial"/>
                <w:sz w:val="18"/>
                <w:szCs w:val="18"/>
                <w:b w:val="1"/>
                <w:bCs w:val="1"/>
                <w:u w:val="single" w:color="auto"/>
                <w:color w:val="auto"/>
              </w:rPr>
              <w:t>1</w:t>
            </w:r>
          </w:p>
        </w:tc>
        <w:tc>
          <w:tcPr>
            <w:tcW w:w="24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69,715.9</w:t>
            </w:r>
          </w:p>
        </w:tc>
        <w:tc>
          <w:tcPr>
            <w:tcW w:w="22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(30,347.1</w:t>
            </w:r>
          </w:p>
        </w:tc>
        <w:tc>
          <w:tcPr>
            <w:tcW w:w="220" w:type="dxa"/>
            <w:vAlign w:val="bottom"/>
            <w:tcBorders>
              <w:bottom w:val="single" w:sz="8" w:color="CCEEFF"/>
            </w:tcBorders>
          </w:tcPr>
          <w:p>
            <w:pPr>
              <w:jc w:val="right"/>
              <w:ind w:right="80"/>
              <w:spacing w:after="0"/>
              <w:rPr>
                <w:sz w:val="20"/>
                <w:szCs w:val="20"/>
                <w:color w:val="auto"/>
              </w:rPr>
            </w:pPr>
            <w:r>
              <w:rPr>
                <w:rFonts w:ascii="Arial" w:cs="Arial" w:eastAsia="Arial" w:hAnsi="Arial"/>
                <w:sz w:val="16"/>
                <w:szCs w:val="16"/>
                <w:b w:val="1"/>
                <w:bCs w:val="1"/>
                <w:color w:val="auto"/>
                <w:w w:val="74"/>
              </w:rPr>
              <w:t>)</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215,365.4</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60" w:type="dxa"/>
            <w:vAlign w:val="bottom"/>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w:t>
            </w:r>
          </w:p>
        </w:tc>
        <w:tc>
          <w:tcPr>
            <w:tcW w:w="4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Contractholder funds</w:t>
            </w:r>
          </w:p>
        </w:tc>
        <w:tc>
          <w:tcPr>
            <w:tcW w:w="5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32,593.0</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2,838.1</w:t>
            </w:r>
          </w:p>
        </w:tc>
        <w:tc>
          <w:tcPr>
            <w:tcW w:w="2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(315.9)</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35,115.2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21,564.0</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4,461.2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(503.5)</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25,521.7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Other policyholder funds</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737.9</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82.6</w:t>
            </w: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(1.0)</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819.5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221.6</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221.6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Long-term debt</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3,247.9</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489.9</w:t>
            </w: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(451.7)</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3,286.1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10.1</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117.2</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(110.6)</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Deferred income taxes</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465.9</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1,030.2</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(617.3)</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878.8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92,088.8</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41,957.0</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134,045.8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Other liabilities</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666.3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6,480.9</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5,958.8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(7,409.8)</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5,696.2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60" w:type="dxa"/>
            <w:vAlign w:val="bottom"/>
            <w:vMerge w:val="restart"/>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44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960" w:type="dxa"/>
            <w:vAlign w:val="bottom"/>
            <w:vMerge w:val="continue"/>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3,914.2</w:t>
            </w:r>
          </w:p>
        </w:tc>
        <w:tc>
          <w:tcPr>
            <w:tcW w:w="2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153,940.6</w:t>
            </w:r>
          </w:p>
        </w:tc>
        <w:tc>
          <w:tcPr>
            <w:tcW w:w="24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57,156.6</w:t>
            </w:r>
          </w:p>
        </w:tc>
        <w:tc>
          <w:tcPr>
            <w:tcW w:w="2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(9,409.8)</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205,601.6</w:t>
            </w:r>
          </w:p>
        </w:tc>
        <w:tc>
          <w:tcPr>
            <w:tcW w:w="1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Redeemable noncontrolling interest</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78.0</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b w:val="1"/>
                <w:bCs w:val="1"/>
                <w:color w:val="auto"/>
              </w:rPr>
              <w:t>Stockholders’ equity</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Common stock</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4.7</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2.5</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(2.5)</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Additional paid-in capital</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9,524.2</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5,322.2</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8,984.8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(14,307.0)</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9,524.2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6,734.7</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2,289.7</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3,504.1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(5,793.8)</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6,734.7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Accumulated other comprehensive income (loss)</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(524.4)</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907.1</w:t>
            </w:r>
          </w:p>
        </w:tc>
        <w:tc>
          <w:tcPr>
            <w:tcW w:w="120" w:type="dxa"/>
            <w:vAlign w:val="bottom"/>
          </w:tcPr>
          <w:p>
            <w:pPr>
              <w:spacing w:after="0"/>
              <w:rPr>
                <w:sz w:val="18"/>
                <w:szCs w:val="18"/>
                <w:color w:val="auto"/>
              </w:rPr>
            </w:pPr>
          </w:p>
        </w:tc>
        <w:tc>
          <w:tcPr>
            <w:tcW w:w="15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(77.8)</w:t>
            </w: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(829.3)</w:t>
            </w: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(524.4)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Treasury stock, at cost</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(6,118.9)</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(6,118.9)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60" w:type="dxa"/>
            <w:vAlign w:val="bottom"/>
          </w:tcPr>
          <w:p>
            <w:pPr>
              <w:ind w:left="180"/>
              <w:spacing w:after="0"/>
              <w:rPr>
                <w:sz w:val="20"/>
                <w:szCs w:val="20"/>
                <w:color w:val="auto"/>
              </w:rPr>
            </w:pPr>
            <w:r>
              <w:rPr>
                <w:rFonts w:ascii="Arial" w:cs="Arial" w:eastAsia="Arial" w:hAnsi="Arial"/>
                <w:sz w:val="18"/>
                <w:szCs w:val="18"/>
                <w:color w:val="auto"/>
              </w:rPr>
              <w:t>Total stockholders’ equity attributable to PFG</w:t>
            </w:r>
          </w:p>
        </w:tc>
        <w:tc>
          <w:tcPr>
            <w:tcW w:w="4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9,620.3</w:t>
            </w: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8,521.5</w:t>
            </w:r>
          </w:p>
        </w:tc>
        <w:tc>
          <w:tcPr>
            <w:tcW w:w="2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12,411.1</w:t>
            </w: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(20,932.6)</w:t>
            </w: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9,620.3</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Noncontrolling interest</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70.2</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(4.7)</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6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stockholders’ equity</w:t>
            </w:r>
          </w:p>
        </w:tc>
        <w:tc>
          <w:tcPr>
            <w:tcW w:w="44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9,620.3</w:t>
            </w:r>
          </w:p>
        </w:tc>
        <w:tc>
          <w:tcPr>
            <w:tcW w:w="22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8,521.5</w:t>
            </w:r>
          </w:p>
        </w:tc>
        <w:tc>
          <w:tcPr>
            <w:tcW w:w="24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12,481.3</w:t>
            </w:r>
          </w:p>
        </w:tc>
        <w:tc>
          <w:tcPr>
            <w:tcW w:w="22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(20,937.3)</w:t>
            </w:r>
          </w:p>
        </w:tc>
        <w:tc>
          <w:tcPr>
            <w:tcW w:w="22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9,685.8</w:t>
            </w:r>
          </w:p>
        </w:tc>
        <w:tc>
          <w:tcPr>
            <w:tcW w:w="10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4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13,534.5</w:t>
            </w:r>
          </w:p>
        </w:tc>
        <w:tc>
          <w:tcPr>
            <w:tcW w:w="2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162,462.1</w:t>
            </w:r>
          </w:p>
        </w:tc>
        <w:tc>
          <w:tcPr>
            <w:tcW w:w="24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69,715.9</w:t>
            </w:r>
          </w:p>
        </w:tc>
        <w:tc>
          <w:tcPr>
            <w:tcW w:w="2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(30,347.1</w:t>
            </w:r>
          </w:p>
        </w:tc>
        <w:tc>
          <w:tcPr>
            <w:tcW w:w="22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b w:val="1"/>
                <w:bCs w:val="1"/>
                <w:color w:val="auto"/>
                <w:w w:val="74"/>
              </w:rPr>
              <w:t>)</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215,365.4</w:t>
            </w:r>
          </w:p>
        </w:tc>
        <w:tc>
          <w:tcPr>
            <w:tcW w:w="100" w:type="dxa"/>
            <w:vAlign w:val="bottom"/>
            <w:tcBorders>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60" w:type="dxa"/>
            <w:vAlign w:val="bottom"/>
            <w:gridSpan w:val="3"/>
          </w:tcPr>
          <w:p>
            <w:pPr>
              <w:jc w:val="right"/>
              <w:ind w:right="30"/>
              <w:spacing w:after="0"/>
              <w:rPr>
                <w:sz w:val="20"/>
                <w:szCs w:val="20"/>
                <w:color w:val="auto"/>
              </w:rPr>
            </w:pPr>
            <w:r>
              <w:rPr>
                <w:rFonts w:ascii="Arial" w:cs="Arial" w:eastAsia="Arial" w:hAnsi="Arial"/>
                <w:sz w:val="18"/>
                <w:szCs w:val="18"/>
                <w:color w:val="auto"/>
              </w:rPr>
              <w:t>78</w:t>
            </w:r>
          </w:p>
        </w:tc>
        <w:tc>
          <w:tcPr>
            <w:tcW w:w="1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3960" w:type="dxa"/>
            <w:vAlign w:val="bottom"/>
            <w:tcBorders>
              <w:bottom w:val="single" w:sz="8" w:color="808080"/>
            </w:tcBorders>
          </w:tcPr>
          <w:p>
            <w:pPr>
              <w:spacing w:after="0"/>
              <w:rPr>
                <w:sz w:val="11"/>
                <w:szCs w:val="11"/>
                <w:color w:val="auto"/>
              </w:rPr>
            </w:pPr>
          </w:p>
        </w:tc>
        <w:tc>
          <w:tcPr>
            <w:tcW w:w="4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3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Financial Position</w:t>
      </w:r>
    </w:p>
    <w:p>
      <w:pPr>
        <w:sectPr>
          <w:pgSz w:w="11900" w:h="16838" w:orient="portrait"/>
          <w:cols w:equalWidth="0" w:num="1">
            <w:col w:w="11460"/>
          </w:cols>
          <w:pgMar w:left="240" w:top="125" w:right="199" w:bottom="0" w:gutter="0" w:footer="0" w:header="0"/>
        </w:sectPr>
      </w:pPr>
    </w:p>
    <w:bookmarkStart w:id="55" w:name="page56"/>
    <w:bookmarkEnd w:id="55"/>
    <w:p>
      <w:pPr>
        <w:jc w:val="center"/>
        <w:ind w:right="40"/>
        <w:spacing w:after="0"/>
        <w:rPr>
          <w:sz w:val="20"/>
          <w:szCs w:val="20"/>
          <w:color w:val="auto"/>
        </w:rPr>
      </w:pPr>
      <w:r>
        <w:rPr>
          <w:rFonts w:ascii="Arial" w:cs="Arial" w:eastAsia="Arial" w:hAnsi="Arial"/>
          <w:sz w:val="18"/>
          <w:szCs w:val="18"/>
          <w:b w:val="1"/>
          <w:bCs w:val="1"/>
          <w:color w:val="auto"/>
        </w:rPr>
        <w:t>December 31, 2014</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jc w:val="center"/>
              <w:ind w:right="72"/>
              <w:spacing w:after="0"/>
              <w:rPr>
                <w:sz w:val="20"/>
                <w:szCs w:val="20"/>
                <w:color w:val="auto"/>
              </w:rPr>
            </w:pPr>
            <w:r>
              <w:rPr>
                <w:rFonts w:ascii="Arial" w:cs="Arial" w:eastAsia="Arial" w:hAnsi="Arial"/>
                <w:sz w:val="14"/>
                <w:szCs w:val="14"/>
                <w:b w:val="1"/>
                <w:bCs w:val="1"/>
                <w:color w:val="auto"/>
                <w:w w:val="94"/>
              </w:rPr>
              <w:t>Principal</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Principal Life</w:t>
            </w:r>
          </w:p>
        </w:tc>
        <w:tc>
          <w:tcPr>
            <w:tcW w:w="120" w:type="dxa"/>
            <w:vAlign w:val="bottom"/>
          </w:tcPr>
          <w:p>
            <w:pPr>
              <w:spacing w:after="0"/>
              <w:rPr>
                <w:sz w:val="14"/>
                <w:szCs w:val="14"/>
                <w:color w:val="auto"/>
              </w:rPr>
            </w:pPr>
          </w:p>
        </w:tc>
        <w:tc>
          <w:tcPr>
            <w:tcW w:w="15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Principal Financial</w:t>
            </w: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7"/>
              </w:rPr>
              <w:t>Principal</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2"/>
              </w:rPr>
              <w:t>Financial</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3"/>
              </w:rPr>
              <w:t>Insurance</w:t>
            </w:r>
          </w:p>
        </w:tc>
        <w:tc>
          <w:tcPr>
            <w:tcW w:w="12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1"/>
              </w:rPr>
              <w:t>Services, Inc. and</w:t>
            </w: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7"/>
              </w:rPr>
              <w:t>Group, Inc.</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Company</w:t>
            </w:r>
          </w:p>
        </w:tc>
        <w:tc>
          <w:tcPr>
            <w:tcW w:w="120" w:type="dxa"/>
            <w:vAlign w:val="bottom"/>
          </w:tcPr>
          <w:p>
            <w:pPr>
              <w:spacing w:after="0"/>
              <w:rPr>
                <w:sz w:val="12"/>
                <w:szCs w:val="12"/>
                <w:color w:val="auto"/>
              </w:rPr>
            </w:pPr>
          </w:p>
        </w:tc>
        <w:tc>
          <w:tcPr>
            <w:tcW w:w="15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Other Subsidiaries</w:t>
            </w:r>
          </w:p>
        </w:tc>
        <w:tc>
          <w:tcPr>
            <w:tcW w:w="120" w:type="dxa"/>
            <w:vAlign w:val="bottom"/>
          </w:tcPr>
          <w:p>
            <w:pPr>
              <w:spacing w:after="0"/>
              <w:rPr>
                <w:sz w:val="12"/>
                <w:szCs w:val="12"/>
                <w:color w:val="auto"/>
              </w:rPr>
            </w:pPr>
          </w:p>
        </w:tc>
        <w:tc>
          <w:tcPr>
            <w:tcW w:w="122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w w:val="96"/>
              </w:rPr>
              <w:t>Eliminations</w:t>
            </w:r>
          </w:p>
        </w:tc>
        <w:tc>
          <w:tcPr>
            <w:tcW w:w="120" w:type="dxa"/>
            <w:vAlign w:val="bottom"/>
          </w:tcPr>
          <w:p>
            <w:pPr>
              <w:spacing w:after="0"/>
              <w:rPr>
                <w:sz w:val="12"/>
                <w:szCs w:val="12"/>
                <w:color w:val="auto"/>
              </w:rPr>
            </w:pP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Group, Inc.</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jc w:val="center"/>
              <w:ind w:right="72"/>
              <w:spacing w:after="0"/>
              <w:rPr>
                <w:sz w:val="20"/>
                <w:szCs w:val="20"/>
                <w:color w:val="auto"/>
              </w:rPr>
            </w:pPr>
            <w:r>
              <w:rPr>
                <w:rFonts w:ascii="Arial" w:cs="Arial" w:eastAsia="Arial" w:hAnsi="Arial"/>
                <w:sz w:val="14"/>
                <w:szCs w:val="14"/>
                <w:b w:val="1"/>
                <w:bCs w:val="1"/>
                <w:color w:val="auto"/>
                <w:w w:val="96"/>
              </w:rPr>
              <w:t>Parent Only</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6"/>
              </w:rPr>
              <w:t>Only</w:t>
            </w:r>
          </w:p>
        </w:tc>
        <w:tc>
          <w:tcPr>
            <w:tcW w:w="120" w:type="dxa"/>
            <w:vAlign w:val="bottom"/>
          </w:tcPr>
          <w:p>
            <w:pPr>
              <w:spacing w:after="0"/>
              <w:rPr>
                <w:sz w:val="14"/>
                <w:szCs w:val="14"/>
                <w:color w:val="auto"/>
              </w:rPr>
            </w:pPr>
          </w:p>
        </w:tc>
        <w:tc>
          <w:tcPr>
            <w:tcW w:w="15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3"/>
              </w:rPr>
              <w:t>Combined</w:t>
            </w: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560" w:type="dxa"/>
            <w:vAlign w:val="bottom"/>
            <w:tcBorders>
              <w:top w:val="single" w:sz="8" w:color="auto"/>
            </w:tcBorders>
            <w:gridSpan w:val="2"/>
          </w:tcPr>
          <w:p>
            <w:pPr>
              <w:ind w:left="200"/>
              <w:spacing w:after="0" w:line="142" w:lineRule="exact"/>
              <w:rPr>
                <w:sz w:val="20"/>
                <w:szCs w:val="20"/>
                <w:color w:val="auto"/>
              </w:rPr>
            </w:pPr>
            <w:r>
              <w:rPr>
                <w:rFonts w:ascii="Arial" w:cs="Arial" w:eastAsia="Arial" w:hAnsi="Arial"/>
                <w:sz w:val="14"/>
                <w:szCs w:val="14"/>
                <w:b w:val="1"/>
                <w:bCs w:val="1"/>
                <w:color w:val="auto"/>
              </w:rPr>
              <w:t>(in millions)</w:t>
            </w:r>
          </w:p>
        </w:tc>
        <w:tc>
          <w:tcPr>
            <w:tcW w:w="12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43,649.7</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6,411.6</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(390.5)</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49,670.8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298.5</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306.1</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108.9</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14.1</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123.0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0.3</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839.9</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Mortgage loans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10,972.6</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1,188.6</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(349.6)</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11,811.6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7.0</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1,337.6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Policy loans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799.0</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30.2</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829.2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Investment in unconsolidated entities</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12,446.5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2,787.9</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5,745.7</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(20,164.3)</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Other investments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9.5</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3,416.7</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1,578.5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(2,610.7)</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2,394.0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412.4</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602.7</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1,253.6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(404.8)</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1,863.9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Accrued investment income</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449.2</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58.1</w:t>
            </w: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505.9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1,237.4</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2,165.6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(2,190.0)</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Deferred acquisition costs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2,754.6</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238.4</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2,993.0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505.8</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84.4</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Goodwill</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54.3</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953.1</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1,007.4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25.7</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1,297.8</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1,323.5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Separate account assets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94,328.4</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45,744.4</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140,072.8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450.7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873.2</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2,768.6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(3,009.0)</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9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assets</w:t>
            </w:r>
          </w:p>
        </w:tc>
        <w:tc>
          <w:tcPr>
            <w:tcW w:w="46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13,319.1</w:t>
            </w:r>
          </w:p>
        </w:tc>
        <w:tc>
          <w:tcPr>
            <w:tcW w:w="2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162,871.9</w:t>
            </w:r>
          </w:p>
        </w:tc>
        <w:tc>
          <w:tcPr>
            <w:tcW w:w="24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72,016.3</w:t>
            </w:r>
          </w:p>
        </w:tc>
        <w:tc>
          <w:tcPr>
            <w:tcW w:w="22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(29,120.3)</w:t>
            </w:r>
          </w:p>
        </w:tc>
        <w:tc>
          <w:tcPr>
            <w:tcW w:w="22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219,087.0</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40" w:type="dxa"/>
            <w:vAlign w:val="bottom"/>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w:t>
            </w:r>
          </w:p>
        </w:tc>
        <w:tc>
          <w:tcPr>
            <w:tcW w:w="4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40" w:type="dxa"/>
            <w:vAlign w:val="bottom"/>
            <w:tcBorders>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Contractholder funds</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33,428.3</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1,607.5</w:t>
            </w:r>
          </w:p>
        </w:tc>
        <w:tc>
          <w:tcPr>
            <w:tcW w:w="2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(309.1)</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34,726.7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19,768.1</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4,718.2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(449.7)</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24,036.6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Other policyholder funds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742.8</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70.4</w:t>
            </w: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812.7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28.0</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Long-term debt</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2,448.9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417.5</w:t>
            </w: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(335.2)</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2,531.2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83.1</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(71.6)</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Deferred income taxes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629.9</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1,022.5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(617.1)</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1,035.3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94,328.4</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45,744.4</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140,072.8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Other liabilities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686.2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5,793.0</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5,845.5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(6,782.5)</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5,542.2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40" w:type="dxa"/>
            <w:vAlign w:val="bottom"/>
            <w:vMerge w:val="restart"/>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46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tcBorders>
              <w:right w:val="single" w:sz="8" w:color="CCEEFF"/>
            </w:tcBorders>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940" w:type="dxa"/>
            <w:vAlign w:val="bottom"/>
            <w:vMerge w:val="continue"/>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3,135.1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154,690.5</w:t>
            </w:r>
          </w:p>
        </w:tc>
        <w:tc>
          <w:tcPr>
            <w:tcW w:w="24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59,537.1</w:t>
            </w:r>
          </w:p>
        </w:tc>
        <w:tc>
          <w:tcPr>
            <w:tcW w:w="2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(8,565.7)</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208,797.0</w:t>
            </w:r>
          </w:p>
        </w:tc>
        <w:tc>
          <w:tcPr>
            <w:tcW w:w="1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Redeemable noncontrolling interest</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58.0</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Series A preferred stock</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Series B preferred stock</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Common stock</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4.6</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9,945.5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5,275.0</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8,964.2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(14,239.2)</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9,945.5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Retained earnings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6,114.1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1,817.2</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2,858.6</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(4,675.8)</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6,114.1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Accumulated other comprehensive income</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50.4</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1,086.7</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545.9</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(1,632.6)</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Treasury stock, at cost</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70"/>
              <w:spacing w:after="0"/>
              <w:rPr>
                <w:sz w:val="20"/>
                <w:szCs w:val="20"/>
                <w:color w:val="auto"/>
              </w:rPr>
            </w:pPr>
            <w:r>
              <w:rPr>
                <w:rFonts w:ascii="Arial" w:cs="Arial" w:eastAsia="Arial" w:hAnsi="Arial"/>
                <w:sz w:val="18"/>
                <w:szCs w:val="18"/>
                <w:color w:val="auto"/>
              </w:rPr>
              <w:t>(5,930.7)</w:t>
            </w: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(5,930.7)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4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stockholders’ equity attributable to PFG</w:t>
            </w:r>
          </w:p>
        </w:tc>
        <w:tc>
          <w:tcPr>
            <w:tcW w:w="4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10,184.0</w:t>
            </w:r>
          </w:p>
        </w:tc>
        <w:tc>
          <w:tcPr>
            <w:tcW w:w="2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8,181.4</w:t>
            </w:r>
          </w:p>
        </w:tc>
        <w:tc>
          <w:tcPr>
            <w:tcW w:w="2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12,368.7</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(20,550.1)</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10,184.0</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Noncontrolling interest</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52.5</w:t>
            </w:r>
          </w:p>
        </w:tc>
        <w:tc>
          <w:tcPr>
            <w:tcW w:w="12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(4.5)</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48.0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4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stockholders’ equity</w:t>
            </w:r>
          </w:p>
        </w:tc>
        <w:tc>
          <w:tcPr>
            <w:tcW w:w="4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10,184.0</w:t>
            </w:r>
          </w:p>
        </w:tc>
        <w:tc>
          <w:tcPr>
            <w:tcW w:w="2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8,181.4</w:t>
            </w:r>
          </w:p>
        </w:tc>
        <w:tc>
          <w:tcPr>
            <w:tcW w:w="2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12,421.2</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(20,554.6)</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10,232.0</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46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13,319.1</w:t>
            </w:r>
          </w:p>
        </w:tc>
        <w:tc>
          <w:tcPr>
            <w:tcW w:w="20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162,871.9</w:t>
            </w:r>
          </w:p>
        </w:tc>
        <w:tc>
          <w:tcPr>
            <w:tcW w:w="24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72,016.3</w:t>
            </w:r>
          </w:p>
        </w:tc>
        <w:tc>
          <w:tcPr>
            <w:tcW w:w="2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(29,120.3</w:t>
            </w:r>
          </w:p>
        </w:tc>
        <w:tc>
          <w:tcPr>
            <w:tcW w:w="220" w:type="dxa"/>
            <w:vAlign w:val="bottom"/>
          </w:tcPr>
          <w:p>
            <w:pPr>
              <w:jc w:val="right"/>
              <w:ind w:right="80"/>
              <w:spacing w:after="0"/>
              <w:rPr>
                <w:sz w:val="20"/>
                <w:szCs w:val="20"/>
                <w:color w:val="auto"/>
              </w:rPr>
            </w:pPr>
            <w:r>
              <w:rPr>
                <w:rFonts w:ascii="Arial" w:cs="Arial" w:eastAsia="Arial" w:hAnsi="Arial"/>
                <w:sz w:val="16"/>
                <w:szCs w:val="16"/>
                <w:color w:val="auto"/>
                <w:w w:val="74"/>
              </w:rPr>
              <w:t>)</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219,087.0</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20" w:type="dxa"/>
            <w:vAlign w:val="bottom"/>
            <w:gridSpan w:val="2"/>
          </w:tcPr>
          <w:p>
            <w:pPr>
              <w:jc w:val="right"/>
              <w:ind w:right="30"/>
              <w:spacing w:after="0"/>
              <w:rPr>
                <w:sz w:val="20"/>
                <w:szCs w:val="20"/>
                <w:color w:val="auto"/>
              </w:rPr>
            </w:pPr>
            <w:r>
              <w:rPr>
                <w:rFonts w:ascii="Arial" w:cs="Arial" w:eastAsia="Arial" w:hAnsi="Arial"/>
                <w:sz w:val="18"/>
                <w:szCs w:val="18"/>
                <w:color w:val="auto"/>
                <w:w w:val="89"/>
              </w:rPr>
              <w:t>79</w:t>
            </w:r>
          </w:p>
        </w:tc>
        <w:tc>
          <w:tcPr>
            <w:tcW w:w="1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394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3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nine months ended September 30, 2015</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tcPr>
          <w:p>
            <w:pPr>
              <w:jc w:val="center"/>
              <w:ind w:right="159"/>
              <w:spacing w:after="0"/>
              <w:rPr>
                <w:sz w:val="20"/>
                <w:szCs w:val="20"/>
                <w:color w:val="auto"/>
              </w:rPr>
            </w:pPr>
            <w:r>
              <w:rPr>
                <w:rFonts w:ascii="Arial" w:cs="Arial" w:eastAsia="Arial" w:hAnsi="Arial"/>
                <w:sz w:val="14"/>
                <w:szCs w:val="14"/>
                <w:b w:val="1"/>
                <w:bCs w:val="1"/>
                <w:color w:val="auto"/>
                <w:w w:val="97"/>
              </w:rPr>
              <w:t>Principal</w:t>
            </w:r>
          </w:p>
        </w:tc>
        <w:tc>
          <w:tcPr>
            <w:tcW w:w="200" w:type="dxa"/>
            <w:vAlign w:val="bottom"/>
          </w:tcPr>
          <w:p>
            <w:pPr>
              <w:spacing w:after="0"/>
              <w:rPr>
                <w:sz w:val="14"/>
                <w:szCs w:val="14"/>
                <w:color w:val="auto"/>
              </w:rPr>
            </w:pPr>
          </w:p>
        </w:tc>
        <w:tc>
          <w:tcPr>
            <w:tcW w:w="1100" w:type="dxa"/>
            <w:vAlign w:val="bottom"/>
          </w:tcPr>
          <w:p>
            <w:pPr>
              <w:jc w:val="center"/>
              <w:ind w:right="119"/>
              <w:spacing w:after="0"/>
              <w:rPr>
                <w:sz w:val="20"/>
                <w:szCs w:val="20"/>
                <w:color w:val="auto"/>
              </w:rPr>
            </w:pPr>
            <w:r>
              <w:rPr>
                <w:rFonts w:ascii="Arial" w:cs="Arial" w:eastAsia="Arial" w:hAnsi="Arial"/>
                <w:sz w:val="14"/>
                <w:szCs w:val="14"/>
                <w:b w:val="1"/>
                <w:bCs w:val="1"/>
                <w:color w:val="auto"/>
                <w:w w:val="97"/>
              </w:rPr>
              <w:t>Principal Life</w:t>
            </w:r>
          </w:p>
        </w:tc>
        <w:tc>
          <w:tcPr>
            <w:tcW w:w="240" w:type="dxa"/>
            <w:vAlign w:val="bottom"/>
          </w:tcPr>
          <w:p>
            <w:pPr>
              <w:spacing w:after="0"/>
              <w:rPr>
                <w:sz w:val="14"/>
                <w:szCs w:val="14"/>
                <w:color w:val="auto"/>
              </w:rPr>
            </w:pPr>
          </w:p>
        </w:tc>
        <w:tc>
          <w:tcPr>
            <w:tcW w:w="1500" w:type="dxa"/>
            <w:vAlign w:val="bottom"/>
          </w:tcPr>
          <w:p>
            <w:pPr>
              <w:jc w:val="center"/>
              <w:ind w:right="200"/>
              <w:spacing w:after="0"/>
              <w:rPr>
                <w:sz w:val="20"/>
                <w:szCs w:val="20"/>
                <w:color w:val="auto"/>
              </w:rPr>
            </w:pPr>
            <w:r>
              <w:rPr>
                <w:rFonts w:ascii="Arial" w:cs="Arial" w:eastAsia="Arial" w:hAnsi="Arial"/>
                <w:sz w:val="14"/>
                <w:szCs w:val="14"/>
                <w:b w:val="1"/>
                <w:bCs w:val="1"/>
                <w:color w:val="auto"/>
                <w:w w:val="95"/>
              </w:rPr>
              <w:t>Principal Financial</w:t>
            </w:r>
          </w:p>
        </w:tc>
        <w:tc>
          <w:tcPr>
            <w:tcW w:w="1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49"/>
        </w:trPr>
        <w:tc>
          <w:tcPr>
            <w:tcW w:w="44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tcPr>
          <w:p>
            <w:pPr>
              <w:jc w:val="center"/>
              <w:ind w:right="159"/>
              <w:spacing w:after="0" w:line="149" w:lineRule="exact"/>
              <w:rPr>
                <w:sz w:val="20"/>
                <w:szCs w:val="20"/>
                <w:color w:val="auto"/>
              </w:rPr>
            </w:pPr>
            <w:r>
              <w:rPr>
                <w:rFonts w:ascii="Arial" w:cs="Arial" w:eastAsia="Arial" w:hAnsi="Arial"/>
                <w:sz w:val="14"/>
                <w:szCs w:val="14"/>
                <w:b w:val="1"/>
                <w:bCs w:val="1"/>
                <w:color w:val="auto"/>
                <w:w w:val="95"/>
              </w:rPr>
              <w:t>Financial</w:t>
            </w:r>
          </w:p>
        </w:tc>
        <w:tc>
          <w:tcPr>
            <w:tcW w:w="200" w:type="dxa"/>
            <w:vAlign w:val="bottom"/>
          </w:tcPr>
          <w:p>
            <w:pPr>
              <w:spacing w:after="0"/>
              <w:rPr>
                <w:sz w:val="12"/>
                <w:szCs w:val="12"/>
                <w:color w:val="auto"/>
              </w:rPr>
            </w:pPr>
          </w:p>
        </w:tc>
        <w:tc>
          <w:tcPr>
            <w:tcW w:w="1100" w:type="dxa"/>
            <w:vAlign w:val="bottom"/>
          </w:tcPr>
          <w:p>
            <w:pPr>
              <w:jc w:val="center"/>
              <w:ind w:right="119"/>
              <w:spacing w:after="0" w:line="149" w:lineRule="exact"/>
              <w:rPr>
                <w:sz w:val="20"/>
                <w:szCs w:val="20"/>
                <w:color w:val="auto"/>
              </w:rPr>
            </w:pPr>
            <w:r>
              <w:rPr>
                <w:rFonts w:ascii="Arial" w:cs="Arial" w:eastAsia="Arial" w:hAnsi="Arial"/>
                <w:sz w:val="14"/>
                <w:szCs w:val="14"/>
                <w:b w:val="1"/>
                <w:bCs w:val="1"/>
                <w:color w:val="auto"/>
                <w:w w:val="93"/>
              </w:rPr>
              <w:t>Insurance</w:t>
            </w:r>
          </w:p>
        </w:tc>
        <w:tc>
          <w:tcPr>
            <w:tcW w:w="240" w:type="dxa"/>
            <w:vAlign w:val="bottom"/>
          </w:tcPr>
          <w:p>
            <w:pPr>
              <w:spacing w:after="0"/>
              <w:rPr>
                <w:sz w:val="12"/>
                <w:szCs w:val="12"/>
                <w:color w:val="auto"/>
              </w:rPr>
            </w:pPr>
          </w:p>
        </w:tc>
        <w:tc>
          <w:tcPr>
            <w:tcW w:w="1500" w:type="dxa"/>
            <w:vAlign w:val="bottom"/>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Services, Inc. and</w:t>
            </w: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2"/>
              </w:rPr>
              <w:t>Financial</w:t>
            </w:r>
          </w:p>
        </w:tc>
        <w:tc>
          <w:tcPr>
            <w:tcW w:w="0" w:type="dxa"/>
            <w:vAlign w:val="bottom"/>
          </w:tcPr>
          <w:p>
            <w:pPr>
              <w:spacing w:after="0"/>
              <w:rPr>
                <w:sz w:val="1"/>
                <w:szCs w:val="1"/>
                <w:color w:val="auto"/>
              </w:rPr>
            </w:pPr>
          </w:p>
        </w:tc>
      </w:tr>
      <w:tr>
        <w:trPr>
          <w:trHeight w:val="149"/>
        </w:trPr>
        <w:tc>
          <w:tcPr>
            <w:tcW w:w="44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tcPr>
          <w:p>
            <w:pPr>
              <w:jc w:val="center"/>
              <w:ind w:right="159"/>
              <w:spacing w:after="0" w:line="149" w:lineRule="exact"/>
              <w:rPr>
                <w:sz w:val="20"/>
                <w:szCs w:val="20"/>
                <w:color w:val="auto"/>
              </w:rPr>
            </w:pPr>
            <w:r>
              <w:rPr>
                <w:rFonts w:ascii="Arial" w:cs="Arial" w:eastAsia="Arial" w:hAnsi="Arial"/>
                <w:sz w:val="14"/>
                <w:szCs w:val="14"/>
                <w:b w:val="1"/>
                <w:bCs w:val="1"/>
                <w:color w:val="auto"/>
                <w:w w:val="94"/>
              </w:rPr>
              <w:t>Group, Inc.</w:t>
            </w:r>
          </w:p>
        </w:tc>
        <w:tc>
          <w:tcPr>
            <w:tcW w:w="200" w:type="dxa"/>
            <w:vAlign w:val="bottom"/>
          </w:tcPr>
          <w:p>
            <w:pPr>
              <w:spacing w:after="0"/>
              <w:rPr>
                <w:sz w:val="12"/>
                <w:szCs w:val="12"/>
                <w:color w:val="auto"/>
              </w:rPr>
            </w:pPr>
          </w:p>
        </w:tc>
        <w:tc>
          <w:tcPr>
            <w:tcW w:w="1100" w:type="dxa"/>
            <w:vAlign w:val="bottom"/>
          </w:tcPr>
          <w:p>
            <w:pPr>
              <w:jc w:val="center"/>
              <w:ind w:right="139"/>
              <w:spacing w:after="0" w:line="149" w:lineRule="exact"/>
              <w:rPr>
                <w:sz w:val="20"/>
                <w:szCs w:val="20"/>
                <w:color w:val="auto"/>
              </w:rPr>
            </w:pPr>
            <w:r>
              <w:rPr>
                <w:rFonts w:ascii="Arial" w:cs="Arial" w:eastAsia="Arial" w:hAnsi="Arial"/>
                <w:sz w:val="14"/>
                <w:szCs w:val="14"/>
                <w:b w:val="1"/>
                <w:bCs w:val="1"/>
                <w:color w:val="auto"/>
                <w:w w:val="93"/>
              </w:rPr>
              <w:t>Company</w:t>
            </w:r>
          </w:p>
        </w:tc>
        <w:tc>
          <w:tcPr>
            <w:tcW w:w="240" w:type="dxa"/>
            <w:vAlign w:val="bottom"/>
          </w:tcPr>
          <w:p>
            <w:pPr>
              <w:spacing w:after="0"/>
              <w:rPr>
                <w:sz w:val="12"/>
                <w:szCs w:val="12"/>
                <w:color w:val="auto"/>
              </w:rPr>
            </w:pPr>
          </w:p>
        </w:tc>
        <w:tc>
          <w:tcPr>
            <w:tcW w:w="1500" w:type="dxa"/>
            <w:vAlign w:val="bottom"/>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Other Subsidiaries</w:t>
            </w:r>
          </w:p>
        </w:tc>
        <w:tc>
          <w:tcPr>
            <w:tcW w:w="160" w:type="dxa"/>
            <w:vAlign w:val="bottom"/>
          </w:tcPr>
          <w:p>
            <w:pPr>
              <w:spacing w:after="0"/>
              <w:rPr>
                <w:sz w:val="12"/>
                <w:szCs w:val="12"/>
                <w:color w:val="auto"/>
              </w:rPr>
            </w:pPr>
          </w:p>
        </w:tc>
        <w:tc>
          <w:tcPr>
            <w:tcW w:w="1200" w:type="dxa"/>
            <w:vAlign w:val="bottom"/>
            <w:vMerge w:val="restart"/>
          </w:tcPr>
          <w:p>
            <w:pPr>
              <w:jc w:val="right"/>
              <w:ind w:right="314"/>
              <w:spacing w:after="0"/>
              <w:rPr>
                <w:sz w:val="20"/>
                <w:szCs w:val="20"/>
                <w:color w:val="auto"/>
              </w:rPr>
            </w:pPr>
            <w:r>
              <w:rPr>
                <w:rFonts w:ascii="Arial" w:cs="Arial" w:eastAsia="Arial" w:hAnsi="Arial"/>
                <w:sz w:val="14"/>
                <w:szCs w:val="14"/>
                <w:b w:val="1"/>
                <w:bCs w:val="1"/>
                <w:color w:val="auto"/>
                <w:w w:val="93"/>
              </w:rPr>
              <w:t>Eliminations</w:t>
            </w:r>
          </w:p>
        </w:tc>
        <w:tc>
          <w:tcPr>
            <w:tcW w:w="10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71"/>
        </w:trPr>
        <w:tc>
          <w:tcPr>
            <w:tcW w:w="44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tcPr>
          <w:p>
            <w:pPr>
              <w:jc w:val="center"/>
              <w:ind w:right="159"/>
              <w:spacing w:after="0"/>
              <w:rPr>
                <w:sz w:val="20"/>
                <w:szCs w:val="20"/>
                <w:color w:val="auto"/>
              </w:rPr>
            </w:pPr>
            <w:r>
              <w:rPr>
                <w:rFonts w:ascii="Arial" w:cs="Arial" w:eastAsia="Arial" w:hAnsi="Arial"/>
                <w:sz w:val="14"/>
                <w:szCs w:val="14"/>
                <w:b w:val="1"/>
                <w:bCs w:val="1"/>
                <w:color w:val="auto"/>
                <w:w w:val="94"/>
              </w:rPr>
              <w:t>Parent Only</w:t>
            </w:r>
          </w:p>
        </w:tc>
        <w:tc>
          <w:tcPr>
            <w:tcW w:w="200" w:type="dxa"/>
            <w:vAlign w:val="bottom"/>
          </w:tcPr>
          <w:p>
            <w:pPr>
              <w:spacing w:after="0"/>
              <w:rPr>
                <w:sz w:val="14"/>
                <w:szCs w:val="14"/>
                <w:color w:val="auto"/>
              </w:rPr>
            </w:pPr>
          </w:p>
        </w:tc>
        <w:tc>
          <w:tcPr>
            <w:tcW w:w="1100" w:type="dxa"/>
            <w:vAlign w:val="bottom"/>
          </w:tcPr>
          <w:p>
            <w:pPr>
              <w:jc w:val="center"/>
              <w:ind w:right="119"/>
              <w:spacing w:after="0"/>
              <w:rPr>
                <w:sz w:val="20"/>
                <w:szCs w:val="20"/>
                <w:color w:val="auto"/>
              </w:rPr>
            </w:pPr>
            <w:r>
              <w:rPr>
                <w:rFonts w:ascii="Arial" w:cs="Arial" w:eastAsia="Arial" w:hAnsi="Arial"/>
                <w:sz w:val="14"/>
                <w:szCs w:val="14"/>
                <w:b w:val="1"/>
                <w:bCs w:val="1"/>
                <w:color w:val="auto"/>
                <w:w w:val="96"/>
              </w:rPr>
              <w:t>Only</w:t>
            </w:r>
          </w:p>
        </w:tc>
        <w:tc>
          <w:tcPr>
            <w:tcW w:w="240" w:type="dxa"/>
            <w:vAlign w:val="bottom"/>
          </w:tcPr>
          <w:p>
            <w:pPr>
              <w:spacing w:after="0"/>
              <w:rPr>
                <w:sz w:val="14"/>
                <w:szCs w:val="14"/>
                <w:color w:val="auto"/>
              </w:rPr>
            </w:pPr>
          </w:p>
        </w:tc>
        <w:tc>
          <w:tcPr>
            <w:tcW w:w="1500" w:type="dxa"/>
            <w:vAlign w:val="bottom"/>
          </w:tcPr>
          <w:p>
            <w:pPr>
              <w:jc w:val="center"/>
              <w:ind w:right="180"/>
              <w:spacing w:after="0"/>
              <w:rPr>
                <w:sz w:val="20"/>
                <w:szCs w:val="20"/>
                <w:color w:val="auto"/>
              </w:rPr>
            </w:pPr>
            <w:r>
              <w:rPr>
                <w:rFonts w:ascii="Arial" w:cs="Arial" w:eastAsia="Arial" w:hAnsi="Arial"/>
                <w:sz w:val="14"/>
                <w:szCs w:val="14"/>
                <w:b w:val="1"/>
                <w:bCs w:val="1"/>
                <w:color w:val="auto"/>
                <w:w w:val="93"/>
              </w:rPr>
              <w:t>Combined</w:t>
            </w:r>
          </w:p>
        </w:tc>
        <w:tc>
          <w:tcPr>
            <w:tcW w:w="160" w:type="dxa"/>
            <w:vAlign w:val="bottom"/>
          </w:tcPr>
          <w:p>
            <w:pPr>
              <w:spacing w:after="0"/>
              <w:rPr>
                <w:sz w:val="14"/>
                <w:szCs w:val="14"/>
                <w:color w:val="auto"/>
              </w:rPr>
            </w:pPr>
          </w:p>
        </w:tc>
        <w:tc>
          <w:tcPr>
            <w:tcW w:w="1200" w:type="dxa"/>
            <w:vAlign w:val="bottom"/>
            <w:vMerge w:val="continue"/>
          </w:tcPr>
          <w:p>
            <w:pPr>
              <w:spacing w:after="0"/>
              <w:rPr>
                <w:sz w:val="14"/>
                <w:szCs w:val="14"/>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42"/>
        </w:trPr>
        <w:tc>
          <w:tcPr>
            <w:tcW w:w="44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10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500" w:type="dxa"/>
            <w:vAlign w:val="bottom"/>
            <w:tcBorders>
              <w:top w:val="single" w:sz="8" w:color="auto"/>
            </w:tcBorders>
          </w:tcPr>
          <w:p>
            <w:pPr>
              <w:jc w:val="right"/>
              <w:ind w:right="520"/>
              <w:spacing w:after="0" w:line="142" w:lineRule="exact"/>
              <w:rPr>
                <w:sz w:val="20"/>
                <w:szCs w:val="20"/>
                <w:color w:val="auto"/>
              </w:rPr>
            </w:pPr>
            <w:r>
              <w:rPr>
                <w:rFonts w:ascii="Arial" w:cs="Arial" w:eastAsia="Arial" w:hAnsi="Arial"/>
                <w:sz w:val="14"/>
                <w:szCs w:val="14"/>
                <w:b w:val="1"/>
                <w:bCs w:val="1"/>
                <w:color w:val="auto"/>
              </w:rPr>
              <w:t>(in millions)</w:t>
            </w:r>
          </w:p>
        </w:tc>
        <w:tc>
          <w:tcPr>
            <w:tcW w:w="16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4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4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w:t>
            </w:r>
          </w:p>
        </w:tc>
        <w:tc>
          <w:tcPr>
            <w:tcW w:w="1060" w:type="dxa"/>
            <w:vAlign w:val="bottom"/>
          </w:tcPr>
          <w:p>
            <w:pPr>
              <w:jc w:val="right"/>
              <w:ind w:right="39"/>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100" w:type="dxa"/>
            <w:vAlign w:val="bottom"/>
          </w:tcPr>
          <w:p>
            <w:pPr>
              <w:jc w:val="right"/>
              <w:ind w:right="39"/>
              <w:spacing w:after="0"/>
              <w:rPr>
                <w:sz w:val="20"/>
                <w:szCs w:val="20"/>
                <w:color w:val="auto"/>
              </w:rPr>
            </w:pPr>
            <w:r>
              <w:rPr>
                <w:rFonts w:ascii="Arial" w:cs="Arial" w:eastAsia="Arial" w:hAnsi="Arial"/>
                <w:sz w:val="18"/>
                <w:szCs w:val="18"/>
                <w:b w:val="1"/>
                <w:bCs w:val="1"/>
                <w:color w:val="auto"/>
              </w:rPr>
              <w:t>3,885.3</w:t>
            </w:r>
          </w:p>
        </w:tc>
        <w:tc>
          <w:tcPr>
            <w:tcW w:w="2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500" w:type="dxa"/>
            <w:vAlign w:val="bottom"/>
          </w:tcPr>
          <w:p>
            <w:pPr>
              <w:jc w:val="right"/>
              <w:ind w:right="40"/>
              <w:spacing w:after="0"/>
              <w:rPr>
                <w:sz w:val="20"/>
                <w:szCs w:val="20"/>
                <w:color w:val="auto"/>
              </w:rPr>
            </w:pPr>
            <w:r>
              <w:rPr>
                <w:rFonts w:ascii="Arial" w:cs="Arial" w:eastAsia="Arial" w:hAnsi="Arial"/>
                <w:sz w:val="18"/>
                <w:szCs w:val="18"/>
                <w:b w:val="1"/>
                <w:bCs w:val="1"/>
                <w:color w:val="auto"/>
              </w:rPr>
              <w:t>270.6</w:t>
            </w: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  $</w:t>
            </w: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4,155.9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39"/>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39"/>
              <w:spacing w:after="0"/>
              <w:rPr>
                <w:sz w:val="20"/>
                <w:szCs w:val="20"/>
                <w:color w:val="auto"/>
              </w:rPr>
            </w:pPr>
            <w:r>
              <w:rPr>
                <w:rFonts w:ascii="Arial" w:cs="Arial" w:eastAsia="Arial" w:hAnsi="Arial"/>
                <w:sz w:val="18"/>
                <w:szCs w:val="18"/>
                <w:b w:val="1"/>
                <w:bCs w:val="1"/>
                <w:color w:val="auto"/>
              </w:rPr>
              <w:t>1,522.0</w:t>
            </w:r>
          </w:p>
        </w:tc>
        <w:tc>
          <w:tcPr>
            <w:tcW w:w="24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1,523.9</w:t>
            </w: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74"/>
              <w:spacing w:after="0"/>
              <w:rPr>
                <w:sz w:val="20"/>
                <w:szCs w:val="20"/>
                <w:color w:val="auto"/>
              </w:rPr>
            </w:pPr>
            <w:r>
              <w:rPr>
                <w:rFonts w:ascii="Arial" w:cs="Arial" w:eastAsia="Arial" w:hAnsi="Arial"/>
                <w:sz w:val="18"/>
                <w:szCs w:val="18"/>
                <w:b w:val="1"/>
                <w:bCs w:val="1"/>
                <w:color w:val="auto"/>
              </w:rPr>
              <w:t>(301.7)</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2,744.2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40" w:type="dxa"/>
            <w:vAlign w:val="bottom"/>
          </w:tcPr>
          <w:p>
            <w:pPr>
              <w:spacing w:after="0"/>
              <w:rPr>
                <w:sz w:val="20"/>
                <w:szCs w:val="20"/>
                <w:color w:val="auto"/>
              </w:rPr>
            </w:pPr>
            <w:r>
              <w:rPr>
                <w:rFonts w:ascii="Arial" w:cs="Arial" w:eastAsia="Arial" w:hAnsi="Arial"/>
                <w:sz w:val="18"/>
                <w:szCs w:val="18"/>
                <w:color w:val="auto"/>
              </w:rPr>
              <w:t>Net investment income</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ind w:right="39"/>
              <w:spacing w:after="0"/>
              <w:rPr>
                <w:sz w:val="20"/>
                <w:szCs w:val="20"/>
                <w:color w:val="auto"/>
              </w:rPr>
            </w:pPr>
            <w:r>
              <w:rPr>
                <w:rFonts w:ascii="Arial" w:cs="Arial" w:eastAsia="Arial" w:hAnsi="Arial"/>
                <w:sz w:val="18"/>
                <w:szCs w:val="18"/>
                <w:b w:val="1"/>
                <w:bCs w:val="1"/>
                <w:color w:val="auto"/>
              </w:rPr>
              <w:t>1.3</w:t>
            </w:r>
          </w:p>
        </w:tc>
        <w:tc>
          <w:tcPr>
            <w:tcW w:w="200" w:type="dxa"/>
            <w:vAlign w:val="bottom"/>
          </w:tcPr>
          <w:p>
            <w:pPr>
              <w:spacing w:after="0"/>
              <w:rPr>
                <w:sz w:val="18"/>
                <w:szCs w:val="18"/>
                <w:color w:val="auto"/>
              </w:rPr>
            </w:pPr>
          </w:p>
        </w:tc>
        <w:tc>
          <w:tcPr>
            <w:tcW w:w="1100" w:type="dxa"/>
            <w:vAlign w:val="bottom"/>
          </w:tcPr>
          <w:p>
            <w:pPr>
              <w:jc w:val="right"/>
              <w:ind w:right="39"/>
              <w:spacing w:after="0"/>
              <w:rPr>
                <w:sz w:val="20"/>
                <w:szCs w:val="20"/>
                <w:color w:val="auto"/>
              </w:rPr>
            </w:pPr>
            <w:r>
              <w:rPr>
                <w:rFonts w:ascii="Arial" w:cs="Arial" w:eastAsia="Arial" w:hAnsi="Arial"/>
                <w:sz w:val="18"/>
                <w:szCs w:val="18"/>
                <w:b w:val="1"/>
                <w:bCs w:val="1"/>
                <w:color w:val="auto"/>
              </w:rPr>
              <w:t>1,606.8</w:t>
            </w:r>
          </w:p>
        </w:tc>
        <w:tc>
          <w:tcPr>
            <w:tcW w:w="240" w:type="dxa"/>
            <w:vAlign w:val="bottom"/>
          </w:tcPr>
          <w:p>
            <w:pPr>
              <w:spacing w:after="0"/>
              <w:rPr>
                <w:sz w:val="18"/>
                <w:szCs w:val="18"/>
                <w:color w:val="auto"/>
              </w:rPr>
            </w:pPr>
          </w:p>
        </w:tc>
        <w:tc>
          <w:tcPr>
            <w:tcW w:w="1500" w:type="dxa"/>
            <w:vAlign w:val="bottom"/>
          </w:tcPr>
          <w:p>
            <w:pPr>
              <w:jc w:val="right"/>
              <w:ind w:right="40"/>
              <w:spacing w:after="0"/>
              <w:rPr>
                <w:sz w:val="20"/>
                <w:szCs w:val="20"/>
                <w:color w:val="auto"/>
              </w:rPr>
            </w:pPr>
            <w:r>
              <w:rPr>
                <w:rFonts w:ascii="Arial" w:cs="Arial" w:eastAsia="Arial" w:hAnsi="Arial"/>
                <w:sz w:val="18"/>
                <w:szCs w:val="18"/>
                <w:b w:val="1"/>
                <w:bCs w:val="1"/>
                <w:color w:val="auto"/>
              </w:rPr>
              <w:t>1,212.0</w:t>
            </w:r>
          </w:p>
        </w:tc>
        <w:tc>
          <w:tcPr>
            <w:tcW w:w="160" w:type="dxa"/>
            <w:vAlign w:val="bottom"/>
          </w:tcPr>
          <w:p>
            <w:pPr>
              <w:spacing w:after="0"/>
              <w:rPr>
                <w:sz w:val="18"/>
                <w:szCs w:val="18"/>
                <w:color w:val="auto"/>
              </w:rPr>
            </w:pPr>
          </w:p>
        </w:tc>
        <w:tc>
          <w:tcPr>
            <w:tcW w:w="1200" w:type="dxa"/>
            <w:vAlign w:val="bottom"/>
          </w:tcPr>
          <w:p>
            <w:pPr>
              <w:jc w:val="right"/>
              <w:ind w:right="174"/>
              <w:spacing w:after="0"/>
              <w:rPr>
                <w:sz w:val="20"/>
                <w:szCs w:val="20"/>
                <w:color w:val="auto"/>
              </w:rPr>
            </w:pPr>
            <w:r>
              <w:rPr>
                <w:rFonts w:ascii="Arial" w:cs="Arial" w:eastAsia="Arial" w:hAnsi="Arial"/>
                <w:sz w:val="18"/>
                <w:szCs w:val="18"/>
                <w:b w:val="1"/>
                <w:bCs w:val="1"/>
                <w:color w:val="auto"/>
              </w:rPr>
              <w:t>(552.8)</w:t>
            </w: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2,267.3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4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8"/>
              </w:rPr>
              <w:t>Net realized capital gains (losses), excluding impairment</w:t>
            </w:r>
          </w:p>
        </w:tc>
        <w:tc>
          <w:tcPr>
            <w:tcW w:w="3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60" w:type="dxa"/>
            <w:vAlign w:val="bottom"/>
            <w:vMerge w:val="restart"/>
            <w:shd w:val="clear" w:color="auto" w:fill="CCEEFF"/>
          </w:tcPr>
          <w:p>
            <w:pPr>
              <w:jc w:val="right"/>
              <w:ind w:right="39"/>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7"/>
                <w:szCs w:val="17"/>
                <w:color w:val="auto"/>
              </w:rPr>
            </w:pPr>
          </w:p>
        </w:tc>
        <w:tc>
          <w:tcPr>
            <w:tcW w:w="1100" w:type="dxa"/>
            <w:vAlign w:val="bottom"/>
            <w:vMerge w:val="restart"/>
            <w:shd w:val="clear" w:color="auto" w:fill="CCEEFF"/>
          </w:tcPr>
          <w:p>
            <w:pPr>
              <w:jc w:val="right"/>
              <w:ind w:right="39"/>
              <w:spacing w:after="0"/>
              <w:rPr>
                <w:sz w:val="20"/>
                <w:szCs w:val="20"/>
                <w:color w:val="auto"/>
              </w:rPr>
            </w:pPr>
            <w:r>
              <w:rPr>
                <w:rFonts w:ascii="Arial" w:cs="Arial" w:eastAsia="Arial" w:hAnsi="Arial"/>
                <w:sz w:val="18"/>
                <w:szCs w:val="18"/>
                <w:b w:val="1"/>
                <w:bCs w:val="1"/>
                <w:color w:val="auto"/>
              </w:rPr>
              <w:t>50.4</w:t>
            </w:r>
          </w:p>
        </w:tc>
        <w:tc>
          <w:tcPr>
            <w:tcW w:w="240" w:type="dxa"/>
            <w:vAlign w:val="bottom"/>
            <w:shd w:val="clear" w:color="auto" w:fill="CCEEFF"/>
          </w:tcPr>
          <w:p>
            <w:pPr>
              <w:spacing w:after="0"/>
              <w:rPr>
                <w:sz w:val="17"/>
                <w:szCs w:val="17"/>
                <w:color w:val="auto"/>
              </w:rPr>
            </w:pPr>
          </w:p>
        </w:tc>
        <w:tc>
          <w:tcPr>
            <w:tcW w:w="15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(39.3)</w:t>
            </w:r>
          </w:p>
        </w:tc>
        <w:tc>
          <w:tcPr>
            <w:tcW w:w="160" w:type="dxa"/>
            <w:vAlign w:val="bottom"/>
            <w:shd w:val="clear" w:color="auto" w:fill="CCEEFF"/>
          </w:tcPr>
          <w:p>
            <w:pPr>
              <w:spacing w:after="0"/>
              <w:rPr>
                <w:sz w:val="17"/>
                <w:szCs w:val="17"/>
                <w:color w:val="auto"/>
              </w:rPr>
            </w:pPr>
          </w:p>
        </w:tc>
        <w:tc>
          <w:tcPr>
            <w:tcW w:w="1200" w:type="dxa"/>
            <w:vAlign w:val="bottom"/>
            <w:vMerge w:val="restart"/>
            <w:shd w:val="clear" w:color="auto" w:fill="CCEEFF"/>
          </w:tcPr>
          <w:p>
            <w:pPr>
              <w:jc w:val="right"/>
              <w:ind w:right="234"/>
              <w:spacing w:after="0"/>
              <w:rPr>
                <w:sz w:val="20"/>
                <w:szCs w:val="20"/>
                <w:color w:val="auto"/>
              </w:rPr>
            </w:pPr>
            <w:r>
              <w:rPr>
                <w:rFonts w:ascii="Arial" w:cs="Arial" w:eastAsia="Arial" w:hAnsi="Arial"/>
                <w:sz w:val="18"/>
                <w:szCs w:val="18"/>
                <w:b w:val="1"/>
                <w:bCs w:val="1"/>
                <w:color w:val="auto"/>
              </w:rPr>
              <w:t>—</w:t>
            </w:r>
          </w:p>
        </w:tc>
        <w:tc>
          <w:tcPr>
            <w:tcW w:w="104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11.1</w:t>
            </w:r>
          </w:p>
        </w:tc>
        <w:tc>
          <w:tcPr>
            <w:tcW w:w="0" w:type="dxa"/>
            <w:vAlign w:val="bottom"/>
          </w:tcPr>
          <w:p>
            <w:pPr>
              <w:spacing w:after="0"/>
              <w:rPr>
                <w:sz w:val="1"/>
                <w:szCs w:val="1"/>
                <w:color w:val="auto"/>
              </w:rPr>
            </w:pPr>
          </w:p>
        </w:tc>
      </w:tr>
      <w:tr>
        <w:trPr>
          <w:trHeight w:val="230"/>
        </w:trPr>
        <w:tc>
          <w:tcPr>
            <w:tcW w:w="4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losses on available-for-sale securities</w:t>
            </w:r>
          </w:p>
        </w:tc>
        <w:tc>
          <w:tcPr>
            <w:tcW w:w="3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6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100" w:type="dxa"/>
            <w:vAlign w:val="bottom"/>
            <w:vMerge w:val="continue"/>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500" w:type="dxa"/>
            <w:vAlign w:val="bottom"/>
            <w:vMerge w:val="continue"/>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00" w:type="dxa"/>
            <w:vAlign w:val="bottom"/>
            <w:vMerge w:val="continue"/>
            <w:shd w:val="clear" w:color="auto" w:fill="CCEEFF"/>
          </w:tcPr>
          <w:p>
            <w:pPr>
              <w:spacing w:after="0"/>
              <w:rPr>
                <w:sz w:val="20"/>
                <w:szCs w:val="20"/>
                <w:color w:val="auto"/>
              </w:rPr>
            </w:pPr>
          </w:p>
        </w:tc>
        <w:tc>
          <w:tcPr>
            <w:tcW w:w="1040" w:type="dxa"/>
            <w:vAlign w:val="bottom"/>
            <w:gridSpan w:val="2"/>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40" w:top="121" w:right="199" w:bottom="0" w:gutter="0" w:footer="0" w:header="0"/>
        </w:sectPr>
      </w:pPr>
    </w:p>
    <w:bookmarkStart w:id="56" w:name="page57"/>
    <w:bookmarkEnd w:id="56"/>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4500" w:type="dxa"/>
            <w:vAlign w:val="bottom"/>
            <w:gridSpan w:val="3"/>
          </w:tcPr>
          <w:p>
            <w:pPr>
              <w:spacing w:after="0"/>
              <w:rPr>
                <w:sz w:val="20"/>
                <w:szCs w:val="20"/>
                <w:color w:val="auto"/>
              </w:rPr>
            </w:pPr>
            <w:r>
              <w:rPr>
                <w:rFonts w:ascii="Arial" w:cs="Arial" w:eastAsia="Arial" w:hAnsi="Arial"/>
                <w:sz w:val="18"/>
                <w:szCs w:val="18"/>
                <w:color w:val="auto"/>
                <w:w w:val="91"/>
              </w:rPr>
              <w:t>Net other-than-temporary impairment recoveries on available-</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6.9</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gridSpan w:val="3"/>
          </w:tcPr>
          <w:p>
            <w:pPr>
              <w:jc w:val="right"/>
              <w:ind w:right="3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3"/>
          </w:tcPr>
          <w:p>
            <w:pPr>
              <w:jc w:val="right"/>
              <w:ind w:right="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6.9</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80" w:type="dxa"/>
            <w:vAlign w:val="bottom"/>
            <w:gridSpan w:val="2"/>
          </w:tcPr>
          <w:p>
            <w:pPr>
              <w:ind w:left="160"/>
              <w:spacing w:after="0"/>
              <w:rPr>
                <w:sz w:val="20"/>
                <w:szCs w:val="20"/>
                <w:color w:val="auto"/>
              </w:rPr>
            </w:pPr>
            <w:r>
              <w:rPr>
                <w:rFonts w:ascii="Arial" w:cs="Arial" w:eastAsia="Arial" w:hAnsi="Arial"/>
                <w:sz w:val="18"/>
                <w:szCs w:val="18"/>
                <w:color w:val="auto"/>
              </w:rPr>
              <w:t>for-sale securities</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4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3"/>
              </w:rPr>
              <w:t>Other-than-temporary impairment losses on fixed maturities,</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tcBorders>
              <w:lef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10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tcBorders>
              <w:lef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6"/>
              </w:rPr>
              <w:t>available-for-sale reclassified from other comprehensive</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vMerge w:val="restart"/>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3"/>
            <w:vMerge w:val="restart"/>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(27.9)</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3"/>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income</w:t>
            </w: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gridSpan w:val="3"/>
            <w:vMerge w:val="continue"/>
            <w:shd w:val="clear" w:color="auto" w:fill="CCEEFF"/>
          </w:tcPr>
          <w:p>
            <w:pPr>
              <w:spacing w:after="0"/>
              <w:rPr>
                <w:sz w:val="20"/>
                <w:szCs w:val="20"/>
                <w:color w:val="auto"/>
              </w:rPr>
            </w:pPr>
          </w:p>
        </w:tc>
        <w:tc>
          <w:tcPr>
            <w:tcW w:w="16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60" w:type="dxa"/>
            <w:vAlign w:val="bottom"/>
            <w:gridSpan w:val="3"/>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460" w:type="dxa"/>
            <w:vAlign w:val="bottom"/>
            <w:gridSpan w:val="3"/>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80" w:type="dxa"/>
            <w:vAlign w:val="bottom"/>
            <w:tcBorders>
              <w:right w:val="single" w:sz="8" w:color="CCEEFF"/>
            </w:tcBorders>
            <w:gridSpan w:val="3"/>
            <w:vMerge w:val="continue"/>
            <w:shd w:val="clear" w:color="auto" w:fill="CCEEFF"/>
          </w:tcPr>
          <w:p>
            <w:pPr>
              <w:spacing w:after="0"/>
              <w:rPr>
                <w:sz w:val="20"/>
                <w:szCs w:val="20"/>
                <w:color w:val="auto"/>
              </w:rPr>
            </w:pPr>
          </w:p>
        </w:tc>
        <w:tc>
          <w:tcPr>
            <w:tcW w:w="10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tcPr>
          <w:p>
            <w:pPr>
              <w:spacing w:after="0"/>
              <w:rPr>
                <w:sz w:val="20"/>
                <w:szCs w:val="20"/>
                <w:color w:val="auto"/>
              </w:rPr>
            </w:pPr>
            <w:r>
              <w:rPr>
                <w:rFonts w:ascii="Arial" w:cs="Arial" w:eastAsia="Arial" w:hAnsi="Arial"/>
                <w:sz w:val="18"/>
                <w:szCs w:val="18"/>
                <w:color w:val="auto"/>
              </w:rPr>
              <w:t>Net impairment losses on available-for-sale securities</w:t>
            </w: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6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b w:val="1"/>
                <w:bCs w:val="1"/>
                <w:color w:val="auto"/>
              </w:rPr>
              <w:t>(21.0)</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3"/>
          </w:tcPr>
          <w:p>
            <w:pPr>
              <w:jc w:val="right"/>
              <w:spacing w:after="0"/>
              <w:rPr>
                <w:sz w:val="20"/>
                <w:szCs w:val="20"/>
                <w:color w:val="auto"/>
              </w:rPr>
            </w:pPr>
            <w:r>
              <w:rPr>
                <w:rFonts w:ascii="Arial" w:cs="Arial" w:eastAsia="Arial" w:hAnsi="Arial"/>
                <w:sz w:val="18"/>
                <w:szCs w:val="18"/>
                <w:b w:val="1"/>
                <w:bCs w:val="1"/>
                <w:color w:val="auto"/>
              </w:rPr>
              <w:t>(0.1)</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(21.1)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shd w:val="clear" w:color="auto" w:fill="CCEEFF"/>
          </w:tcPr>
          <w:p>
            <w:pPr>
              <w:spacing w:after="0"/>
              <w:rPr>
                <w:sz w:val="20"/>
                <w:szCs w:val="20"/>
                <w:color w:val="auto"/>
              </w:rPr>
            </w:pPr>
            <w:r>
              <w:rPr>
                <w:rFonts w:ascii="Arial" w:cs="Arial" w:eastAsia="Arial" w:hAnsi="Arial"/>
                <w:sz w:val="18"/>
                <w:szCs w:val="18"/>
                <w:color w:val="auto"/>
              </w:rPr>
              <w:t>Net realized capital gains (losses)</w:t>
            </w: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vMerge w:val="restart"/>
            <w:shd w:val="clear" w:color="auto" w:fill="CCEEFF"/>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vMerge w:val="restart"/>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60" w:type="dxa"/>
            <w:vAlign w:val="bottom"/>
            <w:vMerge w:val="continue"/>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29.4</w:t>
            </w:r>
          </w:p>
        </w:tc>
        <w:tc>
          <w:tcPr>
            <w:tcW w:w="8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(39.4)</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20" w:type="dxa"/>
            <w:vAlign w:val="bottom"/>
            <w:tcBorders>
              <w:right w:val="single" w:sz="8" w:color="CCEEFF"/>
            </w:tcBorders>
            <w:vMerge w:val="continue"/>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tcPr>
          <w:p>
            <w:pPr>
              <w:ind w:left="180"/>
              <w:spacing w:after="0"/>
              <w:rPr>
                <w:sz w:val="20"/>
                <w:szCs w:val="20"/>
                <w:color w:val="auto"/>
              </w:rPr>
            </w:pPr>
            <w:r>
              <w:rPr>
                <w:rFonts w:ascii="Arial" w:cs="Arial" w:eastAsia="Arial" w:hAnsi="Arial"/>
                <w:sz w:val="18"/>
                <w:szCs w:val="18"/>
                <w:color w:val="auto"/>
              </w:rPr>
              <w:t>Total revenues</w:t>
            </w: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1.3</w:t>
            </w:r>
          </w:p>
        </w:tc>
        <w:tc>
          <w:tcPr>
            <w:tcW w:w="6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7,043.5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b w:val="1"/>
                <w:bCs w:val="1"/>
                <w:color w:val="auto"/>
              </w:rPr>
              <w:t>2,967.1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b w:val="1"/>
                <w:bCs w:val="1"/>
                <w:color w:val="auto"/>
              </w:rPr>
              <w:t>(854.5)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9,157.4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Benefits, claims and settlement expenses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3"/>
          </w:tcPr>
          <w:p>
            <w:pPr>
              <w:jc w:val="right"/>
              <w:ind w:right="6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4,685.3</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3"/>
          </w:tcPr>
          <w:p>
            <w:pPr>
              <w:jc w:val="right"/>
              <w:ind w:right="30"/>
              <w:spacing w:after="0"/>
              <w:rPr>
                <w:sz w:val="20"/>
                <w:szCs w:val="20"/>
                <w:color w:val="auto"/>
              </w:rPr>
            </w:pPr>
            <w:r>
              <w:rPr>
                <w:rFonts w:ascii="Arial" w:cs="Arial" w:eastAsia="Arial" w:hAnsi="Arial"/>
                <w:sz w:val="18"/>
                <w:szCs w:val="18"/>
                <w:b w:val="1"/>
                <w:bCs w:val="1"/>
                <w:color w:val="auto"/>
              </w:rPr>
              <w:t>483.8</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b w:val="1"/>
                <w:bCs w:val="1"/>
                <w:color w:val="auto"/>
              </w:rPr>
              <w:t>(8.6)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5,160.5</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123.5</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3"/>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123.5</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Operating expenses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3"/>
          </w:tcPr>
          <w:p>
            <w:pPr>
              <w:jc w:val="right"/>
              <w:ind w:right="60"/>
              <w:spacing w:after="0"/>
              <w:rPr>
                <w:sz w:val="20"/>
                <w:szCs w:val="20"/>
                <w:color w:val="auto"/>
              </w:rPr>
            </w:pPr>
            <w:r>
              <w:rPr>
                <w:rFonts w:ascii="Arial" w:cs="Arial" w:eastAsia="Arial" w:hAnsi="Arial"/>
                <w:sz w:val="18"/>
                <w:szCs w:val="18"/>
                <w:b w:val="1"/>
                <w:bCs w:val="1"/>
                <w:color w:val="auto"/>
              </w:rPr>
              <w:t>128.5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1,658.7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b w:val="1"/>
                <w:bCs w:val="1"/>
                <w:color w:val="auto"/>
              </w:rPr>
              <w:t>1,216.9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b w:val="1"/>
                <w:bCs w:val="1"/>
                <w:color w:val="auto"/>
              </w:rPr>
              <w:t>(252.5)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2,751.6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shd w:val="clear" w:color="auto" w:fill="CCEEFF"/>
          </w:tcPr>
          <w:p>
            <w:pPr>
              <w:ind w:left="180"/>
              <w:spacing w:after="0"/>
              <w:rPr>
                <w:sz w:val="20"/>
                <w:szCs w:val="20"/>
                <w:color w:val="auto"/>
              </w:rPr>
            </w:pPr>
            <w:r>
              <w:rPr>
                <w:rFonts w:ascii="Arial" w:cs="Arial" w:eastAsia="Arial" w:hAnsi="Arial"/>
                <w:sz w:val="18"/>
                <w:szCs w:val="18"/>
                <w:color w:val="auto"/>
              </w:rPr>
              <w:t>Total expenses</w:t>
            </w: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vMerge w:val="restart"/>
            <w:shd w:val="clear" w:color="auto" w:fill="CCEEFF"/>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128.5</w:t>
            </w:r>
          </w:p>
        </w:tc>
        <w:tc>
          <w:tcPr>
            <w:tcW w:w="60" w:type="dxa"/>
            <w:vAlign w:val="bottom"/>
            <w:vMerge w:val="continue"/>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6,467.5</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1,700.7</w:t>
            </w: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(261.1)</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8,035.6</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3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(loss) before income taxes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4"/>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(127.2)</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576.0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1,266.4</w:t>
            </w: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(593.4)</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1,121.8</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Income taxes (benefits)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4"/>
          </w:tcPr>
          <w:p>
            <w:pPr>
              <w:jc w:val="right"/>
              <w:ind w:right="70"/>
              <w:spacing w:after="0"/>
              <w:rPr>
                <w:sz w:val="20"/>
                <w:szCs w:val="20"/>
                <w:color w:val="auto"/>
              </w:rPr>
            </w:pPr>
            <w:r>
              <w:rPr>
                <w:rFonts w:ascii="Arial" w:cs="Arial" w:eastAsia="Arial" w:hAnsi="Arial"/>
                <w:sz w:val="18"/>
                <w:szCs w:val="18"/>
                <w:b w:val="1"/>
                <w:bCs w:val="1"/>
                <w:color w:val="auto"/>
              </w:rPr>
              <w:t>(52.5)</w:t>
            </w: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106.0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3"/>
          </w:tcPr>
          <w:p>
            <w:pPr>
              <w:jc w:val="right"/>
              <w:ind w:right="30"/>
              <w:spacing w:after="0"/>
              <w:rPr>
                <w:sz w:val="20"/>
                <w:szCs w:val="20"/>
                <w:color w:val="auto"/>
              </w:rPr>
            </w:pPr>
            <w:r>
              <w:rPr>
                <w:rFonts w:ascii="Arial" w:cs="Arial" w:eastAsia="Arial" w:hAnsi="Arial"/>
                <w:sz w:val="18"/>
                <w:szCs w:val="18"/>
                <w:b w:val="1"/>
                <w:bCs w:val="1"/>
                <w:color w:val="auto"/>
              </w:rPr>
              <w:t>74.4</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b w:val="1"/>
                <w:bCs w:val="1"/>
                <w:color w:val="auto"/>
              </w:rPr>
              <w:t>(1.0)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126.9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in the net income (loss) of subsidiaries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1,055.1</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262.6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(127.5)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(1,190.2)</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tcPr>
          <w:p>
            <w:pPr>
              <w:spacing w:after="0"/>
              <w:rPr>
                <w:sz w:val="20"/>
                <w:szCs w:val="20"/>
                <w:color w:val="auto"/>
              </w:rPr>
            </w:pPr>
            <w:r>
              <w:rPr>
                <w:rFonts w:ascii="Arial" w:cs="Arial" w:eastAsia="Arial" w:hAnsi="Arial"/>
                <w:sz w:val="18"/>
                <w:szCs w:val="18"/>
                <w:color w:val="auto"/>
              </w:rPr>
              <w:t>Net income</w:t>
            </w: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980.4</w:t>
            </w:r>
          </w:p>
        </w:tc>
        <w:tc>
          <w:tcPr>
            <w:tcW w:w="6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732.6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b w:val="1"/>
                <w:bCs w:val="1"/>
                <w:color w:val="auto"/>
              </w:rPr>
              <w:t>1,064.5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b w:val="1"/>
                <w:bCs w:val="1"/>
                <w:color w:val="auto"/>
              </w:rPr>
              <w:t>(1,782.6)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994.9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attributable to noncontrolling interest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3"/>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14.5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tcPr>
          <w:p>
            <w:pPr>
              <w:spacing w:after="0"/>
              <w:rPr>
                <w:sz w:val="20"/>
                <w:szCs w:val="20"/>
                <w:color w:val="auto"/>
              </w:rPr>
            </w:pPr>
            <w:r>
              <w:rPr>
                <w:rFonts w:ascii="Arial" w:cs="Arial" w:eastAsia="Arial" w:hAnsi="Arial"/>
                <w:sz w:val="18"/>
                <w:szCs w:val="18"/>
                <w:color w:val="auto"/>
              </w:rPr>
              <w:t>Net income attributable to PFG</w:t>
            </w: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980.4</w:t>
            </w:r>
          </w:p>
        </w:tc>
        <w:tc>
          <w:tcPr>
            <w:tcW w:w="6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732.6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b w:val="1"/>
                <w:bCs w:val="1"/>
                <w:color w:val="auto"/>
              </w:rPr>
              <w:t>1,050.0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b w:val="1"/>
                <w:bCs w:val="1"/>
                <w:color w:val="auto"/>
              </w:rPr>
              <w:t>(1,782.6)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980.4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Preferred stock dividends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16.5</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3"/>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480" w:type="dxa"/>
            <w:vAlign w:val="bottom"/>
            <w:gridSpan w:val="2"/>
          </w:tcPr>
          <w:p>
            <w:pPr>
              <w:spacing w:after="0" w:line="201" w:lineRule="exact"/>
              <w:rPr>
                <w:sz w:val="20"/>
                <w:szCs w:val="20"/>
                <w:color w:val="auto"/>
              </w:rPr>
            </w:pPr>
            <w:r>
              <w:rPr>
                <w:rFonts w:ascii="Arial" w:cs="Arial" w:eastAsia="Arial" w:hAnsi="Arial"/>
                <w:sz w:val="18"/>
                <w:szCs w:val="18"/>
                <w:color w:val="auto"/>
                <w:w w:val="93"/>
              </w:rPr>
              <w:t>Excess of redemption value over carrying value of preferred</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gridSpan w:val="3"/>
            <w:vMerge w:val="restart"/>
          </w:tcPr>
          <w:p>
            <w:pPr>
              <w:jc w:val="right"/>
              <w:ind w:right="60"/>
              <w:spacing w:after="0"/>
              <w:rPr>
                <w:sz w:val="20"/>
                <w:szCs w:val="20"/>
                <w:color w:val="auto"/>
              </w:rPr>
            </w:pPr>
            <w:r>
              <w:rPr>
                <w:rFonts w:ascii="Arial" w:cs="Arial" w:eastAsia="Arial" w:hAnsi="Arial"/>
                <w:sz w:val="18"/>
                <w:szCs w:val="18"/>
                <w:b w:val="1"/>
                <w:bCs w:val="1"/>
                <w:color w:val="auto"/>
              </w:rPr>
              <w:t>8.2</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gridSpan w:val="3"/>
            <w:vMerge w:val="restart"/>
          </w:tcPr>
          <w:p>
            <w:pPr>
              <w:jc w:val="right"/>
              <w:ind w:right="8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gridSpan w:val="3"/>
            <w:vMerge w:val="restart"/>
          </w:tcPr>
          <w:p>
            <w:pPr>
              <w:jc w:val="right"/>
              <w:ind w:right="3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gridSpan w:val="3"/>
            <w:vMerge w:val="restart"/>
          </w:tcPr>
          <w:p>
            <w:pPr>
              <w:jc w:val="right"/>
              <w:ind w:right="4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8.2</w:t>
            </w: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80" w:type="dxa"/>
            <w:vAlign w:val="bottom"/>
            <w:gridSpan w:val="2"/>
          </w:tcPr>
          <w:p>
            <w:pPr>
              <w:ind w:left="160"/>
              <w:spacing w:after="0"/>
              <w:rPr>
                <w:sz w:val="20"/>
                <w:szCs w:val="20"/>
                <w:color w:val="auto"/>
              </w:rPr>
            </w:pPr>
            <w:r>
              <w:rPr>
                <w:rFonts w:ascii="Arial" w:cs="Arial" w:eastAsia="Arial" w:hAnsi="Arial"/>
                <w:sz w:val="18"/>
                <w:szCs w:val="18"/>
                <w:color w:val="auto"/>
              </w:rPr>
              <w:t>shares redeemed</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gridSpan w:val="3"/>
            <w:vMerge w:val="continue"/>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gridSpan w:val="3"/>
            <w:vMerge w:val="continue"/>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60" w:type="dxa"/>
            <w:vAlign w:val="bottom"/>
            <w:gridSpan w:val="3"/>
            <w:vMerge w:val="continue"/>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gridSpan w:val="3"/>
            <w:vMerge w:val="continue"/>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Net income available to common stockholders</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955.7</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732.6</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13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1,050.0</w:t>
            </w:r>
          </w:p>
        </w:tc>
        <w:tc>
          <w:tcPr>
            <w:tcW w:w="140" w:type="dxa"/>
            <w:vAlign w:val="bottom"/>
            <w:tcBorders>
              <w:top w:val="single" w:sz="8" w:color="CCEEFF"/>
              <w:left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(1,782.6</w:t>
            </w:r>
          </w:p>
        </w:tc>
        <w:tc>
          <w:tcPr>
            <w:tcW w:w="120" w:type="dxa"/>
            <w:vAlign w:val="bottom"/>
            <w:tcBorders>
              <w:top w:val="single" w:sz="8" w:color="CCEEFF"/>
              <w:bottom w:val="single" w:sz="8" w:color="CCEEFF"/>
              <w:right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74"/>
              </w:rPr>
              <w:t>)</w:t>
            </w:r>
          </w:p>
        </w:tc>
        <w:tc>
          <w:tcPr>
            <w:tcW w:w="1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955.7</w:t>
            </w:r>
          </w:p>
        </w:tc>
        <w:tc>
          <w:tcPr>
            <w:tcW w:w="100" w:type="dxa"/>
            <w:vAlign w:val="bottom"/>
            <w:tcBorders>
              <w:top w:val="single" w:sz="8" w:color="CCEEFF"/>
              <w:left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1260" w:type="dxa"/>
            <w:vAlign w:val="bottom"/>
          </w:tcPr>
          <w:p>
            <w:pPr>
              <w:spacing w:after="0"/>
              <w:rPr>
                <w:sz w:val="17"/>
                <w:szCs w:val="17"/>
                <w:color w:val="auto"/>
              </w:rPr>
            </w:pPr>
          </w:p>
        </w:tc>
        <w:tc>
          <w:tcPr>
            <w:tcW w:w="3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380" w:type="dxa"/>
            <w:vAlign w:val="bottom"/>
            <w:gridSpan w:val="3"/>
            <w:shd w:val="clear" w:color="auto" w:fill="CCEEFF"/>
          </w:tcPr>
          <w:p>
            <w:pPr>
              <w:ind w:left="280"/>
              <w:spacing w:after="0"/>
              <w:rPr>
                <w:sz w:val="20"/>
                <w:szCs w:val="20"/>
                <w:color w:val="auto"/>
              </w:rPr>
            </w:pPr>
            <w:r>
              <w:rPr>
                <w:rFonts w:ascii="Arial" w:cs="Arial" w:eastAsia="Arial" w:hAnsi="Arial"/>
                <w:sz w:val="18"/>
                <w:szCs w:val="18"/>
                <w:b w:val="1"/>
                <w:bCs w:val="1"/>
                <w:color w:val="auto"/>
                <w:w w:val="79"/>
              </w:rPr>
              <w:t>$</w:t>
            </w:r>
          </w:p>
        </w:tc>
        <w:tc>
          <w:tcPr>
            <w:tcW w:w="10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980.4</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732.6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1,064.5</w:t>
            </w:r>
          </w:p>
        </w:tc>
        <w:tc>
          <w:tcPr>
            <w:tcW w:w="140" w:type="dxa"/>
            <w:vAlign w:val="bottom"/>
            <w:tcBorders>
              <w:left w:val="single" w:sz="8" w:color="CCEEFF"/>
            </w:tcBorders>
            <w:shd w:val="clear" w:color="auto" w:fill="CCEEFF"/>
          </w:tcPr>
          <w:p>
            <w:pPr>
              <w:spacing w:after="0"/>
              <w:rPr>
                <w:sz w:val="18"/>
                <w:szCs w:val="18"/>
                <w:color w:val="auto"/>
              </w:rPr>
            </w:pPr>
          </w:p>
        </w:tc>
        <w:tc>
          <w:tcPr>
            <w:tcW w:w="28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b w:val="1"/>
                <w:bCs w:val="1"/>
                <w:color w:val="auto"/>
              </w:rPr>
              <w:t>$</w:t>
            </w:r>
          </w:p>
        </w:tc>
        <w:tc>
          <w:tcPr>
            <w:tcW w:w="88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(1,782.6)</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994.9</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Other comprehensive loss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4"/>
          </w:tcPr>
          <w:p>
            <w:pPr>
              <w:jc w:val="right"/>
              <w:ind w:right="70"/>
              <w:spacing w:after="0"/>
              <w:rPr>
                <w:sz w:val="20"/>
                <w:szCs w:val="20"/>
                <w:color w:val="auto"/>
              </w:rPr>
            </w:pPr>
            <w:r>
              <w:rPr>
                <w:rFonts w:ascii="Arial" w:cs="Arial" w:eastAsia="Arial" w:hAnsi="Arial"/>
                <w:sz w:val="18"/>
                <w:szCs w:val="18"/>
                <w:b w:val="1"/>
                <w:bCs w:val="1"/>
                <w:color w:val="auto"/>
              </w:rPr>
              <w:t>(633.8)</w:t>
            </w:r>
          </w:p>
        </w:tc>
        <w:tc>
          <w:tcPr>
            <w:tcW w:w="1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Arial" w:cs="Arial" w:eastAsia="Arial" w:hAnsi="Arial"/>
                <w:sz w:val="18"/>
                <w:szCs w:val="18"/>
                <w:b w:val="1"/>
                <w:bCs w:val="1"/>
                <w:color w:val="auto"/>
              </w:rPr>
              <w:t>(181.1)</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3"/>
          </w:tcPr>
          <w:p>
            <w:pPr>
              <w:jc w:val="right"/>
              <w:spacing w:after="0"/>
              <w:rPr>
                <w:sz w:val="20"/>
                <w:szCs w:val="20"/>
                <w:color w:val="auto"/>
              </w:rPr>
            </w:pPr>
            <w:r>
              <w:rPr>
                <w:rFonts w:ascii="Arial" w:cs="Arial" w:eastAsia="Arial" w:hAnsi="Arial"/>
                <w:sz w:val="18"/>
                <w:szCs w:val="18"/>
                <w:b w:val="1"/>
                <w:bCs w:val="1"/>
                <w:color w:val="auto"/>
              </w:rPr>
              <w:t>(606.7)</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b w:val="1"/>
                <w:bCs w:val="1"/>
                <w:color w:val="auto"/>
              </w:rPr>
              <w:t>838.1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(583.5)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48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346.6</w:t>
            </w: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CCEEFF"/>
              <w:bottom w:val="single" w:sz="8" w:color="CCEEFF"/>
              <w:right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551.5</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13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457.8</w:t>
            </w:r>
          </w:p>
        </w:tc>
        <w:tc>
          <w:tcPr>
            <w:tcW w:w="140" w:type="dxa"/>
            <w:vAlign w:val="bottom"/>
            <w:tcBorders>
              <w:top w:val="single" w:sz="8" w:color="CCEEFF"/>
              <w:left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(944.5</w:t>
            </w:r>
          </w:p>
        </w:tc>
        <w:tc>
          <w:tcPr>
            <w:tcW w:w="120" w:type="dxa"/>
            <w:vAlign w:val="bottom"/>
            <w:tcBorders>
              <w:top w:val="single" w:sz="8" w:color="CCEEFF"/>
              <w:bottom w:val="single" w:sz="8" w:color="CCEEFF"/>
              <w:right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74"/>
              </w:rPr>
              <w:t>)</w:t>
            </w:r>
          </w:p>
        </w:tc>
        <w:tc>
          <w:tcPr>
            <w:tcW w:w="100" w:type="dxa"/>
            <w:vAlign w:val="bottom"/>
            <w:tcBorders>
              <w:top w:val="single" w:sz="8" w:color="CCEEFF"/>
              <w:bottom w:val="single" w:sz="8" w:color="CCEEFF"/>
              <w:right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411.4</w:t>
            </w:r>
          </w:p>
        </w:tc>
        <w:tc>
          <w:tcPr>
            <w:tcW w:w="100" w:type="dxa"/>
            <w:vAlign w:val="bottom"/>
            <w:tcBorders>
              <w:top w:val="single" w:sz="8" w:color="CCEEFF"/>
              <w:left w:val="single" w:sz="8" w:color="CCEEFF"/>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gridSpan w:val="2"/>
          </w:tcPr>
          <w:p>
            <w:pPr>
              <w:jc w:val="center"/>
              <w:ind w:left="591"/>
              <w:spacing w:after="0"/>
              <w:rPr>
                <w:sz w:val="20"/>
                <w:szCs w:val="20"/>
                <w:color w:val="auto"/>
              </w:rPr>
            </w:pPr>
            <w:r>
              <w:rPr>
                <w:rFonts w:ascii="Arial" w:cs="Arial" w:eastAsia="Arial" w:hAnsi="Arial"/>
                <w:sz w:val="18"/>
                <w:szCs w:val="18"/>
                <w:color w:val="auto"/>
                <w:w w:val="89"/>
              </w:rPr>
              <w:t>80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32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7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450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3220" w:type="dxa"/>
            <w:vAlign w:val="bottom"/>
          </w:tcPr>
          <w:p>
            <w:pPr>
              <w:spacing w:after="0"/>
              <w:rPr>
                <w:sz w:val="24"/>
                <w:szCs w:val="24"/>
                <w:color w:val="auto"/>
              </w:rPr>
            </w:pPr>
          </w:p>
        </w:tc>
        <w:tc>
          <w:tcPr>
            <w:tcW w:w="2740" w:type="dxa"/>
            <w:vAlign w:val="bottom"/>
            <w:gridSpan w:val="11"/>
          </w:tcPr>
          <w:p>
            <w:pPr>
              <w:jc w:val="center"/>
              <w:ind w:right="320"/>
              <w:spacing w:after="0"/>
              <w:rPr>
                <w:sz w:val="20"/>
                <w:szCs w:val="20"/>
                <w:color w:val="auto"/>
              </w:rPr>
            </w:pPr>
            <w:r>
              <w:rPr>
                <w:rFonts w:ascii="Arial" w:cs="Arial" w:eastAsia="Arial" w:hAnsi="Arial"/>
                <w:sz w:val="18"/>
                <w:szCs w:val="18"/>
                <w:b w:val="1"/>
                <w:bCs w:val="1"/>
                <w:color w:val="auto"/>
                <w:w w:val="93"/>
              </w:rPr>
              <w:t>Principal Financial Group, Inc.</w:t>
            </w: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100" w:type="dxa"/>
            <w:vAlign w:val="bottom"/>
            <w:gridSpan w:val="13"/>
          </w:tcPr>
          <w:p>
            <w:pPr>
              <w:jc w:val="center"/>
              <w:ind w:left="2670"/>
              <w:spacing w:after="0"/>
              <w:rPr>
                <w:sz w:val="20"/>
                <w:szCs w:val="20"/>
                <w:color w:val="auto"/>
              </w:rPr>
            </w:pPr>
            <w:r>
              <w:rPr>
                <w:rFonts w:ascii="Arial" w:cs="Arial" w:eastAsia="Arial" w:hAnsi="Arial"/>
                <w:sz w:val="18"/>
                <w:szCs w:val="18"/>
                <w:b w:val="1"/>
                <w:bCs w:val="1"/>
                <w:color w:val="auto"/>
                <w:w w:val="88"/>
              </w:rPr>
              <w:t>Notes to Consolidated Financial Statements</w:t>
            </w: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60" w:type="dxa"/>
            <w:vAlign w:val="bottom"/>
            <w:gridSpan w:val="8"/>
          </w:tcPr>
          <w:p>
            <w:pPr>
              <w:jc w:val="center"/>
              <w:ind w:right="700"/>
              <w:spacing w:after="0"/>
              <w:rPr>
                <w:sz w:val="20"/>
                <w:szCs w:val="20"/>
                <w:color w:val="auto"/>
              </w:rPr>
            </w:pPr>
            <w:r>
              <w:rPr>
                <w:rFonts w:ascii="Arial" w:cs="Arial" w:eastAsia="Arial" w:hAnsi="Arial"/>
                <w:sz w:val="18"/>
                <w:szCs w:val="18"/>
                <w:b w:val="1"/>
                <w:bCs w:val="1"/>
                <w:color w:val="auto"/>
                <w:w w:val="89"/>
              </w:rPr>
              <w:t>September 30, 2015</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5"/>
          </w:tcPr>
          <w:p>
            <w:pPr>
              <w:jc w:val="center"/>
              <w:ind w:left="271"/>
              <w:spacing w:after="0"/>
              <w:rPr>
                <w:sz w:val="20"/>
                <w:szCs w:val="20"/>
                <w:color w:val="auto"/>
              </w:rPr>
            </w:pPr>
            <w:r>
              <w:rPr>
                <w:rFonts w:ascii="Arial" w:cs="Arial" w:eastAsia="Arial" w:hAnsi="Arial"/>
                <w:sz w:val="18"/>
                <w:szCs w:val="18"/>
                <w:b w:val="1"/>
                <w:bCs w:val="1"/>
                <w:color w:val="auto"/>
                <w:w w:val="93"/>
              </w:rPr>
              <w:t>(Unaudited)</w:t>
            </w:r>
          </w:p>
        </w:tc>
        <w:tc>
          <w:tcPr>
            <w:tcW w:w="9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7600" w:type="dxa"/>
            <w:vAlign w:val="bottom"/>
            <w:gridSpan w:val="16"/>
          </w:tcPr>
          <w:p>
            <w:pPr>
              <w:jc w:val="center"/>
              <w:ind w:left="1190"/>
              <w:spacing w:after="0"/>
              <w:rPr>
                <w:sz w:val="20"/>
                <w:szCs w:val="20"/>
                <w:color w:val="auto"/>
              </w:rPr>
            </w:pPr>
            <w:r>
              <w:rPr>
                <w:rFonts w:ascii="Arial" w:cs="Arial" w:eastAsia="Arial" w:hAnsi="Arial"/>
                <w:sz w:val="18"/>
                <w:szCs w:val="18"/>
                <w:b w:val="1"/>
                <w:bCs w:val="1"/>
                <w:color w:val="auto"/>
                <w:w w:val="88"/>
              </w:rPr>
              <w:t>Condensed Consolidating Statements of Operations</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280" w:type="dxa"/>
            <w:vAlign w:val="bottom"/>
            <w:gridSpan w:val="14"/>
          </w:tcPr>
          <w:p>
            <w:pPr>
              <w:jc w:val="center"/>
              <w:ind w:left="2490"/>
              <w:spacing w:after="0"/>
              <w:rPr>
                <w:sz w:val="20"/>
                <w:szCs w:val="20"/>
                <w:color w:val="auto"/>
              </w:rPr>
            </w:pPr>
            <w:r>
              <w:rPr>
                <w:rFonts w:ascii="Arial" w:cs="Arial" w:eastAsia="Arial" w:hAnsi="Arial"/>
                <w:sz w:val="18"/>
                <w:szCs w:val="18"/>
                <w:b w:val="1"/>
                <w:bCs w:val="1"/>
                <w:color w:val="auto"/>
                <w:w w:val="89"/>
              </w:rPr>
              <w:t>For the nine months ended September 30, 2014</w:t>
            </w:r>
          </w:p>
        </w:tc>
        <w:tc>
          <w:tcPr>
            <w:tcW w:w="1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4"/>
              </w:rPr>
              <w:t>Principal</w:t>
            </w:r>
          </w:p>
        </w:tc>
        <w:tc>
          <w:tcPr>
            <w:tcW w:w="160" w:type="dxa"/>
            <w:vAlign w:val="bottom"/>
          </w:tcPr>
          <w:p>
            <w:pPr>
              <w:spacing w:after="0"/>
              <w:rPr>
                <w:sz w:val="24"/>
                <w:szCs w:val="24"/>
                <w:color w:val="auto"/>
              </w:rPr>
            </w:pPr>
          </w:p>
        </w:tc>
        <w:tc>
          <w:tcPr>
            <w:tcW w:w="1160" w:type="dxa"/>
            <w:vAlign w:val="bottom"/>
            <w:gridSpan w:val="4"/>
          </w:tcPr>
          <w:p>
            <w:pPr>
              <w:spacing w:after="0"/>
              <w:rPr>
                <w:sz w:val="20"/>
                <w:szCs w:val="20"/>
                <w:color w:val="auto"/>
              </w:rPr>
            </w:pPr>
            <w:r>
              <w:rPr>
                <w:rFonts w:ascii="Arial" w:cs="Arial" w:eastAsia="Arial" w:hAnsi="Arial"/>
                <w:sz w:val="14"/>
                <w:szCs w:val="14"/>
                <w:b w:val="1"/>
                <w:bCs w:val="1"/>
                <w:color w:val="auto"/>
              </w:rPr>
              <w:t>Principal Life</w:t>
            </w:r>
          </w:p>
        </w:tc>
        <w:tc>
          <w:tcPr>
            <w:tcW w:w="140" w:type="dxa"/>
            <w:vAlign w:val="bottom"/>
          </w:tcPr>
          <w:p>
            <w:pPr>
              <w:spacing w:after="0"/>
              <w:rPr>
                <w:sz w:val="24"/>
                <w:szCs w:val="24"/>
                <w:color w:val="auto"/>
              </w:rPr>
            </w:pPr>
          </w:p>
        </w:tc>
        <w:tc>
          <w:tcPr>
            <w:tcW w:w="1500" w:type="dxa"/>
            <w:vAlign w:val="bottom"/>
            <w:gridSpan w:val="3"/>
          </w:tcPr>
          <w:p>
            <w:pPr>
              <w:ind w:left="20"/>
              <w:spacing w:after="0"/>
              <w:rPr>
                <w:sz w:val="20"/>
                <w:szCs w:val="20"/>
                <w:color w:val="auto"/>
              </w:rPr>
            </w:pPr>
            <w:r>
              <w:rPr>
                <w:rFonts w:ascii="Arial" w:cs="Arial" w:eastAsia="Arial" w:hAnsi="Arial"/>
                <w:sz w:val="14"/>
                <w:szCs w:val="14"/>
                <w:b w:val="1"/>
                <w:bCs w:val="1"/>
                <w:color w:val="auto"/>
              </w:rPr>
              <w:t>Principal Financial</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3"/>
          </w:tcPr>
          <w:p>
            <w:pPr>
              <w:jc w:val="right"/>
              <w:ind w:right="460"/>
              <w:spacing w:after="0" w:line="149" w:lineRule="exact"/>
              <w:rPr>
                <w:sz w:val="20"/>
                <w:szCs w:val="20"/>
                <w:color w:val="auto"/>
              </w:rPr>
            </w:pPr>
            <w:r>
              <w:rPr>
                <w:rFonts w:ascii="Arial" w:cs="Arial" w:eastAsia="Arial" w:hAnsi="Arial"/>
                <w:sz w:val="14"/>
                <w:szCs w:val="14"/>
                <w:b w:val="1"/>
                <w:bCs w:val="1"/>
                <w:color w:val="auto"/>
                <w:w w:val="92"/>
              </w:rPr>
              <w:t>Financial</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93"/>
              </w:rPr>
              <w:t>Insurance</w:t>
            </w:r>
          </w:p>
        </w:tc>
        <w:tc>
          <w:tcPr>
            <w:tcW w:w="140" w:type="dxa"/>
            <w:vAlign w:val="bottom"/>
          </w:tcPr>
          <w:p>
            <w:pPr>
              <w:spacing w:after="0"/>
              <w:rPr>
                <w:sz w:val="12"/>
                <w:szCs w:val="12"/>
                <w:color w:val="auto"/>
              </w:rPr>
            </w:pPr>
          </w:p>
        </w:tc>
        <w:tc>
          <w:tcPr>
            <w:tcW w:w="150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Services, Inc. and</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gridSpan w:val="4"/>
          </w:tcPr>
          <w:p>
            <w:pPr>
              <w:ind w:left="40"/>
              <w:spacing w:after="0" w:line="149" w:lineRule="exact"/>
              <w:rPr>
                <w:sz w:val="20"/>
                <w:szCs w:val="20"/>
                <w:color w:val="auto"/>
              </w:rPr>
            </w:pPr>
            <w:r>
              <w:rPr>
                <w:rFonts w:ascii="Arial" w:cs="Arial" w:eastAsia="Arial" w:hAnsi="Arial"/>
                <w:sz w:val="14"/>
                <w:szCs w:val="14"/>
                <w:b w:val="1"/>
                <w:bCs w:val="1"/>
                <w:color w:val="auto"/>
              </w:rPr>
              <w:t>Group, Inc.</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93"/>
              </w:rPr>
              <w:t>Company</w:t>
            </w:r>
          </w:p>
        </w:tc>
        <w:tc>
          <w:tcPr>
            <w:tcW w:w="140" w:type="dxa"/>
            <w:vAlign w:val="bottom"/>
          </w:tcPr>
          <w:p>
            <w:pPr>
              <w:spacing w:after="0"/>
              <w:rPr>
                <w:sz w:val="12"/>
                <w:szCs w:val="12"/>
                <w:color w:val="auto"/>
              </w:rPr>
            </w:pPr>
          </w:p>
        </w:tc>
        <w:tc>
          <w:tcPr>
            <w:tcW w:w="15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Other Subsidiaries</w:t>
            </w:r>
          </w:p>
        </w:tc>
        <w:tc>
          <w:tcPr>
            <w:tcW w:w="140" w:type="dxa"/>
            <w:vAlign w:val="bottom"/>
          </w:tcPr>
          <w:p>
            <w:pPr>
              <w:spacing w:after="0"/>
              <w:rPr>
                <w:sz w:val="12"/>
                <w:szCs w:val="12"/>
                <w:color w:val="auto"/>
              </w:rPr>
            </w:pPr>
          </w:p>
        </w:tc>
        <w:tc>
          <w:tcPr>
            <w:tcW w:w="1160" w:type="dxa"/>
            <w:vAlign w:val="bottom"/>
            <w:gridSpan w:val="5"/>
            <w:vMerge w:val="restart"/>
          </w:tcPr>
          <w:p>
            <w:pPr>
              <w:jc w:val="right"/>
              <w:ind w:right="260"/>
              <w:spacing w:after="0"/>
              <w:rPr>
                <w:sz w:val="20"/>
                <w:szCs w:val="20"/>
                <w:color w:val="auto"/>
              </w:rPr>
            </w:pPr>
            <w:r>
              <w:rPr>
                <w:rFonts w:ascii="Arial" w:cs="Arial" w:eastAsia="Arial" w:hAnsi="Arial"/>
                <w:sz w:val="14"/>
                <w:szCs w:val="14"/>
                <w:b w:val="1"/>
                <w:bCs w:val="1"/>
                <w:color w:val="auto"/>
                <w:w w:val="96"/>
              </w:rPr>
              <w:t>Eliminations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gridSpan w:val="4"/>
          </w:tcPr>
          <w:p>
            <w:pPr>
              <w:ind w:left="20"/>
              <w:spacing w:after="0"/>
              <w:rPr>
                <w:sz w:val="20"/>
                <w:szCs w:val="20"/>
                <w:color w:val="auto"/>
              </w:rPr>
            </w:pPr>
            <w:r>
              <w:rPr>
                <w:rFonts w:ascii="Arial" w:cs="Arial" w:eastAsia="Arial" w:hAnsi="Arial"/>
                <w:sz w:val="14"/>
                <w:szCs w:val="14"/>
                <w:b w:val="1"/>
                <w:bCs w:val="1"/>
                <w:color w:val="auto"/>
              </w:rPr>
              <w:t>Parent Only</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3"/>
          </w:tcPr>
          <w:p>
            <w:pPr>
              <w:jc w:val="center"/>
              <w:ind w:right="400"/>
              <w:spacing w:after="0"/>
              <w:rPr>
                <w:sz w:val="20"/>
                <w:szCs w:val="20"/>
                <w:color w:val="auto"/>
              </w:rPr>
            </w:pPr>
            <w:r>
              <w:rPr>
                <w:rFonts w:ascii="Arial" w:cs="Arial" w:eastAsia="Arial" w:hAnsi="Arial"/>
                <w:sz w:val="14"/>
                <w:szCs w:val="14"/>
                <w:b w:val="1"/>
                <w:bCs w:val="1"/>
                <w:color w:val="auto"/>
                <w:w w:val="96"/>
              </w:rPr>
              <w:t>Only</w:t>
            </w: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2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3"/>
              </w:rPr>
              <w:t>Combined</w:t>
            </w:r>
          </w:p>
        </w:tc>
        <w:tc>
          <w:tcPr>
            <w:tcW w:w="140" w:type="dxa"/>
            <w:vAlign w:val="bottom"/>
          </w:tcPr>
          <w:p>
            <w:pPr>
              <w:spacing w:after="0"/>
              <w:rPr>
                <w:sz w:val="14"/>
                <w:szCs w:val="14"/>
                <w:color w:val="auto"/>
              </w:rPr>
            </w:pPr>
          </w:p>
        </w:tc>
        <w:tc>
          <w:tcPr>
            <w:tcW w:w="1160" w:type="dxa"/>
            <w:vAlign w:val="bottom"/>
            <w:gridSpan w:val="5"/>
            <w:vMerge w:val="continue"/>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tcPr>
          <w:p>
            <w:pPr>
              <w:jc w:val="center"/>
              <w:ind w:right="211"/>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Premiums and other considerations</w:t>
            </w:r>
          </w:p>
        </w:tc>
        <w:tc>
          <w:tcPr>
            <w:tcW w:w="2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4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2,200.5</w:t>
            </w:r>
          </w:p>
        </w:tc>
        <w:tc>
          <w:tcPr>
            <w:tcW w:w="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8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314.3</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2,514.8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1,407.5</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1,451.5</w:t>
            </w: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(289.3)</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2,569.7</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Net investment income</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0.4</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1,719.4</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1,260.1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ind w:right="20"/>
              <w:spacing w:after="0"/>
              <w:rPr>
                <w:sz w:val="20"/>
                <w:szCs w:val="20"/>
                <w:color w:val="auto"/>
              </w:rPr>
            </w:pPr>
            <w:r>
              <w:rPr>
                <w:rFonts w:ascii="Arial" w:cs="Arial" w:eastAsia="Arial" w:hAnsi="Arial"/>
                <w:sz w:val="18"/>
                <w:szCs w:val="18"/>
                <w:color w:val="auto"/>
              </w:rPr>
              <w:t>(535.8)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2,444.1</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4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9"/>
              </w:rPr>
              <w:t>Net realized capital gains (losses), excluding impairment</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tcBorders>
              <w:lef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10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tcBorders>
              <w:lef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losses on available-for-sale securities</w:t>
            </w: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674.1</w:t>
            </w:r>
          </w:p>
        </w:tc>
        <w:tc>
          <w:tcPr>
            <w:tcW w:w="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(569.1)</w:t>
            </w:r>
          </w:p>
        </w:tc>
        <w:tc>
          <w:tcPr>
            <w:tcW w:w="140" w:type="dxa"/>
            <w:vAlign w:val="bottom"/>
            <w:tcBorders>
              <w:left w:val="single" w:sz="8" w:color="CCEEFF"/>
            </w:tcBorders>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80" w:type="dxa"/>
            <w:vAlign w:val="bottom"/>
            <w:tcBorders>
              <w:right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105.0</w:t>
            </w:r>
          </w:p>
        </w:tc>
        <w:tc>
          <w:tcPr>
            <w:tcW w:w="100" w:type="dxa"/>
            <w:vAlign w:val="bottom"/>
            <w:tcBorders>
              <w:left w:val="single" w:sz="8" w:color="CCEEFF"/>
            </w:tcBorders>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480" w:type="dxa"/>
            <w:vAlign w:val="bottom"/>
            <w:gridSpan w:val="2"/>
          </w:tcPr>
          <w:p>
            <w:pPr>
              <w:spacing w:after="0" w:line="201" w:lineRule="exact"/>
              <w:rPr>
                <w:sz w:val="20"/>
                <w:szCs w:val="20"/>
                <w:color w:val="auto"/>
              </w:rPr>
            </w:pPr>
            <w:r>
              <w:rPr>
                <w:rFonts w:ascii="Arial" w:cs="Arial" w:eastAsia="Arial" w:hAnsi="Arial"/>
                <w:sz w:val="18"/>
                <w:szCs w:val="18"/>
                <w:color w:val="auto"/>
                <w:w w:val="93"/>
              </w:rPr>
              <w:t>Net other-than-temporary impairment (losses) recoveries on</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80" w:type="dxa"/>
            <w:vAlign w:val="bottom"/>
            <w:gridSpan w:val="2"/>
          </w:tcPr>
          <w:p>
            <w:pPr>
              <w:ind w:left="160"/>
              <w:spacing w:after="0"/>
              <w:rPr>
                <w:sz w:val="20"/>
                <w:szCs w:val="20"/>
                <w:color w:val="auto"/>
              </w:rPr>
            </w:pPr>
            <w:r>
              <w:rPr>
                <w:rFonts w:ascii="Arial" w:cs="Arial" w:eastAsia="Arial" w:hAnsi="Arial"/>
                <w:sz w:val="18"/>
                <w:szCs w:val="18"/>
                <w:color w:val="auto"/>
              </w:rPr>
              <w:t>available-for-sale securities</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27.7</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(9.2)</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gridSpan w:val="3"/>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18.5</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4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3"/>
              </w:rPr>
              <w:t>Other-than-temporary impairment losses on fixed maturities,</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tcBorders>
              <w:lef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10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tcBorders>
              <w:lef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available-for-sale reclassified to (from) other</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comprehensive income</w:t>
            </w: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(84.5)</w:t>
            </w:r>
          </w:p>
        </w:tc>
        <w:tc>
          <w:tcPr>
            <w:tcW w:w="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w:t>
            </w:r>
          </w:p>
        </w:tc>
        <w:tc>
          <w:tcPr>
            <w:tcW w:w="140" w:type="dxa"/>
            <w:vAlign w:val="bottom"/>
            <w:tcBorders>
              <w:left w:val="single" w:sz="8" w:color="CCEEFF"/>
            </w:tcBorders>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80" w:type="dxa"/>
            <w:vAlign w:val="bottom"/>
            <w:tcBorders>
              <w:right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(82.5)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tcPr>
          <w:p>
            <w:pPr>
              <w:spacing w:after="0"/>
              <w:rPr>
                <w:sz w:val="20"/>
                <w:szCs w:val="20"/>
                <w:color w:val="auto"/>
              </w:rPr>
            </w:pPr>
            <w:r>
              <w:rPr>
                <w:rFonts w:ascii="Arial" w:cs="Arial" w:eastAsia="Arial" w:hAnsi="Arial"/>
                <w:sz w:val="18"/>
                <w:szCs w:val="18"/>
                <w:color w:val="auto"/>
              </w:rPr>
              <w:t>Net impairment losses on available-for-sale securities</w:t>
            </w: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gridSpan w:val="2"/>
            <w:vMerge w:val="restart"/>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gridSpan w:val="2"/>
            <w:vMerge w:val="restart"/>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gridSpan w:val="2"/>
            <w:vMerge w:val="continue"/>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(56.8)</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(7.2)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(64.0)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shd w:val="clear" w:color="auto" w:fill="CCEEFF"/>
          </w:tcPr>
          <w:p>
            <w:pPr>
              <w:spacing w:after="0"/>
              <w:rPr>
                <w:sz w:val="20"/>
                <w:szCs w:val="20"/>
                <w:color w:val="auto"/>
              </w:rPr>
            </w:pPr>
            <w:r>
              <w:rPr>
                <w:rFonts w:ascii="Arial" w:cs="Arial" w:eastAsia="Arial" w:hAnsi="Arial"/>
                <w:sz w:val="18"/>
                <w:szCs w:val="18"/>
                <w:color w:val="auto"/>
              </w:rPr>
              <w:t>Net realized capital gains (losses)</w:t>
            </w: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gridSpan w:val="2"/>
            <w:vMerge w:val="restart"/>
            <w:shd w:val="clear" w:color="auto" w:fill="CCEEFF"/>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vMerge w:val="restart"/>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gridSpan w:val="2"/>
            <w:vMerge w:val="restart"/>
            <w:shd w:val="clear" w:color="auto" w:fill="CCEEFF"/>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Borders>
              <w:left w:val="single" w:sz="8" w:color="CCEEFF"/>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gridSpan w:val="2"/>
            <w:vMerge w:val="continue"/>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617.3</w:t>
            </w:r>
          </w:p>
        </w:tc>
        <w:tc>
          <w:tcPr>
            <w:tcW w:w="8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(576.3)</w:t>
            </w: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right w:val="single" w:sz="8" w:color="CCEEFF"/>
            </w:tcBorders>
            <w:gridSpan w:val="2"/>
            <w:vMerge w:val="continue"/>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41.0</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tcPr>
          <w:p>
            <w:pPr>
              <w:ind w:left="180"/>
              <w:spacing w:after="0"/>
              <w:rPr>
                <w:sz w:val="20"/>
                <w:szCs w:val="20"/>
                <w:color w:val="auto"/>
              </w:rPr>
            </w:pPr>
            <w:r>
              <w:rPr>
                <w:rFonts w:ascii="Arial" w:cs="Arial" w:eastAsia="Arial" w:hAnsi="Arial"/>
                <w:sz w:val="18"/>
                <w:szCs w:val="18"/>
                <w:color w:val="auto"/>
              </w:rPr>
              <w:t>Total revenues</w:t>
            </w: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0.4</w:t>
            </w:r>
          </w:p>
        </w:tc>
        <w:tc>
          <w:tcPr>
            <w:tcW w:w="120" w:type="dxa"/>
            <w:vAlign w:val="bottom"/>
            <w:vMerge w:val="continue"/>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5,944.7</w:t>
            </w:r>
          </w:p>
        </w:tc>
        <w:tc>
          <w:tcPr>
            <w:tcW w:w="8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2,449.6</w:t>
            </w:r>
          </w:p>
        </w:tc>
        <w:tc>
          <w:tcPr>
            <w:tcW w:w="1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ind w:right="20"/>
              <w:spacing w:after="0"/>
              <w:rPr>
                <w:sz w:val="20"/>
                <w:szCs w:val="20"/>
                <w:color w:val="auto"/>
              </w:rPr>
            </w:pPr>
            <w:r>
              <w:rPr>
                <w:rFonts w:ascii="Arial" w:cs="Arial" w:eastAsia="Arial" w:hAnsi="Arial"/>
                <w:sz w:val="18"/>
                <w:szCs w:val="18"/>
                <w:color w:val="auto"/>
              </w:rPr>
              <w:t>(825.1)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7,569.6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Benefits, claims and settlement expenses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3,083.8</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534.5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ind w:right="20"/>
              <w:spacing w:after="0"/>
              <w:rPr>
                <w:sz w:val="20"/>
                <w:szCs w:val="20"/>
                <w:color w:val="auto"/>
              </w:rPr>
            </w:pPr>
            <w:r>
              <w:rPr>
                <w:rFonts w:ascii="Arial" w:cs="Arial" w:eastAsia="Arial" w:hAnsi="Arial"/>
                <w:sz w:val="18"/>
                <w:szCs w:val="18"/>
                <w:color w:val="auto"/>
              </w:rPr>
              <w:t>(8.6)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3,609.7</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134.5</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134.5</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Operating expenses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106.8</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1,624.3</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1,156.4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ind w:right="20"/>
              <w:spacing w:after="0"/>
              <w:rPr>
                <w:sz w:val="20"/>
                <w:szCs w:val="20"/>
                <w:color w:val="auto"/>
              </w:rPr>
            </w:pPr>
            <w:r>
              <w:rPr>
                <w:rFonts w:ascii="Arial" w:cs="Arial" w:eastAsia="Arial" w:hAnsi="Arial"/>
                <w:sz w:val="18"/>
                <w:szCs w:val="18"/>
                <w:color w:val="auto"/>
              </w:rPr>
              <w:t>(239.8)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2,647.7</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shd w:val="clear" w:color="auto" w:fill="CCEEFF"/>
          </w:tcPr>
          <w:p>
            <w:pPr>
              <w:ind w:left="180"/>
              <w:spacing w:after="0"/>
              <w:rPr>
                <w:sz w:val="20"/>
                <w:szCs w:val="20"/>
                <w:color w:val="auto"/>
              </w:rPr>
            </w:pPr>
            <w:r>
              <w:rPr>
                <w:rFonts w:ascii="Arial" w:cs="Arial" w:eastAsia="Arial" w:hAnsi="Arial"/>
                <w:sz w:val="18"/>
                <w:szCs w:val="18"/>
                <w:color w:val="auto"/>
              </w:rPr>
              <w:t>Total expenses</w:t>
            </w: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vMerge w:val="restart"/>
            <w:shd w:val="clear" w:color="auto" w:fill="CCEEFF"/>
          </w:tcPr>
          <w:p>
            <w:pPr>
              <w:spacing w:after="0" w:line="20" w:lineRule="exact"/>
              <w:rPr>
                <w:sz w:val="1"/>
                <w:szCs w:val="1"/>
                <w:color w:val="auto"/>
              </w:rPr>
            </w:pPr>
          </w:p>
        </w:tc>
        <w:tc>
          <w:tcPr>
            <w:tcW w:w="60" w:type="dxa"/>
            <w:vAlign w:val="bottom"/>
            <w:shd w:val="clear" w:color="auto" w:fill="CCEEFF"/>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vMerge w:val="restart"/>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gridSpan w:val="2"/>
            <w:shd w:val="clear" w:color="auto" w:fill="CCEEFF"/>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Borders>
              <w:left w:val="single" w:sz="8" w:color="CCEEFF"/>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106.8</w:t>
            </w:r>
          </w:p>
        </w:tc>
        <w:tc>
          <w:tcPr>
            <w:tcW w:w="12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4,842.6</w:t>
            </w:r>
          </w:p>
        </w:tc>
        <w:tc>
          <w:tcPr>
            <w:tcW w:w="8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1,690.9</w:t>
            </w:r>
          </w:p>
        </w:tc>
        <w:tc>
          <w:tcPr>
            <w:tcW w:w="160" w:type="dxa"/>
            <w:vAlign w:val="bottom"/>
            <w:vMerge w:val="continue"/>
            <w:shd w:val="clear" w:color="auto" w:fill="CCEEFF"/>
          </w:tcPr>
          <w:p>
            <w:pPr>
              <w:spacing w:after="0"/>
              <w:rPr>
                <w:sz w:val="18"/>
                <w:szCs w:val="18"/>
                <w:color w:val="auto"/>
              </w:rPr>
            </w:pP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(248.4)</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6,391.9</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3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(loss) before income taxes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(106.4)</w:t>
            </w:r>
          </w:p>
        </w:tc>
        <w:tc>
          <w:tcPr>
            <w:tcW w:w="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1,102.1</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758.7</w:t>
            </w: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(576.7)</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1,177.7</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tcPr>
          <w:p>
            <w:pPr>
              <w:spacing w:after="0"/>
              <w:rPr>
                <w:sz w:val="20"/>
                <w:szCs w:val="20"/>
                <w:color w:val="auto"/>
              </w:rPr>
            </w:pPr>
            <w:r>
              <w:rPr>
                <w:rFonts w:ascii="Arial" w:cs="Arial" w:eastAsia="Arial" w:hAnsi="Arial"/>
                <w:sz w:val="18"/>
                <w:szCs w:val="18"/>
                <w:color w:val="auto"/>
              </w:rPr>
              <w:t>Income taxes (benefits)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(42.7)</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260.6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65.3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ind w:right="2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281.6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 in the net income (loss) of subsidiaries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929.1</w:t>
            </w:r>
          </w:p>
        </w:tc>
        <w:tc>
          <w:tcPr>
            <w:tcW w:w="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(125.0)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266.4</w:t>
            </w: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(1,070.5)</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tcPr>
          <w:p>
            <w:pPr>
              <w:spacing w:after="0"/>
              <w:rPr>
                <w:sz w:val="20"/>
                <w:szCs w:val="20"/>
                <w:color w:val="auto"/>
              </w:rPr>
            </w:pPr>
            <w:r>
              <w:rPr>
                <w:rFonts w:ascii="Arial" w:cs="Arial" w:eastAsia="Arial" w:hAnsi="Arial"/>
                <w:sz w:val="18"/>
                <w:szCs w:val="18"/>
                <w:color w:val="auto"/>
              </w:rPr>
              <w:t>Net income</w:t>
            </w: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865.4</w:t>
            </w:r>
          </w:p>
        </w:tc>
        <w:tc>
          <w:tcPr>
            <w:tcW w:w="120" w:type="dxa"/>
            <w:vAlign w:val="bottom"/>
            <w:vMerge w:val="continue"/>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716.5</w:t>
            </w:r>
          </w:p>
        </w:tc>
        <w:tc>
          <w:tcPr>
            <w:tcW w:w="8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959.8</w:t>
            </w:r>
          </w:p>
        </w:tc>
        <w:tc>
          <w:tcPr>
            <w:tcW w:w="1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ind w:right="20"/>
              <w:spacing w:after="0"/>
              <w:rPr>
                <w:sz w:val="20"/>
                <w:szCs w:val="20"/>
                <w:color w:val="auto"/>
              </w:rPr>
            </w:pPr>
            <w:r>
              <w:rPr>
                <w:rFonts w:ascii="Arial" w:cs="Arial" w:eastAsia="Arial" w:hAnsi="Arial"/>
                <w:sz w:val="18"/>
                <w:szCs w:val="18"/>
                <w:color w:val="auto"/>
              </w:rPr>
              <w:t>(1,645.6)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896.1</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attributable to noncontrolling interest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30.7</w:t>
            </w: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tcPr>
          <w:p>
            <w:pPr>
              <w:spacing w:after="0"/>
              <w:rPr>
                <w:sz w:val="20"/>
                <w:szCs w:val="20"/>
                <w:color w:val="auto"/>
              </w:rPr>
            </w:pPr>
            <w:r>
              <w:rPr>
                <w:rFonts w:ascii="Arial" w:cs="Arial" w:eastAsia="Arial" w:hAnsi="Arial"/>
                <w:sz w:val="18"/>
                <w:szCs w:val="18"/>
                <w:color w:val="auto"/>
              </w:rPr>
              <w:t>Net income attributable to PFG</w:t>
            </w: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865.4</w:t>
            </w:r>
          </w:p>
        </w:tc>
        <w:tc>
          <w:tcPr>
            <w:tcW w:w="120" w:type="dxa"/>
            <w:vAlign w:val="bottom"/>
            <w:vMerge w:val="continue"/>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716.5</w:t>
            </w:r>
          </w:p>
        </w:tc>
        <w:tc>
          <w:tcPr>
            <w:tcW w:w="8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929.1</w:t>
            </w:r>
          </w:p>
        </w:tc>
        <w:tc>
          <w:tcPr>
            <w:tcW w:w="1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3"/>
          </w:tcPr>
          <w:p>
            <w:pPr>
              <w:jc w:val="right"/>
              <w:ind w:right="20"/>
              <w:spacing w:after="0"/>
              <w:rPr>
                <w:sz w:val="20"/>
                <w:szCs w:val="20"/>
                <w:color w:val="auto"/>
              </w:rPr>
            </w:pPr>
            <w:r>
              <w:rPr>
                <w:rFonts w:ascii="Arial" w:cs="Arial" w:eastAsia="Arial" w:hAnsi="Arial"/>
                <w:sz w:val="18"/>
                <w:szCs w:val="18"/>
                <w:color w:val="auto"/>
              </w:rPr>
              <w:t>(1,645.6)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865.4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Preferred stock dividends</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24.7</w:t>
            </w:r>
          </w:p>
        </w:tc>
        <w:tc>
          <w:tcPr>
            <w:tcW w:w="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Borders>
              <w:lef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w:t>
            </w:r>
          </w:p>
        </w:tc>
        <w:tc>
          <w:tcPr>
            <w:tcW w:w="100" w:type="dxa"/>
            <w:vAlign w:val="bottom"/>
            <w:tcBorders>
              <w:lef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2"/>
            <w:vMerge w:val="restart"/>
          </w:tcPr>
          <w:p>
            <w:pPr>
              <w:spacing w:after="0"/>
              <w:rPr>
                <w:sz w:val="20"/>
                <w:szCs w:val="20"/>
                <w:color w:val="auto"/>
              </w:rPr>
            </w:pPr>
            <w:r>
              <w:rPr>
                <w:rFonts w:ascii="Arial" w:cs="Arial" w:eastAsia="Arial" w:hAnsi="Arial"/>
                <w:sz w:val="18"/>
                <w:szCs w:val="18"/>
                <w:color w:val="auto"/>
              </w:rPr>
              <w:t>Net income available to common stockholders</w:t>
            </w:r>
          </w:p>
        </w:tc>
        <w:tc>
          <w:tcPr>
            <w:tcW w:w="80" w:type="dxa"/>
            <w:vAlign w:val="bottom"/>
            <w:vMerge w:val="restart"/>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4480" w:type="dxa"/>
            <w:vAlign w:val="bottom"/>
            <w:gridSpan w:val="2"/>
            <w:vMerge w:val="continue"/>
          </w:tcPr>
          <w:p>
            <w:pPr>
              <w:spacing w:after="0"/>
              <w:rPr>
                <w:sz w:val="21"/>
                <w:szCs w:val="21"/>
                <w:color w:val="auto"/>
              </w:rPr>
            </w:pPr>
          </w:p>
        </w:tc>
        <w:tc>
          <w:tcPr>
            <w:tcW w:w="80" w:type="dxa"/>
            <w:vAlign w:val="bottom"/>
            <w:vMerge w:val="continue"/>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840.7</w:t>
            </w:r>
          </w:p>
        </w:tc>
        <w:tc>
          <w:tcPr>
            <w:tcW w:w="120" w:type="dxa"/>
            <w:vAlign w:val="bottom"/>
            <w:vMerge w:val="continue"/>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716.5</w:t>
            </w:r>
          </w:p>
        </w:tc>
        <w:tc>
          <w:tcPr>
            <w:tcW w:w="80" w:type="dxa"/>
            <w:vAlign w:val="bottom"/>
            <w:vMerge w:val="continue"/>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929.1</w:t>
            </w:r>
          </w:p>
        </w:tc>
        <w:tc>
          <w:tcPr>
            <w:tcW w:w="160" w:type="dxa"/>
            <w:vAlign w:val="bottom"/>
            <w:vMerge w:val="continue"/>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gridSpan w:val="3"/>
          </w:tcPr>
          <w:p>
            <w:pPr>
              <w:jc w:val="right"/>
              <w:ind w:right="20"/>
              <w:spacing w:after="0"/>
              <w:rPr>
                <w:sz w:val="20"/>
                <w:szCs w:val="20"/>
                <w:color w:val="auto"/>
              </w:rPr>
            </w:pPr>
            <w:r>
              <w:rPr>
                <w:rFonts w:ascii="Arial" w:cs="Arial" w:eastAsia="Arial" w:hAnsi="Arial"/>
                <w:sz w:val="18"/>
                <w:szCs w:val="18"/>
                <w:color w:val="auto"/>
              </w:rPr>
              <w:t>(1,645.6)</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840.7</w:t>
            </w: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1260" w:type="dxa"/>
            <w:vAlign w:val="bottom"/>
            <w:tcBorders>
              <w:top w:val="single" w:sz="8" w:color="CCEEFF"/>
            </w:tcBorders>
            <w:shd w:val="clear" w:color="auto" w:fill="CCEEFF"/>
          </w:tcPr>
          <w:p>
            <w:pPr>
              <w:spacing w:after="0"/>
              <w:rPr>
                <w:sz w:val="17"/>
                <w:szCs w:val="17"/>
                <w:color w:val="auto"/>
              </w:rPr>
            </w:pPr>
          </w:p>
        </w:tc>
        <w:tc>
          <w:tcPr>
            <w:tcW w:w="32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right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left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right w:val="single" w:sz="8" w:color="CCEEFF"/>
            </w:tcBorders>
            <w:shd w:val="clear" w:color="auto" w:fill="CCEEFF"/>
          </w:tcPr>
          <w:p>
            <w:pPr>
              <w:spacing w:after="0"/>
              <w:rPr>
                <w:sz w:val="17"/>
                <w:szCs w:val="17"/>
                <w:color w:val="auto"/>
              </w:rPr>
            </w:pPr>
          </w:p>
        </w:tc>
        <w:tc>
          <w:tcPr>
            <w:tcW w:w="100" w:type="dxa"/>
            <w:vAlign w:val="bottom"/>
            <w:tcBorders>
              <w:top w:val="single" w:sz="8" w:color="auto"/>
              <w:right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lef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20" w:type="dxa"/>
            <w:vAlign w:val="bottom"/>
            <w:tcBorders>
              <w:bottom w:val="single" w:sz="8" w:color="CCEEFF"/>
            </w:tcBorders>
            <w:vMerge w:val="continue"/>
          </w:tcPr>
          <w:p>
            <w:pPr>
              <w:spacing w:after="0"/>
              <w:rPr>
                <w:sz w:val="19"/>
                <w:szCs w:val="19"/>
                <w:color w:val="auto"/>
              </w:rPr>
            </w:pPr>
          </w:p>
        </w:tc>
        <w:tc>
          <w:tcPr>
            <w:tcW w:w="448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gridSpan w:val="2"/>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19"/>
                <w:szCs w:val="19"/>
                <w:color w:val="auto"/>
              </w:rPr>
            </w:pPr>
          </w:p>
        </w:tc>
        <w:tc>
          <w:tcPr>
            <w:tcW w:w="980" w:type="dxa"/>
            <w:vAlign w:val="bottom"/>
            <w:tcBorders>
              <w:bottom w:val="single" w:sz="8" w:color="CCEEFF"/>
            </w:tcBorders>
            <w:gridSpan w:val="2"/>
          </w:tcPr>
          <w:p>
            <w:pPr>
              <w:jc w:val="right"/>
              <w:ind w:right="120"/>
              <w:spacing w:after="0"/>
              <w:rPr>
                <w:sz w:val="20"/>
                <w:szCs w:val="20"/>
                <w:color w:val="auto"/>
              </w:rPr>
            </w:pPr>
            <w:r>
              <w:rPr>
                <w:rFonts w:ascii="Arial" w:cs="Arial" w:eastAsia="Arial" w:hAnsi="Arial"/>
                <w:sz w:val="18"/>
                <w:szCs w:val="18"/>
                <w:color w:val="auto"/>
              </w:rPr>
              <w:t>865.4</w:t>
            </w:r>
          </w:p>
        </w:tc>
        <w:tc>
          <w:tcPr>
            <w:tcW w:w="60" w:type="dxa"/>
            <w:vAlign w:val="bottom"/>
            <w:tcBorders>
              <w:bottom w:val="single" w:sz="8" w:color="CCEEFF"/>
            </w:tcBorders>
          </w:tcPr>
          <w:p>
            <w:pPr>
              <w:spacing w:after="0"/>
              <w:rPr>
                <w:sz w:val="19"/>
                <w:szCs w:val="19"/>
                <w:color w:val="auto"/>
              </w:rPr>
            </w:pPr>
          </w:p>
        </w:tc>
        <w:tc>
          <w:tcPr>
            <w:tcW w:w="1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CCEEFF"/>
            </w:tcBorders>
          </w:tcPr>
          <w:p>
            <w:pPr>
              <w:spacing w:after="0"/>
              <w:rPr>
                <w:sz w:val="19"/>
                <w:szCs w:val="19"/>
                <w:color w:val="auto"/>
              </w:rPr>
            </w:pPr>
          </w:p>
        </w:tc>
        <w:tc>
          <w:tcPr>
            <w:tcW w:w="980" w:type="dxa"/>
            <w:vAlign w:val="bottom"/>
            <w:tcBorders>
              <w:bottom w:val="single" w:sz="8" w:color="CCEEFF"/>
            </w:tcBorders>
            <w:gridSpan w:val="2"/>
          </w:tcPr>
          <w:p>
            <w:pPr>
              <w:jc w:val="right"/>
              <w:ind w:right="80"/>
              <w:spacing w:after="0"/>
              <w:rPr>
                <w:sz w:val="20"/>
                <w:szCs w:val="20"/>
                <w:color w:val="auto"/>
              </w:rPr>
            </w:pPr>
            <w:r>
              <w:rPr>
                <w:rFonts w:ascii="Arial" w:cs="Arial" w:eastAsia="Arial" w:hAnsi="Arial"/>
                <w:sz w:val="18"/>
                <w:szCs w:val="18"/>
                <w:color w:val="auto"/>
              </w:rPr>
              <w:t>716.5</w:t>
            </w: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9"/>
              </w:rPr>
              <w:t>$</w:t>
            </w:r>
          </w:p>
        </w:tc>
        <w:tc>
          <w:tcPr>
            <w:tcW w:w="180" w:type="dxa"/>
            <w:vAlign w:val="bottom"/>
            <w:tcBorders>
              <w:bottom w:val="single" w:sz="8" w:color="CCEEFF"/>
            </w:tcBorders>
          </w:tcPr>
          <w:p>
            <w:pPr>
              <w:spacing w:after="0"/>
              <w:rPr>
                <w:sz w:val="19"/>
                <w:szCs w:val="19"/>
                <w:color w:val="auto"/>
              </w:rPr>
            </w:pPr>
          </w:p>
        </w:tc>
        <w:tc>
          <w:tcPr>
            <w:tcW w:w="132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8"/>
                <w:szCs w:val="18"/>
                <w:color w:val="auto"/>
              </w:rPr>
              <w:t>959.8</w:t>
            </w:r>
          </w:p>
        </w:tc>
        <w:tc>
          <w:tcPr>
            <w:tcW w:w="1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9"/>
              </w:rPr>
              <w:t>$</w:t>
            </w:r>
          </w:p>
        </w:tc>
        <w:tc>
          <w:tcPr>
            <w:tcW w:w="80" w:type="dxa"/>
            <w:vAlign w:val="bottom"/>
            <w:tcBorders>
              <w:bottom w:val="single" w:sz="8" w:color="CCEEFF"/>
            </w:tcBorders>
          </w:tcPr>
          <w:p>
            <w:pPr>
              <w:spacing w:after="0"/>
              <w:rPr>
                <w:sz w:val="19"/>
                <w:szCs w:val="19"/>
                <w:color w:val="auto"/>
              </w:rPr>
            </w:pPr>
          </w:p>
        </w:tc>
        <w:tc>
          <w:tcPr>
            <w:tcW w:w="200" w:type="dxa"/>
            <w:vAlign w:val="bottom"/>
            <w:tcBorders>
              <w:bottom w:val="single" w:sz="8" w:color="CCEEFF"/>
            </w:tcBorders>
          </w:tcPr>
          <w:p>
            <w:pPr>
              <w:spacing w:after="0"/>
              <w:rPr>
                <w:sz w:val="19"/>
                <w:szCs w:val="19"/>
                <w:color w:val="auto"/>
              </w:rPr>
            </w:pPr>
          </w:p>
        </w:tc>
        <w:tc>
          <w:tcPr>
            <w:tcW w:w="880" w:type="dxa"/>
            <w:vAlign w:val="bottom"/>
            <w:tcBorders>
              <w:bottom w:val="single" w:sz="8" w:color="CCEEFF"/>
            </w:tcBorders>
            <w:gridSpan w:val="3"/>
          </w:tcPr>
          <w:p>
            <w:pPr>
              <w:jc w:val="right"/>
              <w:ind w:right="20"/>
              <w:spacing w:after="0"/>
              <w:rPr>
                <w:sz w:val="20"/>
                <w:szCs w:val="20"/>
                <w:color w:val="auto"/>
              </w:rPr>
            </w:pPr>
            <w:r>
              <w:rPr>
                <w:rFonts w:ascii="Arial" w:cs="Arial" w:eastAsia="Arial" w:hAnsi="Arial"/>
                <w:sz w:val="18"/>
                <w:szCs w:val="18"/>
                <w:color w:val="auto"/>
              </w:rPr>
              <w:t>(1,645.6)</w:t>
            </w:r>
          </w:p>
        </w:tc>
        <w:tc>
          <w:tcPr>
            <w:tcW w:w="100" w:type="dxa"/>
            <w:vAlign w:val="bottom"/>
            <w:tcBorders>
              <w:bottom w:val="single" w:sz="8" w:color="CCEEFF"/>
            </w:tcBorders>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Borders>
              <w:bottom w:val="single" w:sz="8" w:color="CCEEFF"/>
            </w:tcBorders>
          </w:tcPr>
          <w:p>
            <w:pPr>
              <w:spacing w:after="0"/>
              <w:rPr>
                <w:sz w:val="19"/>
                <w:szCs w:val="19"/>
                <w:color w:val="auto"/>
              </w:rPr>
            </w:pPr>
          </w:p>
        </w:tc>
        <w:tc>
          <w:tcPr>
            <w:tcW w:w="9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896.1</w:t>
            </w:r>
          </w:p>
        </w:tc>
        <w:tc>
          <w:tcPr>
            <w:tcW w:w="100" w:type="dxa"/>
            <w:vAlign w:val="bottom"/>
            <w:tcBorders>
              <w:bottom w:val="single" w:sz="8" w:color="CCEEFF"/>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-6195060</wp:posOffset>
            </wp:positionV>
            <wp:extent cx="12700" cy="298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-6195060</wp:posOffset>
            </wp:positionV>
            <wp:extent cx="12700" cy="298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900" w:orient="portrait"/>
          <w:cols w:equalWidth="0" w:num="1">
            <w:col w:w="11460"/>
          </w:cols>
          <w:pgMar w:left="240" w:top="121" w:right="199" w:bottom="0" w:gutter="0" w:footer="0" w:header="0"/>
        </w:sectPr>
      </w:pPr>
    </w:p>
    <w:bookmarkStart w:id="57" w:name="page58"/>
    <w:bookmarkEnd w:id="57"/>
    <w:tbl>
      <w:tblPr>
        <w:tblLayout w:type="fixed"/>
        <w:tblInd w:w="0" w:type="dxa"/>
        <w:tblCellMar>
          <w:top w:w="0" w:type="dxa"/>
          <w:left w:w="0" w:type="dxa"/>
          <w:bottom w:w="0" w:type="dxa"/>
          <w:right w:w="0" w:type="dxa"/>
        </w:tblCellMar>
      </w:tblP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Other comprehensive income</w:t>
            </w:r>
          </w:p>
        </w:tc>
        <w:tc>
          <w:tcPr>
            <w:tcW w:w="4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129.6</w:t>
            </w:r>
          </w:p>
        </w:tc>
        <w:tc>
          <w:tcPr>
            <w:tcW w:w="3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334.8</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275.7</w:t>
            </w:r>
          </w:p>
        </w:tc>
        <w:tc>
          <w:tcPr>
            <w:tcW w:w="3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(550.0)</w:t>
            </w: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190.1</w:t>
            </w:r>
          </w:p>
        </w:tc>
        <w:tc>
          <w:tcPr>
            <w:tcW w:w="40" w:type="dxa"/>
            <w:vAlign w:val="bottom"/>
          </w:tcPr>
          <w:p>
            <w:pPr>
              <w:spacing w:after="0"/>
              <w:rPr>
                <w:sz w:val="18"/>
                <w:szCs w:val="18"/>
                <w:color w:val="auto"/>
              </w:rPr>
            </w:pPr>
          </w:p>
        </w:tc>
      </w:tr>
      <w:tr>
        <w:trPr>
          <w:trHeight w:val="223"/>
        </w:trPr>
        <w:tc>
          <w:tcPr>
            <w:tcW w:w="4580" w:type="dxa"/>
            <w:vAlign w:val="bottom"/>
          </w:tcPr>
          <w:p>
            <w:pPr>
              <w:spacing w:after="0"/>
              <w:rPr>
                <w:sz w:val="20"/>
                <w:szCs w:val="20"/>
                <w:color w:val="auto"/>
              </w:rPr>
            </w:pPr>
            <w:r>
              <w:rPr>
                <w:rFonts w:ascii="Arial" w:cs="Arial" w:eastAsia="Arial" w:hAnsi="Arial"/>
                <w:sz w:val="18"/>
                <w:szCs w:val="18"/>
                <w:color w:val="auto"/>
              </w:rPr>
              <w:t>Comprehensive income</w:t>
            </w: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ind w:left="340"/>
              <w:spacing w:after="0"/>
              <w:rPr>
                <w:sz w:val="20"/>
                <w:szCs w:val="20"/>
                <w:color w:val="auto"/>
              </w:rPr>
            </w:pPr>
            <w:r>
              <w:rPr>
                <w:rFonts w:ascii="Arial" w:cs="Arial" w:eastAsia="Arial" w:hAnsi="Arial"/>
                <w:sz w:val="18"/>
                <w:szCs w:val="18"/>
                <w:color w:val="auto"/>
                <w:w w:val="84"/>
              </w:rPr>
              <w:t>995.0</w:t>
            </w:r>
          </w:p>
        </w:tc>
        <w:tc>
          <w:tcPr>
            <w:tcW w:w="180" w:type="dxa"/>
            <w:vAlign w:val="bottom"/>
          </w:tcPr>
          <w:p>
            <w:pPr>
              <w:spacing w:after="0"/>
              <w:rPr>
                <w:sz w:val="19"/>
                <w:szCs w:val="19"/>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1,051.3</w:t>
            </w:r>
          </w:p>
        </w:tc>
        <w:tc>
          <w:tcPr>
            <w:tcW w:w="160" w:type="dxa"/>
            <w:vAlign w:val="bottom"/>
          </w:tcPr>
          <w:p>
            <w:pPr>
              <w:spacing w:after="0"/>
              <w:rPr>
                <w:sz w:val="19"/>
                <w:szCs w:val="19"/>
                <w:color w:val="auto"/>
              </w:rPr>
            </w:pPr>
          </w:p>
        </w:tc>
        <w:tc>
          <w:tcPr>
            <w:tcW w:w="52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1,235.5</w:t>
            </w:r>
          </w:p>
        </w:tc>
        <w:tc>
          <w:tcPr>
            <w:tcW w:w="160" w:type="dxa"/>
            <w:vAlign w:val="bottom"/>
          </w:tcPr>
          <w:p>
            <w:pPr>
              <w:spacing w:after="0"/>
              <w:rPr>
                <w:sz w:val="19"/>
                <w:szCs w:val="19"/>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(2,195.6</w:t>
            </w:r>
          </w:p>
        </w:tc>
        <w:tc>
          <w:tcPr>
            <w:tcW w:w="160" w:type="dxa"/>
            <w:vAlign w:val="bottom"/>
          </w:tcPr>
          <w:p>
            <w:pPr>
              <w:jc w:val="right"/>
              <w:ind w:right="20"/>
              <w:spacing w:after="0"/>
              <w:rPr>
                <w:sz w:val="20"/>
                <w:szCs w:val="20"/>
                <w:color w:val="auto"/>
              </w:rPr>
            </w:pPr>
            <w:r>
              <w:rPr>
                <w:rFonts w:ascii="Arial" w:cs="Arial" w:eastAsia="Arial" w:hAnsi="Arial"/>
                <w:sz w:val="16"/>
                <w:szCs w:val="16"/>
                <w:color w:val="auto"/>
                <w:w w:val="74"/>
              </w:rPr>
              <w:t>)</w:t>
            </w:r>
          </w:p>
        </w:tc>
        <w:tc>
          <w:tcPr>
            <w:tcW w:w="340" w:type="dxa"/>
            <w:vAlign w:val="bottom"/>
            <w:tcBorders>
              <w:top w:val="single" w:sz="8" w:color="auto"/>
              <w:bottom w:val="single" w:sz="8" w:color="auto"/>
            </w:tcBorders>
          </w:tcPr>
          <w:p>
            <w:pPr>
              <w:jc w:val="right"/>
              <w:ind w:right="185"/>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1,086.2</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0"/>
        </w:trPr>
        <w:tc>
          <w:tcPr>
            <w:tcW w:w="45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3"/>
        </w:trPr>
        <w:tc>
          <w:tcPr>
            <w:tcW w:w="45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81</w:t>
            </w:r>
          </w:p>
        </w:tc>
        <w:tc>
          <w:tcPr>
            <w:tcW w:w="3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458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nine months ended September 30, 2015</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7"/>
              </w:rPr>
              <w:t>Principal</w:t>
            </w:r>
          </w:p>
        </w:tc>
        <w:tc>
          <w:tcPr>
            <w:tcW w:w="120" w:type="dxa"/>
            <w:vAlign w:val="bottom"/>
          </w:tcPr>
          <w:p>
            <w:pPr>
              <w:spacing w:after="0"/>
              <w:rPr>
                <w:sz w:val="14"/>
                <w:szCs w:val="14"/>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Principal Life</w:t>
            </w:r>
          </w:p>
        </w:tc>
        <w:tc>
          <w:tcPr>
            <w:tcW w:w="120" w:type="dxa"/>
            <w:vAlign w:val="bottom"/>
          </w:tcPr>
          <w:p>
            <w:pPr>
              <w:spacing w:after="0"/>
              <w:rPr>
                <w:sz w:val="14"/>
                <w:szCs w:val="14"/>
                <w:color w:val="auto"/>
              </w:rPr>
            </w:pPr>
          </w:p>
        </w:tc>
        <w:tc>
          <w:tcPr>
            <w:tcW w:w="15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Principal Financial</w:t>
            </w: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2"/>
                <w:szCs w:val="12"/>
                <w:color w:val="auto"/>
              </w:rPr>
            </w:pPr>
          </w:p>
        </w:tc>
        <w:tc>
          <w:tcPr>
            <w:tcW w:w="12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Insurance</w:t>
            </w:r>
          </w:p>
        </w:tc>
        <w:tc>
          <w:tcPr>
            <w:tcW w:w="120" w:type="dxa"/>
            <w:vAlign w:val="bottom"/>
          </w:tcPr>
          <w:p>
            <w:pPr>
              <w:spacing w:after="0"/>
              <w:rPr>
                <w:sz w:val="12"/>
                <w:szCs w:val="12"/>
                <w:color w:val="auto"/>
              </w:rPr>
            </w:pPr>
          </w:p>
        </w:tc>
        <w:tc>
          <w:tcPr>
            <w:tcW w:w="15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Services, Inc. and</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4"/>
              </w:rPr>
              <w:t>Group, Inc.</w:t>
            </w:r>
          </w:p>
        </w:tc>
        <w:tc>
          <w:tcPr>
            <w:tcW w:w="120" w:type="dxa"/>
            <w:vAlign w:val="bottom"/>
          </w:tcPr>
          <w:p>
            <w:pPr>
              <w:spacing w:after="0"/>
              <w:rPr>
                <w:sz w:val="12"/>
                <w:szCs w:val="12"/>
                <w:color w:val="auto"/>
              </w:rPr>
            </w:pPr>
          </w:p>
        </w:tc>
        <w:tc>
          <w:tcPr>
            <w:tcW w:w="12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Company</w:t>
            </w:r>
          </w:p>
        </w:tc>
        <w:tc>
          <w:tcPr>
            <w:tcW w:w="120" w:type="dxa"/>
            <w:vAlign w:val="bottom"/>
          </w:tcPr>
          <w:p>
            <w:pPr>
              <w:spacing w:after="0"/>
              <w:rPr>
                <w:sz w:val="12"/>
                <w:szCs w:val="12"/>
                <w:color w:val="auto"/>
              </w:rPr>
            </w:pPr>
          </w:p>
        </w:tc>
        <w:tc>
          <w:tcPr>
            <w:tcW w:w="15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Other Subsidiaries</w:t>
            </w:r>
          </w:p>
        </w:tc>
        <w:tc>
          <w:tcPr>
            <w:tcW w:w="140" w:type="dxa"/>
            <w:vAlign w:val="bottom"/>
          </w:tcPr>
          <w:p>
            <w:pPr>
              <w:spacing w:after="0"/>
              <w:rPr>
                <w:sz w:val="12"/>
                <w:szCs w:val="12"/>
                <w:color w:val="auto"/>
              </w:rPr>
            </w:pPr>
          </w:p>
        </w:tc>
        <w:tc>
          <w:tcPr>
            <w:tcW w:w="116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w w:val="96"/>
              </w:rPr>
              <w:t>Eliminations</w:t>
            </w: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Parent Only</w:t>
            </w:r>
          </w:p>
        </w:tc>
        <w:tc>
          <w:tcPr>
            <w:tcW w:w="120" w:type="dxa"/>
            <w:vAlign w:val="bottom"/>
          </w:tcPr>
          <w:p>
            <w:pPr>
              <w:spacing w:after="0"/>
              <w:rPr>
                <w:sz w:val="14"/>
                <w:szCs w:val="14"/>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Only</w:t>
            </w:r>
          </w:p>
        </w:tc>
        <w:tc>
          <w:tcPr>
            <w:tcW w:w="120" w:type="dxa"/>
            <w:vAlign w:val="bottom"/>
          </w:tcPr>
          <w:p>
            <w:pPr>
              <w:spacing w:after="0"/>
              <w:rPr>
                <w:sz w:val="14"/>
                <w:szCs w:val="14"/>
                <w:color w:val="auto"/>
              </w:rPr>
            </w:pPr>
          </w:p>
        </w:tc>
        <w:tc>
          <w:tcPr>
            <w:tcW w:w="15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Combined</w:t>
            </w:r>
          </w:p>
        </w:tc>
        <w:tc>
          <w:tcPr>
            <w:tcW w:w="140" w:type="dxa"/>
            <w:vAlign w:val="bottom"/>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58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360" w:type="dxa"/>
            <w:vAlign w:val="bottom"/>
            <w:tcBorders>
              <w:top w:val="single" w:sz="8" w:color="auto"/>
            </w:tcBorders>
          </w:tcPr>
          <w:p>
            <w:pPr>
              <w:jc w:val="center"/>
              <w:ind w:right="12"/>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Net cash provided by (used in) operating activities</w:t>
            </w: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(40.4)</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3,038.3</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5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316.7</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8.4</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3,323.0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Available-for-sale securities:</w:t>
            </w: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Purchases</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(6,241.4)</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(811.3)</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(7,052.6)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ind w:left="200"/>
              <w:spacing w:after="0"/>
              <w:rPr>
                <w:sz w:val="20"/>
                <w:szCs w:val="20"/>
                <w:color w:val="auto"/>
              </w:rPr>
            </w:pPr>
            <w:r>
              <w:rPr>
                <w:rFonts w:ascii="Arial" w:cs="Arial" w:eastAsia="Arial" w:hAnsi="Arial"/>
                <w:sz w:val="18"/>
                <w:szCs w:val="18"/>
                <w:color w:val="auto"/>
              </w:rPr>
              <w:t>Sales</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834.3</w:t>
            </w:r>
          </w:p>
        </w:tc>
        <w:tc>
          <w:tcPr>
            <w:tcW w:w="12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576.5</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1,410.8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Maturities</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4,436.6</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583.9</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5,020.5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Mortgage loans acquired or originated</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(1,573.8)</w:t>
            </w:r>
          </w:p>
        </w:tc>
        <w:tc>
          <w:tcPr>
            <w:tcW w:w="12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(246.5)</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162.3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(1,658.0)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sold or repaid</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1,011.2</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205.1</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(41.0)</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1,175.3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Real estate acquired</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(0.3)</w:t>
            </w:r>
          </w:p>
        </w:tc>
        <w:tc>
          <w:tcPr>
            <w:tcW w:w="12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(255.5)</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(255.8)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Net purchases of property and equipment</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(77.7)</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(18.6)</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(96.3)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w w:val="97"/>
              </w:rPr>
              <w:t>Purchases of interests in subsidiaries, net of cash acquired</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(293.7)</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(293.7)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5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Dividends and returns of capital received from (contributed</w:t>
            </w:r>
          </w:p>
        </w:tc>
        <w:tc>
          <w:tcPr>
            <w:tcW w:w="160" w:type="dxa"/>
            <w:vAlign w:val="bottom"/>
            <w:shd w:val="clear" w:color="auto" w:fill="CCEEFF"/>
          </w:tcPr>
          <w:p>
            <w:pPr>
              <w:spacing w:after="0"/>
              <w:rPr>
                <w:sz w:val="17"/>
                <w:szCs w:val="17"/>
                <w:color w:val="auto"/>
              </w:rPr>
            </w:pPr>
          </w:p>
        </w:tc>
        <w:tc>
          <w:tcPr>
            <w:tcW w:w="118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425.5</w:t>
            </w:r>
          </w:p>
        </w:tc>
        <w:tc>
          <w:tcPr>
            <w:tcW w:w="120" w:type="dxa"/>
            <w:vAlign w:val="bottom"/>
            <w:shd w:val="clear" w:color="auto" w:fill="CCEEFF"/>
          </w:tcPr>
          <w:p>
            <w:pPr>
              <w:spacing w:after="0"/>
              <w:rPr>
                <w:sz w:val="17"/>
                <w:szCs w:val="17"/>
                <w:color w:val="auto"/>
              </w:rPr>
            </w:pPr>
          </w:p>
        </w:tc>
        <w:tc>
          <w:tcPr>
            <w:tcW w:w="1200" w:type="dxa"/>
            <w:vAlign w:val="bottom"/>
            <w:tcBorders>
              <w:right w:val="single" w:sz="8" w:color="CCEEFF"/>
            </w:tcBorders>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w:t>
            </w:r>
          </w:p>
        </w:tc>
        <w:tc>
          <w:tcPr>
            <w:tcW w:w="120" w:type="dxa"/>
            <w:vAlign w:val="bottom"/>
            <w:shd w:val="clear" w:color="auto" w:fill="CCEEFF"/>
          </w:tcPr>
          <w:p>
            <w:pPr>
              <w:spacing w:after="0"/>
              <w:rPr>
                <w:sz w:val="17"/>
                <w:szCs w:val="17"/>
                <w:color w:val="auto"/>
              </w:rPr>
            </w:pPr>
          </w:p>
        </w:tc>
        <w:tc>
          <w:tcPr>
            <w:tcW w:w="152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225.6</w:t>
            </w:r>
          </w:p>
        </w:tc>
        <w:tc>
          <w:tcPr>
            <w:tcW w:w="140" w:type="dxa"/>
            <w:vAlign w:val="bottom"/>
            <w:shd w:val="clear" w:color="auto" w:fill="CCEEFF"/>
          </w:tcPr>
          <w:p>
            <w:pPr>
              <w:spacing w:after="0"/>
              <w:rPr>
                <w:sz w:val="17"/>
                <w:szCs w:val="17"/>
                <w:color w:val="auto"/>
              </w:rPr>
            </w:pPr>
          </w:p>
        </w:tc>
        <w:tc>
          <w:tcPr>
            <w:tcW w:w="1160" w:type="dxa"/>
            <w:vAlign w:val="bottom"/>
            <w:tcBorders>
              <w:right w:val="single" w:sz="8" w:color="CCEEFF"/>
            </w:tcBorders>
            <w:gridSpan w:val="2"/>
            <w:vMerge w:val="restart"/>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(649.6)</w:t>
            </w:r>
          </w:p>
        </w:tc>
        <w:tc>
          <w:tcPr>
            <w:tcW w:w="120" w:type="dxa"/>
            <w:vAlign w:val="bottom"/>
            <w:shd w:val="clear" w:color="auto" w:fill="CCEEFF"/>
          </w:tcPr>
          <w:p>
            <w:pPr>
              <w:spacing w:after="0"/>
              <w:rPr>
                <w:sz w:val="17"/>
                <w:szCs w:val="17"/>
                <w:color w:val="auto"/>
              </w:rPr>
            </w:pPr>
          </w:p>
        </w:tc>
        <w:tc>
          <w:tcPr>
            <w:tcW w:w="11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5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 unconsolidated entities</w:t>
            </w:r>
          </w:p>
        </w:tc>
        <w:tc>
          <w:tcPr>
            <w:tcW w:w="160" w:type="dxa"/>
            <w:vAlign w:val="bottom"/>
            <w:shd w:val="clear" w:color="auto" w:fill="CCEEFF"/>
          </w:tcPr>
          <w:p>
            <w:pPr>
              <w:spacing w:after="0"/>
              <w:rPr>
                <w:sz w:val="20"/>
                <w:szCs w:val="20"/>
                <w:color w:val="auto"/>
              </w:rPr>
            </w:pPr>
          </w:p>
        </w:tc>
        <w:tc>
          <w:tcPr>
            <w:tcW w:w="1180" w:type="dxa"/>
            <w:vAlign w:val="bottom"/>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200" w:type="dxa"/>
            <w:vAlign w:val="bottom"/>
            <w:tcBorders>
              <w:right w:val="single" w:sz="8" w:color="CCEEFF"/>
            </w:tcBorders>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52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60" w:type="dxa"/>
            <w:vAlign w:val="bottom"/>
            <w:tcBorders>
              <w:right w:val="single" w:sz="8" w:color="CCEEFF"/>
            </w:tcBorders>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2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Net change in other investments</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1.5</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169.7</w:t>
            </w:r>
          </w:p>
        </w:tc>
        <w:tc>
          <w:tcPr>
            <w:tcW w:w="12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(167.1)</w:t>
            </w:r>
          </w:p>
        </w:tc>
        <w:tc>
          <w:tcPr>
            <w:tcW w:w="14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(21.1)</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8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Net cash provided by (used in) investing activities</w:t>
            </w: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8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427.0</w:t>
            </w:r>
          </w:p>
        </w:tc>
        <w:tc>
          <w:tcPr>
            <w:tcW w:w="18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(1,442.9)</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(201.6)</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(549.3)</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(1,766.8)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Issuance of common stock</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71.5</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Acquisition of treasury stock</w:t>
            </w:r>
          </w:p>
        </w:tc>
        <w:tc>
          <w:tcPr>
            <w:tcW w:w="16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(188.2)</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(188.2)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Proceeds from financing element derivatives</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0.2</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Payments for financing element derivatives</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(60.9)</w:t>
            </w:r>
          </w:p>
        </w:tc>
        <w:tc>
          <w:tcPr>
            <w:tcW w:w="12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(60.9)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w w:val="92"/>
              </w:rPr>
              <w:t>Excess tax benefits from share-based payment arrangements</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0.7</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5.5</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9.0</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w w:val="98"/>
              </w:rPr>
              <w:t>Purchase of subsidiary shares from noncontrolling interest</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(23.1)</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0.6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Sale of subsidiary shares to noncontrolling interest</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0.6</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(0.6)</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Dividends to common stockholders</w:t>
            </w:r>
          </w:p>
        </w:tc>
        <w:tc>
          <w:tcPr>
            <w:tcW w:w="16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(330.2)</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(330.2)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Dividends to preferred stockholders</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(16.5)</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Preferred stock redemption</w:t>
            </w:r>
          </w:p>
        </w:tc>
        <w:tc>
          <w:tcPr>
            <w:tcW w:w="16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(550.0)</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(550.0)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Issuance of long-term debt</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791.8</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167.2</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(158.6)</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800.4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Principal repayments of long-term debt</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(94.8)</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42.2</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(52.6)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Net proceeds from short-term borrowings</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197.2</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197.2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Dividends and capital paid to parent</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(225.6)</w:t>
            </w:r>
          </w:p>
        </w:tc>
        <w:tc>
          <w:tcPr>
            <w:tcW w:w="12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(424.0)</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649.6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deposits</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3,988.0</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202.3</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4,190.3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Investment contract withdrawals</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(4,966.3)</w:t>
            </w:r>
          </w:p>
        </w:tc>
        <w:tc>
          <w:tcPr>
            <w:tcW w:w="12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(8.0)</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(4,974.3)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Net increase in banking operation deposits</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24.9</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24.9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Other</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(10.4)</w:t>
            </w:r>
          </w:p>
        </w:tc>
        <w:tc>
          <w:tcPr>
            <w:tcW w:w="12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cash provided by (used in) financing activities</w:t>
            </w: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(220.9)</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(1,269.5)</w:t>
            </w:r>
          </w:p>
        </w:tc>
        <w:tc>
          <w:tcPr>
            <w:tcW w:w="16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51.3</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533.2</w:t>
            </w:r>
          </w:p>
        </w:tc>
        <w:tc>
          <w:tcPr>
            <w:tcW w:w="16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(905.9)</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80" w:type="dxa"/>
            <w:vAlign w:val="bottom"/>
          </w:tcPr>
          <w:p>
            <w:pPr>
              <w:spacing w:after="0"/>
              <w:rPr>
                <w:sz w:val="20"/>
                <w:szCs w:val="20"/>
                <w:color w:val="auto"/>
              </w:rPr>
            </w:pPr>
            <w:r>
              <w:rPr>
                <w:rFonts w:ascii="Arial" w:cs="Arial" w:eastAsia="Arial" w:hAnsi="Arial"/>
                <w:sz w:val="18"/>
                <w:szCs w:val="18"/>
                <w:color w:val="auto"/>
              </w:rPr>
              <w:t>Net increase in cash and cash equivalents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165.7</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325.9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b w:val="1"/>
                <w:bCs w:val="1"/>
                <w:color w:val="auto"/>
              </w:rPr>
              <w:t>166.4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(7.7)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650.3</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412.4</w:t>
            </w:r>
          </w:p>
        </w:tc>
        <w:tc>
          <w:tcPr>
            <w:tcW w:w="120" w:type="dxa"/>
            <w:vAlign w:val="bottom"/>
            <w:shd w:val="clear" w:color="auto" w:fill="CCEEFF"/>
          </w:tcPr>
          <w:p>
            <w:pPr>
              <w:spacing w:after="0"/>
              <w:rPr>
                <w:sz w:val="18"/>
                <w:szCs w:val="18"/>
                <w:color w:val="auto"/>
              </w:rPr>
            </w:pPr>
          </w:p>
        </w:tc>
        <w:tc>
          <w:tcPr>
            <w:tcW w:w="12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602.7</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1,253.6</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(404.8)</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1,863.9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58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578.1</w:t>
            </w:r>
          </w:p>
        </w:tc>
        <w:tc>
          <w:tcPr>
            <w:tcW w:w="1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928.6</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1,420.0</w:t>
            </w:r>
          </w:p>
        </w:tc>
        <w:tc>
          <w:tcPr>
            <w:tcW w:w="1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(412.5</w:t>
            </w:r>
          </w:p>
        </w:tc>
        <w:tc>
          <w:tcPr>
            <w:tcW w:w="160" w:type="dxa"/>
            <w:vAlign w:val="bottom"/>
          </w:tcPr>
          <w:p>
            <w:pPr>
              <w:jc w:val="right"/>
              <w:ind w:right="20"/>
              <w:spacing w:after="0"/>
              <w:rPr>
                <w:sz w:val="20"/>
                <w:szCs w:val="20"/>
                <w:color w:val="auto"/>
              </w:rPr>
            </w:pPr>
            <w:r>
              <w:rPr>
                <w:rFonts w:ascii="Arial" w:cs="Arial" w:eastAsia="Arial" w:hAnsi="Arial"/>
                <w:sz w:val="16"/>
                <w:szCs w:val="16"/>
                <w:b w:val="1"/>
                <w:bCs w:val="1"/>
                <w:color w:val="auto"/>
                <w:w w:val="74"/>
              </w:rPr>
              <w:t>)</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2,514.2</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58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3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nine months ended September 30, 2014</w:t>
      </w:r>
    </w:p>
    <w:p>
      <w:pPr>
        <w:spacing w:after="0" w:line="190" w:lineRule="exact"/>
        <w:rPr>
          <w:sz w:val="20"/>
          <w:szCs w:val="20"/>
          <w:color w:val="auto"/>
        </w:rPr>
      </w:pPr>
    </w:p>
    <w:tbl>
      <w:tblPr>
        <w:tblLayout w:type="fixed"/>
        <w:tblInd w:w="4580" w:type="dxa"/>
        <w:tblCellMar>
          <w:top w:w="0" w:type="dxa"/>
          <w:left w:w="0" w:type="dxa"/>
          <w:bottom w:w="0" w:type="dxa"/>
          <w:right w:w="0" w:type="dxa"/>
        </w:tblCellMar>
      </w:tblPr>
      <w:tr>
        <w:trPr>
          <w:trHeight w:val="161"/>
        </w:trPr>
        <w:tc>
          <w:tcPr>
            <w:tcW w:w="13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7"/>
              </w:rPr>
              <w:t>Principal</w:t>
            </w:r>
          </w:p>
        </w:tc>
        <w:tc>
          <w:tcPr>
            <w:tcW w:w="13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5"/>
              </w:rPr>
              <w:t>Principal Life</w:t>
            </w:r>
          </w:p>
        </w:tc>
        <w:tc>
          <w:tcPr>
            <w:tcW w:w="16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5"/>
              </w:rPr>
              <w:t>Principal Financial</w:t>
            </w:r>
          </w:p>
        </w:tc>
        <w:tc>
          <w:tcPr>
            <w:tcW w:w="1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49"/>
        </w:trPr>
        <w:tc>
          <w:tcPr>
            <w:tcW w:w="13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Financial</w:t>
            </w:r>
          </w:p>
        </w:tc>
        <w:tc>
          <w:tcPr>
            <w:tcW w:w="13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3"/>
              </w:rPr>
              <w:t>Insurance</w:t>
            </w:r>
          </w:p>
        </w:tc>
        <w:tc>
          <w:tcPr>
            <w:tcW w:w="16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Services, Inc. and</w:t>
            </w:r>
          </w:p>
        </w:tc>
        <w:tc>
          <w:tcPr>
            <w:tcW w:w="1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49"/>
        </w:trPr>
        <w:tc>
          <w:tcPr>
            <w:tcW w:w="13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4"/>
              </w:rPr>
              <w:t>Group, Inc.</w:t>
            </w:r>
          </w:p>
        </w:tc>
        <w:tc>
          <w:tcPr>
            <w:tcW w:w="13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3"/>
              </w:rPr>
              <w:t>Company</w:t>
            </w:r>
          </w:p>
        </w:tc>
        <w:tc>
          <w:tcPr>
            <w:tcW w:w="16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3"/>
              </w:rPr>
              <w:t>Other Subsidiaries</w:t>
            </w:r>
          </w:p>
        </w:tc>
        <w:tc>
          <w:tcPr>
            <w:tcW w:w="130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Eliminations</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71"/>
        </w:trPr>
        <w:tc>
          <w:tcPr>
            <w:tcW w:w="13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4"/>
              </w:rPr>
              <w:t>Parent Only</w:t>
            </w:r>
          </w:p>
        </w:tc>
        <w:tc>
          <w:tcPr>
            <w:tcW w:w="13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6"/>
              </w:rPr>
              <w:t>Only</w:t>
            </w:r>
          </w:p>
        </w:tc>
        <w:tc>
          <w:tcPr>
            <w:tcW w:w="16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3"/>
              </w:rPr>
              <w:t>Combined</w:t>
            </w:r>
          </w:p>
        </w:tc>
        <w:tc>
          <w:tcPr>
            <w:tcW w:w="1300" w:type="dxa"/>
            <w:vAlign w:val="bottom"/>
            <w:gridSpan w:val="2"/>
            <w:vMerge w:val="continue"/>
          </w:tcPr>
          <w:p>
            <w:pPr>
              <w:spacing w:after="0"/>
              <w:rPr>
                <w:sz w:val="14"/>
                <w:szCs w:val="14"/>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44"/>
        </w:trPr>
        <w:tc>
          <w:tcPr>
            <w:tcW w:w="116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480" w:type="dxa"/>
            <w:vAlign w:val="bottom"/>
            <w:tcBorders>
              <w:top w:val="single" w:sz="8" w:color="auto"/>
            </w:tcBorders>
          </w:tcPr>
          <w:p>
            <w:pPr>
              <w:jc w:val="center"/>
              <w:spacing w:after="0" w:line="144" w:lineRule="exact"/>
              <w:rPr>
                <w:sz w:val="20"/>
                <w:szCs w:val="20"/>
                <w:color w:val="auto"/>
              </w:rPr>
            </w:pPr>
            <w:r>
              <w:rPr>
                <w:rFonts w:ascii="Arial" w:cs="Arial" w:eastAsia="Arial" w:hAnsi="Arial"/>
                <w:sz w:val="14"/>
                <w:szCs w:val="14"/>
                <w:b w:val="1"/>
                <w:bCs w:val="1"/>
                <w:color w:val="auto"/>
                <w:w w:val="94"/>
              </w:rPr>
              <w:t>(in millions)</w:t>
            </w:r>
          </w:p>
        </w:tc>
        <w:tc>
          <w:tcPr>
            <w:tcW w:w="160" w:type="dxa"/>
            <w:vAlign w:val="bottom"/>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246620" cy="13716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ectPr>
          <w:pgSz w:w="11900" w:h="16838" w:orient="portrait"/>
          <w:cols w:equalWidth="0" w:num="1">
            <w:col w:w="11460"/>
          </w:cols>
          <w:pgMar w:left="240" w:top="140" w:right="199" w:bottom="0" w:gutter="0" w:footer="0" w:header="0"/>
        </w:sectPr>
      </w:pPr>
    </w:p>
    <w:p>
      <w:pPr>
        <w:spacing w:after="0"/>
        <w:rPr>
          <w:sz w:val="20"/>
          <w:szCs w:val="20"/>
          <w:color w:val="auto"/>
        </w:rPr>
      </w:pPr>
      <w:r>
        <w:rPr>
          <w:rFonts w:ascii="Arial" w:cs="Arial" w:eastAsia="Arial" w:hAnsi="Arial"/>
          <w:sz w:val="16"/>
          <w:szCs w:val="16"/>
          <w:b w:val="1"/>
          <w:bCs w:val="1"/>
          <w:color w:val="auto"/>
        </w:rPr>
        <w:t>Operating activities</w:t>
      </w:r>
    </w:p>
    <w:p>
      <w:pPr>
        <w:sectPr>
          <w:pgSz w:w="11900" w:h="16838" w:orient="portrait"/>
          <w:cols w:equalWidth="0" w:num="1">
            <w:col w:w="11460"/>
          </w:cols>
          <w:pgMar w:left="240" w:top="140" w:right="199" w:bottom="0" w:gutter="0" w:footer="0" w:header="0"/>
          <w:type w:val="continuous"/>
        </w:sectPr>
      </w:pPr>
    </w:p>
    <w:bookmarkStart w:id="58" w:name="page59"/>
    <w:bookmarkEnd w:id="58"/>
    <w:tbl>
      <w:tblPr>
        <w:tblLayout w:type="fixed"/>
        <w:tblInd w:w="0" w:type="dxa"/>
        <w:tblCellMar>
          <w:top w:w="0" w:type="dxa"/>
          <w:left w:w="0" w:type="dxa"/>
          <w:bottom w:w="0" w:type="dxa"/>
          <w:right w:w="0" w:type="dxa"/>
        </w:tblCellMar>
      </w:tblPr>
      <w:tr>
        <w:trPr>
          <w:trHeight w:val="230"/>
        </w:trPr>
        <w:tc>
          <w:tcPr>
            <w:tcW w:w="4580" w:type="dxa"/>
            <w:vAlign w:val="bottom"/>
          </w:tcPr>
          <w:p>
            <w:pPr>
              <w:spacing w:after="0"/>
              <w:rPr>
                <w:sz w:val="20"/>
                <w:szCs w:val="20"/>
                <w:color w:val="auto"/>
              </w:rPr>
            </w:pPr>
            <w:r>
              <w:rPr>
                <w:rFonts w:ascii="Arial" w:cs="Arial" w:eastAsia="Arial" w:hAnsi="Arial"/>
                <w:sz w:val="18"/>
                <w:szCs w:val="18"/>
                <w:color w:val="auto"/>
              </w:rPr>
              <w:t>Net cash provided by (used in) operating activities</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(42.3)</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1,729.9</w:t>
            </w:r>
          </w:p>
        </w:tc>
        <w:tc>
          <w:tcPr>
            <w:tcW w:w="600" w:type="dxa"/>
            <w:vAlign w:val="bottom"/>
            <w:gridSpan w:val="2"/>
          </w:tcPr>
          <w:p>
            <w:pPr>
              <w:jc w:val="right"/>
              <w:ind w:right="37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504.6</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20"/>
                <w:szCs w:val="20"/>
                <w:color w:val="auto"/>
              </w:rPr>
            </w:pPr>
          </w:p>
        </w:tc>
        <w:tc>
          <w:tcPr>
            <w:tcW w:w="360" w:type="dxa"/>
            <w:vAlign w:val="bottom"/>
            <w:gridSpan w:val="2"/>
          </w:tcPr>
          <w:p>
            <w:pPr>
              <w:jc w:val="right"/>
              <w:ind w:right="145"/>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2,197.6</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4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Available-for-sale securities:</w:t>
            </w:r>
          </w:p>
        </w:tc>
        <w:tc>
          <w:tcPr>
            <w:tcW w:w="4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Purchases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(5,902.2)</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(705.1)</w:t>
            </w: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(6,596.0)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ind w:left="200"/>
              <w:spacing w:after="0"/>
              <w:rPr>
                <w:sz w:val="20"/>
                <w:szCs w:val="20"/>
                <w:color w:val="auto"/>
              </w:rPr>
            </w:pPr>
            <w:r>
              <w:rPr>
                <w:rFonts w:ascii="Arial" w:cs="Arial" w:eastAsia="Arial" w:hAnsi="Arial"/>
                <w:sz w:val="18"/>
                <w:szCs w:val="18"/>
                <w:color w:val="auto"/>
              </w:rPr>
              <w:t>Sales</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1,559.7</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311.8</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1,871.5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Maturities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4,149.4</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349.9</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4,499.3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Mortgage loans acquired or originated</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(1,620.6)</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(118.1)</w:t>
            </w:r>
          </w:p>
        </w:tc>
        <w:tc>
          <w:tcPr>
            <w:tcW w:w="3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124.5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(1,614.2)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sold or repaid</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1,291.5</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137.6</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(109.3)</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1,319.8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Real estate acquired</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(0.6)</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(246.2)</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(246.8)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Net purchases of property and equipment</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(90.3)</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(27.2)</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(117.5)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580" w:type="dxa"/>
            <w:vAlign w:val="bottom"/>
          </w:tcPr>
          <w:p>
            <w:pPr>
              <w:spacing w:after="0" w:line="201" w:lineRule="exact"/>
              <w:rPr>
                <w:sz w:val="20"/>
                <w:szCs w:val="20"/>
                <w:color w:val="auto"/>
              </w:rPr>
            </w:pPr>
            <w:r>
              <w:rPr>
                <w:rFonts w:ascii="Arial" w:cs="Arial" w:eastAsia="Arial" w:hAnsi="Arial"/>
                <w:sz w:val="18"/>
                <w:szCs w:val="18"/>
                <w:color w:val="auto"/>
              </w:rPr>
              <w:t>Dividends and returns of capital received from</w:t>
            </w:r>
          </w:p>
        </w:tc>
        <w:tc>
          <w:tcPr>
            <w:tcW w:w="4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580" w:type="dxa"/>
            <w:vAlign w:val="bottom"/>
          </w:tcPr>
          <w:p>
            <w:pPr>
              <w:ind w:left="180"/>
              <w:spacing w:after="0"/>
              <w:rPr>
                <w:sz w:val="20"/>
                <w:szCs w:val="20"/>
                <w:color w:val="auto"/>
              </w:rPr>
            </w:pPr>
            <w:r>
              <w:rPr>
                <w:rFonts w:ascii="Arial" w:cs="Arial" w:eastAsia="Arial" w:hAnsi="Arial"/>
                <w:sz w:val="18"/>
                <w:szCs w:val="18"/>
                <w:color w:val="auto"/>
              </w:rPr>
              <w:t>unconsolidated entities</w:t>
            </w:r>
          </w:p>
        </w:tc>
        <w:tc>
          <w:tcPr>
            <w:tcW w:w="400" w:type="dxa"/>
            <w:vAlign w:val="bottom"/>
          </w:tcPr>
          <w:p>
            <w:pPr>
              <w:spacing w:after="0"/>
              <w:rPr>
                <w:sz w:val="20"/>
                <w:szCs w:val="20"/>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517.5</w:t>
            </w:r>
          </w:p>
        </w:tc>
        <w:tc>
          <w:tcPr>
            <w:tcW w:w="320" w:type="dxa"/>
            <w:vAlign w:val="bottom"/>
          </w:tcPr>
          <w:p>
            <w:pPr>
              <w:spacing w:after="0"/>
              <w:rPr>
                <w:sz w:val="20"/>
                <w:szCs w:val="20"/>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263.5</w:t>
            </w:r>
          </w:p>
        </w:tc>
        <w:tc>
          <w:tcPr>
            <w:tcW w:w="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467.5</w:t>
            </w:r>
          </w:p>
        </w:tc>
        <w:tc>
          <w:tcPr>
            <w:tcW w:w="320" w:type="dxa"/>
            <w:vAlign w:val="bottom"/>
          </w:tcPr>
          <w:p>
            <w:pPr>
              <w:spacing w:after="0"/>
              <w:rPr>
                <w:sz w:val="20"/>
                <w:szCs w:val="20"/>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(1,248.5)</w:t>
            </w: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Net change in other investments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(83.6)</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34.9</w:t>
            </w: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80" w:type="dxa"/>
            <w:vAlign w:val="bottom"/>
            <w:vMerge w:val="restart"/>
          </w:tcPr>
          <w:p>
            <w:pPr>
              <w:spacing w:after="0"/>
              <w:rPr>
                <w:sz w:val="20"/>
                <w:szCs w:val="20"/>
                <w:color w:val="auto"/>
              </w:rPr>
            </w:pPr>
            <w:r>
              <w:rPr>
                <w:rFonts w:ascii="Arial" w:cs="Arial" w:eastAsia="Arial" w:hAnsi="Arial"/>
                <w:sz w:val="18"/>
                <w:szCs w:val="18"/>
                <w:color w:val="auto"/>
              </w:rPr>
              <w:t>Net cash provided by (used in) investing activities</w:t>
            </w:r>
          </w:p>
        </w:tc>
        <w:tc>
          <w:tcPr>
            <w:tcW w:w="4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80" w:type="dxa"/>
            <w:vAlign w:val="bottom"/>
            <w:vMerge w:val="continue"/>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515.5</w:t>
            </w:r>
          </w:p>
        </w:tc>
        <w:tc>
          <w:tcPr>
            <w:tcW w:w="18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(433.2)</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205.1</w:t>
            </w:r>
          </w:p>
        </w:tc>
        <w:tc>
          <w:tcPr>
            <w:tcW w:w="16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(1,114.7)</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(827.3)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4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69.6</w:t>
            </w:r>
          </w:p>
        </w:tc>
        <w:tc>
          <w:tcPr>
            <w:tcW w:w="3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(0.2)</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0.2</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69.6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Acquisition of treasury stock</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(222.5)</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Proceeds from financing element derivatives</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14.9</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14.9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Payments for financing element derivatives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(41.5)</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w w:val="92"/>
              </w:rPr>
              <w:t>Excess tax benefits from share-based payment arrangements</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0.3</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3.7</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4.6</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8.6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w w:val="98"/>
              </w:rPr>
              <w:t>Purchase of subsidiary shares from noncontrolling interest</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(222.7)</w:t>
            </w: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Sale of subsidiary shares to noncontrolling interest</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0.3</w:t>
            </w: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(0.3)</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Dividends to common stockholders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(276.7)</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Dividends to preferred stockholders</w:t>
            </w:r>
          </w:p>
        </w:tc>
        <w:tc>
          <w:tcPr>
            <w:tcW w:w="40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(24.7)</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(24.7)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Issuance of long-term debt</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138.9</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(102.4)</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Principal repayments of long-term debt</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(100.0)</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(87.4)</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87.1</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(100.3)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Net repayments of short-term borrowings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(20.5)</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Dividends and capital paid to parent</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(467.5)</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(781.0)</w:t>
            </w:r>
          </w:p>
        </w:tc>
        <w:tc>
          <w:tcPr>
            <w:tcW w:w="3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1,248.5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deposits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3,978.2</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206.1</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4,184.3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Investment contract withdrawals</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(5,857.3)</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(7.0)</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(5,864.3)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Net decrease in banking operation deposits</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Other</w:t>
            </w:r>
          </w:p>
        </w:tc>
        <w:tc>
          <w:tcPr>
            <w:tcW w:w="40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(10.1)</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0.1</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cash used in financing activities</w:t>
            </w:r>
          </w:p>
        </w:tc>
        <w:tc>
          <w:tcPr>
            <w:tcW w:w="400" w:type="dxa"/>
            <w:vAlign w:val="bottom"/>
            <w:tcBorders>
              <w:top w:val="single" w:sz="8" w:color="auto"/>
              <w:bottom w:val="single" w:sz="8" w:color="auto"/>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(454.0)</w:t>
            </w:r>
          </w:p>
        </w:tc>
        <w:tc>
          <w:tcPr>
            <w:tcW w:w="1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(2,479.8)</w:t>
            </w:r>
          </w:p>
        </w:tc>
        <w:tc>
          <w:tcPr>
            <w:tcW w:w="12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(770.7)</w:t>
            </w:r>
          </w:p>
        </w:tc>
        <w:tc>
          <w:tcPr>
            <w:tcW w:w="16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1,233.2</w:t>
            </w:r>
          </w:p>
        </w:tc>
        <w:tc>
          <w:tcPr>
            <w:tcW w:w="10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spacing w:after="0"/>
              <w:rPr>
                <w:sz w:val="18"/>
                <w:szCs w:val="18"/>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(2,471.3)</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80" w:type="dxa"/>
            <w:vAlign w:val="bottom"/>
          </w:tcPr>
          <w:p>
            <w:pPr>
              <w:spacing w:after="0"/>
              <w:rPr>
                <w:sz w:val="20"/>
                <w:szCs w:val="20"/>
                <w:color w:val="auto"/>
              </w:rPr>
            </w:pPr>
            <w:r>
              <w:rPr>
                <w:rFonts w:ascii="Arial" w:cs="Arial" w:eastAsia="Arial" w:hAnsi="Arial"/>
                <w:sz w:val="18"/>
                <w:szCs w:val="18"/>
                <w:color w:val="auto"/>
              </w:rPr>
              <w:t>Net increase (decrease) in cash and cash equivalents</w:t>
            </w: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19.2</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(1,183.1)</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(61.0)</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123.9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(1,101.0)</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4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131.5</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1,332.2</w:t>
            </w:r>
          </w:p>
        </w:tc>
        <w:tc>
          <w:tcPr>
            <w:tcW w:w="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894.5</w:t>
            </w: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13.6</w:t>
            </w:r>
          </w:p>
        </w:tc>
        <w:tc>
          <w:tcPr>
            <w:tcW w:w="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2,371.8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8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40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150.7</w:t>
            </w:r>
          </w:p>
        </w:tc>
        <w:tc>
          <w:tcPr>
            <w:tcW w:w="180" w:type="dxa"/>
            <w:vAlign w:val="bottom"/>
          </w:tcPr>
          <w:p>
            <w:pPr>
              <w:spacing w:after="0"/>
              <w:rPr>
                <w:sz w:val="18"/>
                <w:szCs w:val="18"/>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149.1</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833.5</w:t>
            </w:r>
          </w:p>
        </w:tc>
        <w:tc>
          <w:tcPr>
            <w:tcW w:w="160" w:type="dxa"/>
            <w:vAlign w:val="bottom"/>
          </w:tcPr>
          <w:p>
            <w:pPr>
              <w:spacing w:after="0"/>
              <w:rPr>
                <w:sz w:val="18"/>
                <w:szCs w:val="18"/>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137.5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45"/>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1,270.8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5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83</w:t>
            </w: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580" w:type="dxa"/>
            <w:vAlign w:val="bottom"/>
            <w:tcBorders>
              <w:bottom w:val="single" w:sz="8" w:color="808080"/>
            </w:tcBorders>
          </w:tcPr>
          <w:p>
            <w:pPr>
              <w:spacing w:after="0"/>
              <w:rPr>
                <w:sz w:val="11"/>
                <w:szCs w:val="11"/>
                <w:color w:val="auto"/>
              </w:rPr>
            </w:pPr>
          </w:p>
        </w:tc>
        <w:tc>
          <w:tcPr>
            <w:tcW w:w="40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56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6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140" w:firstLine="648"/>
        <w:spacing w:after="0" w:line="255" w:lineRule="auto"/>
        <w:rPr>
          <w:sz w:val="20"/>
          <w:szCs w:val="20"/>
          <w:color w:val="auto"/>
        </w:rPr>
      </w:pPr>
      <w:r>
        <w:rPr>
          <w:rFonts w:ascii="Arial" w:cs="Arial" w:eastAsia="Arial" w:hAnsi="Arial"/>
          <w:sz w:val="18"/>
          <w:szCs w:val="18"/>
          <w:color w:val="auto"/>
        </w:rPr>
        <w:t>On May 7, 2014, our shelf registration statement was filed with the SEC and became effective replacing the shelf registration that had been in effect since May 2011. Under our current shelf registration, we have the ability to issue in unlimited amounts, unsecured senior debt securities or subordinated debt securities, junior subordinated debt, preferred stock, common stock, warrants, depository shares, stock purchase contracts and stock purchase units of PFG, trust preferred securities of three subsidiary trusts and guarantees by PFG of these trust preferred securities. Our wholly owned subsidiary, PFS, may guarantee, fully and unconditionally or otherwise, our obligations with respect to any non-convertible securities, other than common stock, described in the shelf registration.</w:t>
      </w:r>
    </w:p>
    <w:p>
      <w:pPr>
        <w:spacing w:after="0" w:line="193" w:lineRule="exact"/>
        <w:rPr>
          <w:sz w:val="20"/>
          <w:szCs w:val="20"/>
          <w:color w:val="auto"/>
        </w:rPr>
      </w:pPr>
    </w:p>
    <w:p>
      <w:pPr>
        <w:jc w:val="both"/>
        <w:ind w:right="140" w:firstLine="648"/>
        <w:spacing w:after="0" w:line="264" w:lineRule="auto"/>
        <w:rPr>
          <w:sz w:val="20"/>
          <w:szCs w:val="20"/>
          <w:color w:val="auto"/>
        </w:rPr>
      </w:pPr>
      <w:r>
        <w:rPr>
          <w:rFonts w:ascii="Arial" w:cs="Arial" w:eastAsia="Arial" w:hAnsi="Arial"/>
          <w:sz w:val="18"/>
          <w:szCs w:val="18"/>
          <w:color w:val="auto"/>
        </w:rPr>
        <w:t>The following tables set forth condensed consolidating financial information of (i) PFG, (ii) PFS, (iii) Principal Life and all other direct and indirect subsidiaries of PFG on a combined basis and (iv) the eliminations necessary to arrive at the information for PFG on a consolidated basis as of September 30, 2015 and December 31, 2014, and for the nine months ended September 30, 2015 and 2014.</w:t>
      </w:r>
    </w:p>
    <w:p>
      <w:pPr>
        <w:spacing w:after="0" w:line="181"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In presenting the condensed consolidating financial statements, the equity method of accounting has been applied to (i) PFG’s interest in all direct subsidiaries of PFG and (ii) PFS’s interest in Principal Life and all other subsidiaries, where applicable, even though all such subsidiaries meet the requirements to be consolidated under U.S. GAAP. Earnings of subsidiaries are, therefore, reflected in the parent’s investment and earnings. All intercompany balances and transactions, including elimination of the parent’s investment in subsidiaries, between PFG, PFS and Principal Life and all other subsidiaries have been eliminated, as shown in the column “Eliminations.” These condensed consolidating financial statements should be read in conjunction with the consolidated financial statements. The financial information may not necessarily be indicative of results of operations, cash flows or financial position had the subsidiaries operated as independent entities.</w:t>
      </w:r>
    </w:p>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ectPr>
          <w:pgSz w:w="11900" w:h="16838" w:orient="portrait"/>
          <w:cols w:equalWidth="0" w:num="1">
            <w:col w:w="11460"/>
          </w:cols>
          <w:pgMar w:left="240" w:top="125" w:right="199" w:bottom="0" w:gutter="0" w:footer="0" w:header="0"/>
        </w:sectPr>
      </w:pPr>
    </w:p>
    <w:bookmarkStart w:id="59" w:name="page60"/>
    <w:bookmarkEnd w:id="59"/>
    <w:p>
      <w:pPr>
        <w:jc w:val="center"/>
        <w:ind w:right="40"/>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Principal</w:t>
            </w:r>
          </w:p>
        </w:tc>
        <w:tc>
          <w:tcPr>
            <w:tcW w:w="100" w:type="dxa"/>
            <w:vAlign w:val="bottom"/>
          </w:tcPr>
          <w:p>
            <w:pPr>
              <w:spacing w:after="0"/>
              <w:rPr>
                <w:sz w:val="14"/>
                <w:szCs w:val="14"/>
                <w:color w:val="auto"/>
              </w:rPr>
            </w:pPr>
          </w:p>
        </w:tc>
        <w:tc>
          <w:tcPr>
            <w:tcW w:w="11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4"/>
              </w:rPr>
              <w:t>Principal</w:t>
            </w:r>
          </w:p>
        </w:tc>
        <w:tc>
          <w:tcPr>
            <w:tcW w:w="120" w:type="dxa"/>
            <w:vAlign w:val="bottom"/>
          </w:tcPr>
          <w:p>
            <w:pPr>
              <w:spacing w:after="0"/>
              <w:rPr>
                <w:sz w:val="14"/>
                <w:szCs w:val="14"/>
                <w:color w:val="auto"/>
              </w:rPr>
            </w:pPr>
          </w:p>
        </w:tc>
        <w:tc>
          <w:tcPr>
            <w:tcW w:w="16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7"/>
              </w:rPr>
              <w:t>Principal Life</w:t>
            </w: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6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Insurance Company</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Financial</w:t>
            </w:r>
          </w:p>
        </w:tc>
        <w:tc>
          <w:tcPr>
            <w:tcW w:w="10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2"/>
                <w:szCs w:val="12"/>
                <w:color w:val="auto"/>
              </w:rPr>
            </w:pPr>
          </w:p>
        </w:tc>
        <w:tc>
          <w:tcPr>
            <w:tcW w:w="16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and Other</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Group, Inc.</w:t>
            </w:r>
          </w:p>
        </w:tc>
        <w:tc>
          <w:tcPr>
            <w:tcW w:w="100" w:type="dxa"/>
            <w:vAlign w:val="bottom"/>
          </w:tcPr>
          <w:p>
            <w:pPr>
              <w:spacing w:after="0"/>
              <w:rPr>
                <w:sz w:val="12"/>
                <w:szCs w:val="12"/>
                <w:color w:val="auto"/>
              </w:rPr>
            </w:pPr>
          </w:p>
        </w:tc>
        <w:tc>
          <w:tcPr>
            <w:tcW w:w="11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Services, Inc.</w:t>
            </w:r>
          </w:p>
        </w:tc>
        <w:tc>
          <w:tcPr>
            <w:tcW w:w="120" w:type="dxa"/>
            <w:vAlign w:val="bottom"/>
          </w:tcPr>
          <w:p>
            <w:pPr>
              <w:spacing w:after="0"/>
              <w:rPr>
                <w:sz w:val="12"/>
                <w:szCs w:val="12"/>
                <w:color w:val="auto"/>
              </w:rPr>
            </w:pPr>
          </w:p>
        </w:tc>
        <w:tc>
          <w:tcPr>
            <w:tcW w:w="16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Subsidiaries</w:t>
            </w:r>
          </w:p>
        </w:tc>
        <w:tc>
          <w:tcPr>
            <w:tcW w:w="140" w:type="dxa"/>
            <w:vAlign w:val="bottom"/>
          </w:tcPr>
          <w:p>
            <w:pPr>
              <w:spacing w:after="0"/>
              <w:rPr>
                <w:sz w:val="12"/>
                <w:szCs w:val="12"/>
                <w:color w:val="auto"/>
              </w:rPr>
            </w:pPr>
          </w:p>
        </w:tc>
        <w:tc>
          <w:tcPr>
            <w:tcW w:w="116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w w:val="96"/>
              </w:rPr>
              <w:t>Eliminations</w:t>
            </w: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0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Parent Only</w:t>
            </w:r>
          </w:p>
        </w:tc>
        <w:tc>
          <w:tcPr>
            <w:tcW w:w="100" w:type="dxa"/>
            <w:vAlign w:val="bottom"/>
          </w:tcPr>
          <w:p>
            <w:pPr>
              <w:spacing w:after="0"/>
              <w:rPr>
                <w:sz w:val="14"/>
                <w:szCs w:val="14"/>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Only</w:t>
            </w:r>
          </w:p>
        </w:tc>
        <w:tc>
          <w:tcPr>
            <w:tcW w:w="120" w:type="dxa"/>
            <w:vAlign w:val="bottom"/>
          </w:tcPr>
          <w:p>
            <w:pPr>
              <w:spacing w:after="0"/>
              <w:rPr>
                <w:sz w:val="14"/>
                <w:szCs w:val="14"/>
                <w:color w:val="auto"/>
              </w:rPr>
            </w:pPr>
          </w:p>
        </w:tc>
        <w:tc>
          <w:tcPr>
            <w:tcW w:w="16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Combined</w:t>
            </w:r>
          </w:p>
        </w:tc>
        <w:tc>
          <w:tcPr>
            <w:tcW w:w="140" w:type="dxa"/>
            <w:vAlign w:val="bottom"/>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460" w:type="dxa"/>
            <w:vAlign w:val="bottom"/>
            <w:tcBorders>
              <w:top w:val="single" w:sz="8" w:color="auto"/>
            </w:tcBorders>
          </w:tcPr>
          <w:p>
            <w:pPr>
              <w:jc w:val="center"/>
              <w:ind w:right="32"/>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7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49,780.6</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49,780.6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710.2</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710.2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465.3</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465.3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w:t>
            </w:r>
          </w:p>
        </w:tc>
        <w:tc>
          <w:tcPr>
            <w:tcW w:w="1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864.9</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869.1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Mortgage loans</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12,232.1</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12,232.1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1,415.0</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1,415.0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Policy loans</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822.8</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822.8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Investment in unconsolidated entities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12,494.0</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12,498.9</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546.2</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(24,948.7)</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590.4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Other investments</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9.7</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176.3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2,494.0</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2,680.0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578.1</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577.2</w:t>
            </w:r>
          </w:p>
        </w:tc>
        <w:tc>
          <w:tcPr>
            <w:tcW w:w="1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2,450.0</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(1,091.1)</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2,514.2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Accrued investment income</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566.7</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566.8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13.1</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1,544.5</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(156.0)</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1,401.6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Deferred acquisition costs</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3,145.0</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3,145.0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611.6</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611.6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Goodwill</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1,005.2</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1,005.2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1,398.9</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1,398.9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Separate account assets</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134,045.8</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134,045.8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452.7</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232.1</w:t>
            </w:r>
          </w:p>
        </w:tc>
        <w:tc>
          <w:tcPr>
            <w:tcW w:w="1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1,091.8</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(665.8)</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1,110.8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08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assets</w:t>
            </w:r>
          </w:p>
        </w:tc>
        <w:tc>
          <w:tcPr>
            <w:tcW w:w="6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13,534.5</w:t>
            </w:r>
          </w:p>
        </w:tc>
        <w:tc>
          <w:tcPr>
            <w:tcW w:w="18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13,501.</w:t>
            </w:r>
            <w:r>
              <w:rPr>
                <w:rFonts w:ascii="Arial" w:cs="Arial" w:eastAsia="Arial" w:hAnsi="Arial"/>
                <w:sz w:val="18"/>
                <w:szCs w:val="18"/>
                <w:b w:val="1"/>
                <w:bCs w:val="1"/>
                <w:u w:val="single" w:color="auto"/>
                <w:color w:val="auto"/>
              </w:rPr>
              <w:t>9</w:t>
            </w:r>
          </w:p>
        </w:tc>
        <w:tc>
          <w:tcPr>
            <w:tcW w:w="18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215,190.6</w:t>
            </w:r>
          </w:p>
        </w:tc>
        <w:tc>
          <w:tcPr>
            <w:tcW w:w="16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(26,861.6)</w:t>
            </w:r>
          </w:p>
        </w:tc>
        <w:tc>
          <w:tcPr>
            <w:tcW w:w="16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215,365.4</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80" w:type="dxa"/>
            <w:vAlign w:val="bottom"/>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w:t>
            </w: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80" w:type="dxa"/>
            <w:vAlign w:val="bottom"/>
            <w:tcBorders>
              <w:right w:val="single" w:sz="8" w:color="CCEEFF"/>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60" w:type="dxa"/>
            <w:vAlign w:val="bottom"/>
            <w:tcBorders>
              <w:right w:val="single" w:sz="8" w:color="CCEEFF"/>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Contractholder funds</w:t>
            </w:r>
          </w:p>
        </w:tc>
        <w:tc>
          <w:tcPr>
            <w:tcW w:w="7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35,115.2</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35,115.2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25,521.7</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25,521.7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Other policyholder funds</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819.5</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819.5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367.4</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(145.8)</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221.6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Long-term debt</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3,247.9</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156.0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38.2</w:t>
            </w:r>
          </w:p>
        </w:tc>
        <w:tc>
          <w:tcPr>
            <w:tcW w:w="14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(156.0)</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3,286.1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83.3</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(66.6)</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Deferred income taxes</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1.0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1,471.5</w:t>
            </w:r>
          </w:p>
        </w:tc>
        <w:tc>
          <w:tcPr>
            <w:tcW w:w="14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(593.7)</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878.8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134,045.8</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134,045.8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Other liabilities</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666.3</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933.8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5,002.7</w:t>
            </w:r>
          </w:p>
        </w:tc>
        <w:tc>
          <w:tcPr>
            <w:tcW w:w="14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(906.6)</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5,696.2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80" w:type="dxa"/>
            <w:vAlign w:val="bottom"/>
            <w:vMerge w:val="restart"/>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6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080" w:type="dxa"/>
            <w:vAlign w:val="bottom"/>
            <w:vMerge w:val="continue"/>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3,914.2</w:t>
            </w:r>
          </w:p>
        </w:tc>
        <w:tc>
          <w:tcPr>
            <w:tcW w:w="1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1,090.8</w:t>
            </w:r>
          </w:p>
        </w:tc>
        <w:tc>
          <w:tcPr>
            <w:tcW w:w="1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202,465.3</w:t>
            </w:r>
          </w:p>
        </w:tc>
        <w:tc>
          <w:tcPr>
            <w:tcW w:w="16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(1,868.7)</w:t>
            </w: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205,601.6</w:t>
            </w:r>
          </w:p>
        </w:tc>
        <w:tc>
          <w:tcPr>
            <w:tcW w:w="1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Redeemable noncontrolling interest</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78.0</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Common stock</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4.7</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17.8</w:t>
            </w:r>
          </w:p>
        </w:tc>
        <w:tc>
          <w:tcPr>
            <w:tcW w:w="14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(17.8)</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9,524.2</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8,984.8</w:t>
            </w:r>
          </w:p>
        </w:tc>
        <w:tc>
          <w:tcPr>
            <w:tcW w:w="1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9,847.5</w:t>
            </w:r>
          </w:p>
        </w:tc>
        <w:tc>
          <w:tcPr>
            <w:tcW w:w="140" w:type="dxa"/>
            <w:vAlign w:val="bottom"/>
            <w:shd w:val="clear" w:color="auto" w:fill="CCEEFF"/>
          </w:tcPr>
          <w:p>
            <w:pPr>
              <w:spacing w:after="0"/>
              <w:rPr>
                <w:sz w:val="18"/>
                <w:szCs w:val="18"/>
                <w:color w:val="auto"/>
              </w:rPr>
            </w:pPr>
          </w:p>
        </w:tc>
        <w:tc>
          <w:tcPr>
            <w:tcW w:w="11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(18,832.3)</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9,524.2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Retained earnings</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6,734.7</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3,504.1</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2,930.6</w:t>
            </w:r>
          </w:p>
        </w:tc>
        <w:tc>
          <w:tcPr>
            <w:tcW w:w="14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(6,434.7)</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6,734.7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(524.4)</w:t>
            </w:r>
          </w:p>
        </w:tc>
        <w:tc>
          <w:tcPr>
            <w:tcW w:w="10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(77.8)</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(212.1)</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289.9</w:t>
            </w: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(524.4)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Treasury stock, at cost</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(6,118.9)</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(2.0)</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(6,118.9)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8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stockholders’ equity attributable to PFG</w:t>
            </w:r>
          </w:p>
        </w:tc>
        <w:tc>
          <w:tcPr>
            <w:tcW w:w="6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9,620.3</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12,411.1</w:t>
            </w:r>
          </w:p>
        </w:tc>
        <w:tc>
          <w:tcPr>
            <w:tcW w:w="18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12,581.8</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(24,992.9)</w:t>
            </w:r>
          </w:p>
        </w:tc>
        <w:tc>
          <w:tcPr>
            <w:tcW w:w="16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9,620.3</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Noncontrolling interest</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65.5</w:t>
            </w:r>
          </w:p>
        </w:tc>
        <w:tc>
          <w:tcPr>
            <w:tcW w:w="14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8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stockholders’ equity</w:t>
            </w:r>
          </w:p>
        </w:tc>
        <w:tc>
          <w:tcPr>
            <w:tcW w:w="6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9,620.3</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12,411.1</w:t>
            </w:r>
          </w:p>
        </w:tc>
        <w:tc>
          <w:tcPr>
            <w:tcW w:w="18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12,647.3</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(24,992.9)</w:t>
            </w:r>
          </w:p>
        </w:tc>
        <w:tc>
          <w:tcPr>
            <w:tcW w:w="160" w:type="dxa"/>
            <w:vAlign w:val="bottom"/>
            <w:tcBorders>
              <w:top w:val="single" w:sz="8" w:color="CCEEFF"/>
              <w:right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9,685.8</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80" w:type="dxa"/>
            <w:vAlign w:val="bottom"/>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60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13,534.5</w:t>
            </w:r>
          </w:p>
        </w:tc>
        <w:tc>
          <w:tcPr>
            <w:tcW w:w="18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13,501.9</w:t>
            </w:r>
          </w:p>
        </w:tc>
        <w:tc>
          <w:tcPr>
            <w:tcW w:w="18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215,190.6</w:t>
            </w:r>
          </w:p>
        </w:tc>
        <w:tc>
          <w:tcPr>
            <w:tcW w:w="16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(26,861.6</w:t>
            </w:r>
          </w:p>
        </w:tc>
        <w:tc>
          <w:tcPr>
            <w:tcW w:w="160" w:type="dxa"/>
            <w:vAlign w:val="bottom"/>
          </w:tcPr>
          <w:p>
            <w:pPr>
              <w:jc w:val="right"/>
              <w:ind w:right="20"/>
              <w:spacing w:after="0"/>
              <w:rPr>
                <w:sz w:val="20"/>
                <w:szCs w:val="20"/>
                <w:color w:val="auto"/>
              </w:rPr>
            </w:pPr>
            <w:r>
              <w:rPr>
                <w:rFonts w:ascii="Arial" w:cs="Arial" w:eastAsia="Arial" w:hAnsi="Arial"/>
                <w:sz w:val="16"/>
                <w:szCs w:val="16"/>
                <w:b w:val="1"/>
                <w:bCs w:val="1"/>
                <w:color w:val="auto"/>
                <w:w w:val="74"/>
              </w:rPr>
              <w:t>)</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215,365.4</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85</w:t>
            </w: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4080" w:type="dxa"/>
            <w:vAlign w:val="bottom"/>
            <w:tcBorders>
              <w:bottom w:val="single" w:sz="8" w:color="808080"/>
            </w:tcBorders>
          </w:tcPr>
          <w:p>
            <w:pPr>
              <w:spacing w:after="0"/>
              <w:rPr>
                <w:sz w:val="11"/>
                <w:szCs w:val="11"/>
                <w:color w:val="auto"/>
              </w:rPr>
            </w:pPr>
          </w:p>
        </w:tc>
        <w:tc>
          <w:tcPr>
            <w:tcW w:w="6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4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December 31, 2014</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3"/>
            <w:vMerge w:val="restart"/>
          </w:tcPr>
          <w:p>
            <w:pPr>
              <w:jc w:val="center"/>
              <w:ind w:right="420"/>
              <w:spacing w:after="0"/>
              <w:rPr>
                <w:sz w:val="20"/>
                <w:szCs w:val="20"/>
                <w:color w:val="auto"/>
              </w:rPr>
            </w:pPr>
            <w:r>
              <w:rPr>
                <w:rFonts w:ascii="Arial" w:cs="Arial" w:eastAsia="Arial" w:hAnsi="Arial"/>
                <w:sz w:val="14"/>
                <w:szCs w:val="14"/>
                <w:b w:val="1"/>
                <w:bCs w:val="1"/>
                <w:color w:val="auto"/>
                <w:w w:val="97"/>
              </w:rPr>
              <w:t>Principal</w:t>
            </w:r>
          </w:p>
        </w:tc>
        <w:tc>
          <w:tcPr>
            <w:tcW w:w="1320" w:type="dxa"/>
            <w:vAlign w:val="bottom"/>
            <w:gridSpan w:val="3"/>
            <w:vMerge w:val="restart"/>
          </w:tcPr>
          <w:p>
            <w:pPr>
              <w:jc w:val="center"/>
              <w:ind w:right="440"/>
              <w:spacing w:after="0"/>
              <w:rPr>
                <w:sz w:val="20"/>
                <w:szCs w:val="20"/>
                <w:color w:val="auto"/>
              </w:rPr>
            </w:pPr>
            <w:r>
              <w:rPr>
                <w:rFonts w:ascii="Arial" w:cs="Arial" w:eastAsia="Arial" w:hAnsi="Arial"/>
                <w:sz w:val="14"/>
                <w:szCs w:val="14"/>
                <w:b w:val="1"/>
                <w:bCs w:val="1"/>
                <w:color w:val="auto"/>
                <w:w w:val="94"/>
              </w:rPr>
              <w:t>Principal</w:t>
            </w:r>
          </w:p>
        </w:tc>
        <w:tc>
          <w:tcPr>
            <w:tcW w:w="16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7"/>
              </w:rPr>
              <w:t>Principal Life</w:t>
            </w: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49"/>
        </w:trPr>
        <w:tc>
          <w:tcPr>
            <w:tcW w:w="4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3"/>
            <w:vMerge w:val="continue"/>
          </w:tcPr>
          <w:p>
            <w:pPr>
              <w:spacing w:after="0"/>
              <w:rPr>
                <w:sz w:val="12"/>
                <w:szCs w:val="12"/>
                <w:color w:val="auto"/>
              </w:rPr>
            </w:pPr>
          </w:p>
        </w:tc>
        <w:tc>
          <w:tcPr>
            <w:tcW w:w="1320" w:type="dxa"/>
            <w:vAlign w:val="bottom"/>
            <w:gridSpan w:val="3"/>
            <w:vMerge w:val="continue"/>
          </w:tcPr>
          <w:p>
            <w:pPr>
              <w:spacing w:after="0"/>
              <w:rPr>
                <w:sz w:val="12"/>
                <w:szCs w:val="12"/>
                <w:color w:val="auto"/>
              </w:rPr>
            </w:pPr>
          </w:p>
        </w:tc>
        <w:tc>
          <w:tcPr>
            <w:tcW w:w="16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Insurance Company</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95"/>
              </w:rPr>
              <w:t>Financial</w:t>
            </w:r>
          </w:p>
        </w:tc>
        <w:tc>
          <w:tcPr>
            <w:tcW w:w="132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95"/>
              </w:rPr>
              <w:t>Financial</w:t>
            </w:r>
          </w:p>
        </w:tc>
        <w:tc>
          <w:tcPr>
            <w:tcW w:w="16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and Other</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49"/>
        </w:trPr>
        <w:tc>
          <w:tcPr>
            <w:tcW w:w="4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97"/>
              </w:rPr>
              <w:t>Group, Inc.</w:t>
            </w:r>
          </w:p>
        </w:tc>
        <w:tc>
          <w:tcPr>
            <w:tcW w:w="13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9"/>
              </w:rPr>
              <w:t>Services, Inc.</w:t>
            </w:r>
          </w:p>
        </w:tc>
        <w:tc>
          <w:tcPr>
            <w:tcW w:w="16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Subsidiaries</w:t>
            </w:r>
          </w:p>
        </w:tc>
        <w:tc>
          <w:tcPr>
            <w:tcW w:w="140" w:type="dxa"/>
            <w:vAlign w:val="bottom"/>
          </w:tcPr>
          <w:p>
            <w:pPr>
              <w:spacing w:after="0"/>
              <w:rPr>
                <w:sz w:val="12"/>
                <w:szCs w:val="12"/>
                <w:color w:val="auto"/>
              </w:rPr>
            </w:pPr>
          </w:p>
        </w:tc>
        <w:tc>
          <w:tcPr>
            <w:tcW w:w="12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Eliminations</w:t>
            </w: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71"/>
        </w:trPr>
        <w:tc>
          <w:tcPr>
            <w:tcW w:w="4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3"/>
          </w:tcPr>
          <w:p>
            <w:pPr>
              <w:jc w:val="center"/>
              <w:ind w:right="440"/>
              <w:spacing w:after="0"/>
              <w:rPr>
                <w:sz w:val="20"/>
                <w:szCs w:val="20"/>
                <w:color w:val="auto"/>
              </w:rPr>
            </w:pPr>
            <w:r>
              <w:rPr>
                <w:rFonts w:ascii="Arial" w:cs="Arial" w:eastAsia="Arial" w:hAnsi="Arial"/>
                <w:sz w:val="14"/>
                <w:szCs w:val="14"/>
                <w:b w:val="1"/>
                <w:bCs w:val="1"/>
                <w:color w:val="auto"/>
                <w:w w:val="96"/>
              </w:rPr>
              <w:t>Parent Only</w:t>
            </w:r>
          </w:p>
        </w:tc>
        <w:tc>
          <w:tcPr>
            <w:tcW w:w="1320" w:type="dxa"/>
            <w:vAlign w:val="bottom"/>
            <w:gridSpan w:val="3"/>
          </w:tcPr>
          <w:p>
            <w:pPr>
              <w:jc w:val="center"/>
              <w:ind w:right="420"/>
              <w:spacing w:after="0"/>
              <w:rPr>
                <w:sz w:val="20"/>
                <w:szCs w:val="20"/>
                <w:color w:val="auto"/>
              </w:rPr>
            </w:pPr>
            <w:r>
              <w:rPr>
                <w:rFonts w:ascii="Arial" w:cs="Arial" w:eastAsia="Arial" w:hAnsi="Arial"/>
                <w:sz w:val="14"/>
                <w:szCs w:val="14"/>
                <w:b w:val="1"/>
                <w:bCs w:val="1"/>
                <w:color w:val="auto"/>
                <w:w w:val="96"/>
              </w:rPr>
              <w:t>Only</w:t>
            </w:r>
          </w:p>
        </w:tc>
        <w:tc>
          <w:tcPr>
            <w:tcW w:w="16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Combined</w:t>
            </w:r>
          </w:p>
        </w:tc>
        <w:tc>
          <w:tcPr>
            <w:tcW w:w="14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42"/>
        </w:trPr>
        <w:tc>
          <w:tcPr>
            <w:tcW w:w="45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460" w:type="dxa"/>
            <w:vAlign w:val="bottom"/>
            <w:tcBorders>
              <w:top w:val="single" w:sz="8" w:color="auto"/>
            </w:tcBorders>
          </w:tcPr>
          <w:p>
            <w:pPr>
              <w:jc w:val="center"/>
              <w:ind w:right="39"/>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3"/>
          </w:tcPr>
          <w:p>
            <w:pPr>
              <w:ind w:left="740"/>
              <w:spacing w:after="0"/>
              <w:rPr>
                <w:sz w:val="20"/>
                <w:szCs w:val="20"/>
                <w:color w:val="auto"/>
              </w:rPr>
            </w:pPr>
            <w:r>
              <w:rPr>
                <w:rFonts w:ascii="Arial" w:cs="Arial" w:eastAsia="Arial" w:hAnsi="Arial"/>
                <w:sz w:val="18"/>
                <w:szCs w:val="18"/>
                <w:color w:val="auto"/>
              </w:rPr>
              <w:t>—  $</w:t>
            </w:r>
          </w:p>
        </w:tc>
        <w:tc>
          <w:tcPr>
            <w:tcW w:w="1320" w:type="dxa"/>
            <w:vAlign w:val="bottom"/>
            <w:gridSpan w:val="3"/>
          </w:tcPr>
          <w:p>
            <w:pPr>
              <w:ind w:left="840"/>
              <w:spacing w:after="0"/>
              <w:rPr>
                <w:sz w:val="20"/>
                <w:szCs w:val="20"/>
                <w:color w:val="auto"/>
              </w:rPr>
            </w:pPr>
            <w:r>
              <w:rPr>
                <w:rFonts w:ascii="Arial" w:cs="Arial" w:eastAsia="Arial" w:hAnsi="Arial"/>
                <w:sz w:val="18"/>
                <w:szCs w:val="18"/>
                <w:color w:val="auto"/>
              </w:rPr>
              <w:t>—  $</w:t>
            </w:r>
          </w:p>
        </w:tc>
        <w:tc>
          <w:tcPr>
            <w:tcW w:w="1620" w:type="dxa"/>
            <w:vAlign w:val="bottom"/>
            <w:gridSpan w:val="2"/>
          </w:tcPr>
          <w:p>
            <w:pPr>
              <w:jc w:val="right"/>
              <w:ind w:right="160"/>
              <w:spacing w:after="0"/>
              <w:rPr>
                <w:sz w:val="20"/>
                <w:szCs w:val="20"/>
                <w:color w:val="auto"/>
              </w:rPr>
            </w:pPr>
            <w:r>
              <w:rPr>
                <w:rFonts w:ascii="Arial" w:cs="Arial" w:eastAsia="Arial" w:hAnsi="Arial"/>
                <w:sz w:val="18"/>
                <w:szCs w:val="18"/>
                <w:color w:val="auto"/>
              </w:rPr>
              <w:t>49,670.8</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gridSpan w:val="3"/>
          </w:tcPr>
          <w:p>
            <w:pPr>
              <w:ind w:left="820"/>
              <w:spacing w:after="0"/>
              <w:rPr>
                <w:sz w:val="20"/>
                <w:szCs w:val="20"/>
                <w:color w:val="auto"/>
              </w:rPr>
            </w:pPr>
            <w:r>
              <w:rPr>
                <w:rFonts w:ascii="Arial" w:cs="Arial" w:eastAsia="Arial" w:hAnsi="Arial"/>
                <w:sz w:val="18"/>
                <w:szCs w:val="18"/>
                <w:color w:val="auto"/>
              </w:rPr>
              <w:t>—  $</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49,670.8</w:t>
            </w: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12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w:t>
            </w:r>
          </w:p>
        </w:tc>
        <w:tc>
          <w:tcPr>
            <w:tcW w:w="1320" w:type="dxa"/>
            <w:vAlign w:val="bottom"/>
            <w:gridSpan w:val="3"/>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604.6</w:t>
            </w:r>
          </w:p>
        </w:tc>
        <w:tc>
          <w:tcPr>
            <w:tcW w:w="140" w:type="dxa"/>
            <w:vAlign w:val="bottom"/>
            <w:shd w:val="clear" w:color="auto" w:fill="CCEEFF"/>
          </w:tcPr>
          <w:p>
            <w:pPr>
              <w:spacing w:after="0"/>
              <w:rPr>
                <w:sz w:val="18"/>
                <w:szCs w:val="18"/>
                <w:color w:val="auto"/>
              </w:rPr>
            </w:pPr>
          </w:p>
        </w:tc>
        <w:tc>
          <w:tcPr>
            <w:tcW w:w="1280" w:type="dxa"/>
            <w:vAlign w:val="bottom"/>
            <w:gridSpan w:val="3"/>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604.6</w:t>
            </w: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120" w:type="dxa"/>
            <w:vAlign w:val="bottom"/>
          </w:tcPr>
          <w:p>
            <w:pPr>
              <w:spacing w:after="0"/>
              <w:rPr>
                <w:sz w:val="18"/>
                <w:szCs w:val="18"/>
                <w:color w:val="auto"/>
              </w:rPr>
            </w:pPr>
          </w:p>
        </w:tc>
        <w:tc>
          <w:tcPr>
            <w:tcW w:w="1240" w:type="dxa"/>
            <w:vAlign w:val="bottom"/>
            <w:gridSpan w:val="3"/>
          </w:tcPr>
          <w:p>
            <w:pPr>
              <w:ind w:left="740"/>
              <w:spacing w:after="0"/>
              <w:rPr>
                <w:sz w:val="20"/>
                <w:szCs w:val="20"/>
                <w:color w:val="auto"/>
              </w:rPr>
            </w:pPr>
            <w:r>
              <w:rPr>
                <w:rFonts w:ascii="Arial" w:cs="Arial" w:eastAsia="Arial" w:hAnsi="Arial"/>
                <w:sz w:val="18"/>
                <w:szCs w:val="18"/>
                <w:color w:val="auto"/>
              </w:rPr>
              <w:t>—</w:t>
            </w:r>
          </w:p>
        </w:tc>
        <w:tc>
          <w:tcPr>
            <w:tcW w:w="1320" w:type="dxa"/>
            <w:vAlign w:val="bottom"/>
            <w:gridSpan w:val="3"/>
          </w:tcPr>
          <w:p>
            <w:pPr>
              <w:ind w:left="840"/>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160"/>
              <w:spacing w:after="0"/>
              <w:rPr>
                <w:sz w:val="20"/>
                <w:szCs w:val="20"/>
                <w:color w:val="auto"/>
              </w:rPr>
            </w:pPr>
            <w:r>
              <w:rPr>
                <w:rFonts w:ascii="Arial" w:cs="Arial" w:eastAsia="Arial" w:hAnsi="Arial"/>
                <w:sz w:val="18"/>
                <w:szCs w:val="18"/>
                <w:color w:val="auto"/>
              </w:rPr>
              <w:t>123.0</w:t>
            </w:r>
          </w:p>
        </w:tc>
        <w:tc>
          <w:tcPr>
            <w:tcW w:w="140" w:type="dxa"/>
            <w:vAlign w:val="bottom"/>
          </w:tcPr>
          <w:p>
            <w:pPr>
              <w:spacing w:after="0"/>
              <w:rPr>
                <w:sz w:val="18"/>
                <w:szCs w:val="18"/>
                <w:color w:val="auto"/>
              </w:rPr>
            </w:pPr>
          </w:p>
        </w:tc>
        <w:tc>
          <w:tcPr>
            <w:tcW w:w="1280" w:type="dxa"/>
            <w:vAlign w:val="bottom"/>
            <w:gridSpan w:val="3"/>
          </w:tcPr>
          <w:p>
            <w:pPr>
              <w:ind w:left="8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123.0</w:t>
            </w: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12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w:t>
            </w:r>
          </w:p>
        </w:tc>
        <w:tc>
          <w:tcPr>
            <w:tcW w:w="1320" w:type="dxa"/>
            <w:vAlign w:val="bottom"/>
            <w:gridSpan w:val="3"/>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840.2</w:t>
            </w:r>
          </w:p>
        </w:tc>
        <w:tc>
          <w:tcPr>
            <w:tcW w:w="140" w:type="dxa"/>
            <w:vAlign w:val="bottom"/>
            <w:shd w:val="clear" w:color="auto" w:fill="CCEEFF"/>
          </w:tcPr>
          <w:p>
            <w:pPr>
              <w:spacing w:after="0"/>
              <w:rPr>
                <w:sz w:val="18"/>
                <w:szCs w:val="18"/>
                <w:color w:val="auto"/>
              </w:rPr>
            </w:pPr>
          </w:p>
        </w:tc>
        <w:tc>
          <w:tcPr>
            <w:tcW w:w="1280" w:type="dxa"/>
            <w:vAlign w:val="bottom"/>
            <w:gridSpan w:val="3"/>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840.2</w:t>
            </w: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Mortgage loans</w:t>
            </w:r>
          </w:p>
        </w:tc>
        <w:tc>
          <w:tcPr>
            <w:tcW w:w="120" w:type="dxa"/>
            <w:vAlign w:val="bottom"/>
          </w:tcPr>
          <w:p>
            <w:pPr>
              <w:spacing w:after="0"/>
              <w:rPr>
                <w:sz w:val="18"/>
                <w:szCs w:val="18"/>
                <w:color w:val="auto"/>
              </w:rPr>
            </w:pPr>
          </w:p>
        </w:tc>
        <w:tc>
          <w:tcPr>
            <w:tcW w:w="1240" w:type="dxa"/>
            <w:vAlign w:val="bottom"/>
            <w:gridSpan w:val="3"/>
          </w:tcPr>
          <w:p>
            <w:pPr>
              <w:ind w:left="740"/>
              <w:spacing w:after="0"/>
              <w:rPr>
                <w:sz w:val="20"/>
                <w:szCs w:val="20"/>
                <w:color w:val="auto"/>
              </w:rPr>
            </w:pPr>
            <w:r>
              <w:rPr>
                <w:rFonts w:ascii="Arial" w:cs="Arial" w:eastAsia="Arial" w:hAnsi="Arial"/>
                <w:sz w:val="18"/>
                <w:szCs w:val="18"/>
                <w:color w:val="auto"/>
              </w:rPr>
              <w:t>—</w:t>
            </w:r>
          </w:p>
        </w:tc>
        <w:tc>
          <w:tcPr>
            <w:tcW w:w="1320" w:type="dxa"/>
            <w:vAlign w:val="bottom"/>
            <w:gridSpan w:val="3"/>
          </w:tcPr>
          <w:p>
            <w:pPr>
              <w:ind w:left="840"/>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160"/>
              <w:spacing w:after="0"/>
              <w:rPr>
                <w:sz w:val="20"/>
                <w:szCs w:val="20"/>
                <w:color w:val="auto"/>
              </w:rPr>
            </w:pPr>
            <w:r>
              <w:rPr>
                <w:rFonts w:ascii="Arial" w:cs="Arial" w:eastAsia="Arial" w:hAnsi="Arial"/>
                <w:sz w:val="18"/>
                <w:szCs w:val="18"/>
                <w:color w:val="auto"/>
              </w:rPr>
              <w:t>11,811.6</w:t>
            </w:r>
          </w:p>
        </w:tc>
        <w:tc>
          <w:tcPr>
            <w:tcW w:w="140" w:type="dxa"/>
            <w:vAlign w:val="bottom"/>
          </w:tcPr>
          <w:p>
            <w:pPr>
              <w:spacing w:after="0"/>
              <w:rPr>
                <w:sz w:val="18"/>
                <w:szCs w:val="18"/>
                <w:color w:val="auto"/>
              </w:rPr>
            </w:pPr>
          </w:p>
        </w:tc>
        <w:tc>
          <w:tcPr>
            <w:tcW w:w="1280" w:type="dxa"/>
            <w:vAlign w:val="bottom"/>
            <w:gridSpan w:val="3"/>
          </w:tcPr>
          <w:p>
            <w:pPr>
              <w:ind w:left="8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11,811.6</w:t>
            </w: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12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w:t>
            </w:r>
          </w:p>
        </w:tc>
        <w:tc>
          <w:tcPr>
            <w:tcW w:w="1320" w:type="dxa"/>
            <w:vAlign w:val="bottom"/>
            <w:gridSpan w:val="3"/>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1,344.6</w:t>
            </w:r>
          </w:p>
        </w:tc>
        <w:tc>
          <w:tcPr>
            <w:tcW w:w="140" w:type="dxa"/>
            <w:vAlign w:val="bottom"/>
            <w:shd w:val="clear" w:color="auto" w:fill="CCEEFF"/>
          </w:tcPr>
          <w:p>
            <w:pPr>
              <w:spacing w:after="0"/>
              <w:rPr>
                <w:sz w:val="18"/>
                <w:szCs w:val="18"/>
                <w:color w:val="auto"/>
              </w:rPr>
            </w:pPr>
          </w:p>
        </w:tc>
        <w:tc>
          <w:tcPr>
            <w:tcW w:w="1280" w:type="dxa"/>
            <w:vAlign w:val="bottom"/>
            <w:gridSpan w:val="3"/>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1,344.6</w:t>
            </w:r>
          </w:p>
        </w:tc>
        <w:tc>
          <w:tcPr>
            <w:tcW w:w="0" w:type="dxa"/>
            <w:vAlign w:val="bottom"/>
          </w:tcPr>
          <w:p>
            <w:pPr>
              <w:spacing w:after="0"/>
              <w:rPr>
                <w:sz w:val="1"/>
                <w:szCs w:val="1"/>
                <w:color w:val="auto"/>
              </w:rPr>
            </w:pPr>
          </w:p>
        </w:tc>
      </w:tr>
    </w:tbl>
    <w:p>
      <w:pPr>
        <w:sectPr>
          <w:pgSz w:w="11900" w:h="16838" w:orient="portrait"/>
          <w:cols w:equalWidth="0" w:num="1">
            <w:col w:w="11460"/>
          </w:cols>
          <w:pgMar w:left="240" w:top="121" w:right="199" w:bottom="0" w:gutter="0" w:footer="0" w:header="0"/>
        </w:sectPr>
      </w:pPr>
    </w:p>
    <w:bookmarkStart w:id="60" w:name="page61"/>
    <w:bookmarkEnd w:id="60"/>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80" w:type="dxa"/>
            <w:vAlign w:val="bottom"/>
            <w:gridSpan w:val="2"/>
          </w:tcPr>
          <w:p>
            <w:pPr>
              <w:spacing w:after="0"/>
              <w:rPr>
                <w:sz w:val="20"/>
                <w:szCs w:val="20"/>
                <w:color w:val="auto"/>
              </w:rPr>
            </w:pPr>
            <w:r>
              <w:rPr>
                <w:rFonts w:ascii="Arial" w:cs="Arial" w:eastAsia="Arial" w:hAnsi="Arial"/>
                <w:sz w:val="18"/>
                <w:szCs w:val="18"/>
                <w:color w:val="auto"/>
              </w:rPr>
              <w:t>Policy loans</w:t>
            </w:r>
          </w:p>
        </w:tc>
        <w:tc>
          <w:tcPr>
            <w:tcW w:w="26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829.2</w:t>
            </w:r>
          </w:p>
        </w:tc>
        <w:tc>
          <w:tcPr>
            <w:tcW w:w="260" w:type="dxa"/>
            <w:vAlign w:val="bottom"/>
          </w:tcPr>
          <w:p>
            <w:pPr>
              <w:spacing w:after="0"/>
              <w:rPr>
                <w:sz w:val="20"/>
                <w:szCs w:val="20"/>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829.2</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Investment in unconsolidated entities</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12,446.5</w:t>
            </w:r>
          </w:p>
        </w:tc>
        <w:tc>
          <w:tcPr>
            <w:tcW w:w="3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12,042.5</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781.9</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(24,455.1)</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Other investments</w:t>
            </w:r>
          </w:p>
        </w:tc>
        <w:tc>
          <w:tcPr>
            <w:tcW w:w="2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9.5</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128.2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2,256.3</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2,394.0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412.4</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907.2</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1,598.0</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(1,053.7)</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1,863.9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Accrued investment income</w:t>
            </w:r>
          </w:p>
        </w:tc>
        <w:tc>
          <w:tcPr>
            <w:tcW w:w="26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505.9</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505.9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1,211.8</w:t>
            </w: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w:t>
            </w:r>
          </w:p>
        </w:tc>
        <w:tc>
          <w:tcPr>
            <w:tcW w:w="16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Deferred acquisition costs</w:t>
            </w:r>
          </w:p>
        </w:tc>
        <w:tc>
          <w:tcPr>
            <w:tcW w:w="26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2,993.0</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2,993.0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590.2</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Goodwill</w:t>
            </w:r>
          </w:p>
        </w:tc>
        <w:tc>
          <w:tcPr>
            <w:tcW w:w="26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1,007.4</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1,007.4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1,323.5</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1,323.5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Separate account assets</w:t>
            </w:r>
          </w:p>
        </w:tc>
        <w:tc>
          <w:tcPr>
            <w:tcW w:w="26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140,072.8</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140,072.8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450.7</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167.6</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1,117.7</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(652.5)</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vMerge w:val="restart"/>
          </w:tcPr>
          <w:p>
            <w:pPr>
              <w:ind w:left="180"/>
              <w:spacing w:after="0"/>
              <w:rPr>
                <w:sz w:val="20"/>
                <w:szCs w:val="20"/>
                <w:color w:val="auto"/>
              </w:rPr>
            </w:pPr>
            <w:r>
              <w:rPr>
                <w:rFonts w:ascii="Arial" w:cs="Arial" w:eastAsia="Arial" w:hAnsi="Arial"/>
                <w:sz w:val="18"/>
                <w:szCs w:val="18"/>
                <w:color w:val="auto"/>
              </w:rPr>
              <w:t>Total assets</w:t>
            </w:r>
          </w:p>
        </w:tc>
        <w:tc>
          <w:tcPr>
            <w:tcW w:w="2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4560" w:type="dxa"/>
            <w:vAlign w:val="bottom"/>
            <w:vMerge w:val="continue"/>
          </w:tcPr>
          <w:p>
            <w:pPr>
              <w:spacing w:after="0"/>
              <w:rPr>
                <w:sz w:val="21"/>
                <w:szCs w:val="21"/>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13,319.</w:t>
            </w:r>
            <w:r>
              <w:rPr>
                <w:rFonts w:ascii="Arial" w:cs="Arial" w:eastAsia="Arial" w:hAnsi="Arial"/>
                <w:sz w:val="18"/>
                <w:szCs w:val="18"/>
                <w:u w:val="single" w:color="auto"/>
                <w:color w:val="auto"/>
              </w:rPr>
              <w:t>1</w:t>
            </w:r>
          </w:p>
        </w:tc>
        <w:tc>
          <w:tcPr>
            <w:tcW w:w="180" w:type="dxa"/>
            <w:vAlign w:val="bottom"/>
            <w:vMerge w:val="continue"/>
          </w:tcPr>
          <w:p>
            <w:pPr>
              <w:spacing w:after="0"/>
              <w:rPr>
                <w:sz w:val="21"/>
                <w:szCs w:val="21"/>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13,245.8</w:t>
            </w:r>
          </w:p>
        </w:tc>
        <w:tc>
          <w:tcPr>
            <w:tcW w:w="100" w:type="dxa"/>
            <w:vAlign w:val="bottom"/>
            <w:vMerge w:val="continue"/>
          </w:tcPr>
          <w:p>
            <w:pPr>
              <w:spacing w:after="0"/>
              <w:rPr>
                <w:sz w:val="21"/>
                <w:szCs w:val="21"/>
                <w:color w:val="auto"/>
              </w:rPr>
            </w:pPr>
          </w:p>
        </w:tc>
        <w:tc>
          <w:tcPr>
            <w:tcW w:w="80" w:type="dxa"/>
            <w:vAlign w:val="bottom"/>
            <w:vMerge w:val="continue"/>
          </w:tcPr>
          <w:p>
            <w:pPr>
              <w:spacing w:after="0"/>
              <w:rPr>
                <w:sz w:val="21"/>
                <w:szCs w:val="21"/>
                <w:color w:val="auto"/>
              </w:rPr>
            </w:pPr>
          </w:p>
        </w:tc>
        <w:tc>
          <w:tcPr>
            <w:tcW w:w="480" w:type="dxa"/>
            <w:vAlign w:val="bottom"/>
          </w:tcPr>
          <w:p>
            <w:pPr>
              <w:jc w:val="right"/>
              <w:ind w:right="32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218,682.5</w:t>
            </w:r>
          </w:p>
        </w:tc>
        <w:tc>
          <w:tcPr>
            <w:tcW w:w="160" w:type="dxa"/>
            <w:vAlign w:val="bottom"/>
            <w:vMerge w:val="continue"/>
          </w:tcPr>
          <w:p>
            <w:pPr>
              <w:spacing w:after="0"/>
              <w:rPr>
                <w:sz w:val="21"/>
                <w:szCs w:val="21"/>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(26,160.4)</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219,087.</w:t>
            </w:r>
            <w:r>
              <w:rPr>
                <w:rFonts w:ascii="Arial" w:cs="Arial" w:eastAsia="Arial" w:hAnsi="Arial"/>
                <w:sz w:val="18"/>
                <w:szCs w:val="18"/>
                <w:u w:val="single" w:color="auto"/>
                <w:color w:val="auto"/>
              </w:rPr>
              <w:t>0</w:t>
            </w:r>
          </w:p>
        </w:tc>
        <w:tc>
          <w:tcPr>
            <w:tcW w:w="100" w:type="dxa"/>
            <w:vAlign w:val="bottom"/>
            <w:vMerge w:val="continue"/>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560" w:type="dxa"/>
            <w:vAlign w:val="bottom"/>
            <w:tcBorders>
              <w:top w:val="single" w:sz="8" w:color="CCEEFF"/>
            </w:tcBorders>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w:t>
            </w:r>
          </w:p>
        </w:tc>
        <w:tc>
          <w:tcPr>
            <w:tcW w:w="260" w:type="dxa"/>
            <w:vAlign w:val="bottom"/>
            <w:tcBorders>
              <w:top w:val="single" w:sz="8" w:color="auto"/>
            </w:tcBorders>
            <w:shd w:val="clear" w:color="auto" w:fill="CCEEFF"/>
          </w:tcPr>
          <w:p>
            <w:pPr>
              <w:spacing w:after="0"/>
              <w:rPr>
                <w:sz w:val="14"/>
                <w:szCs w:val="14"/>
                <w:color w:val="auto"/>
              </w:rPr>
            </w:pPr>
          </w:p>
        </w:tc>
        <w:tc>
          <w:tcPr>
            <w:tcW w:w="780" w:type="dxa"/>
            <w:vAlign w:val="bottom"/>
            <w:tcBorders>
              <w:top w:val="single" w:sz="8" w:color="auto"/>
            </w:tcBorders>
            <w:shd w:val="clear" w:color="auto" w:fill="CCEEFF"/>
          </w:tcPr>
          <w:p>
            <w:pPr>
              <w:spacing w:after="0"/>
              <w:rPr>
                <w:sz w:val="14"/>
                <w:szCs w:val="14"/>
                <w:color w:val="auto"/>
              </w:rPr>
            </w:pPr>
          </w:p>
        </w:tc>
        <w:tc>
          <w:tcPr>
            <w:tcW w:w="180" w:type="dxa"/>
            <w:vAlign w:val="bottom"/>
            <w:tcBorders>
              <w:top w:val="single" w:sz="8" w:color="CCEEFF"/>
            </w:tcBorders>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spacing w:after="0"/>
              <w:rPr>
                <w:sz w:val="14"/>
                <w:szCs w:val="14"/>
                <w:color w:val="auto"/>
              </w:rPr>
            </w:pPr>
          </w:p>
        </w:tc>
        <w:tc>
          <w:tcPr>
            <w:tcW w:w="8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480" w:type="dxa"/>
            <w:vAlign w:val="bottom"/>
            <w:tcBorders>
              <w:top w:val="single" w:sz="8" w:color="auto"/>
            </w:tcBorders>
            <w:shd w:val="clear" w:color="auto" w:fill="CCEEFF"/>
          </w:tcPr>
          <w:p>
            <w:pPr>
              <w:spacing w:after="0"/>
              <w:rPr>
                <w:sz w:val="14"/>
                <w:szCs w:val="14"/>
                <w:color w:val="auto"/>
              </w:rPr>
            </w:pPr>
          </w:p>
        </w:tc>
        <w:tc>
          <w:tcPr>
            <w:tcW w:w="110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260" w:type="dxa"/>
            <w:vAlign w:val="bottom"/>
            <w:tcBorders>
              <w:top w:val="single" w:sz="8" w:color="auto"/>
            </w:tcBorders>
            <w:shd w:val="clear" w:color="auto" w:fill="CCEEFF"/>
          </w:tcPr>
          <w:p>
            <w:pPr>
              <w:spacing w:after="0"/>
              <w:rPr>
                <w:sz w:val="14"/>
                <w:szCs w:val="14"/>
                <w:color w:val="auto"/>
              </w:rPr>
            </w:pPr>
          </w:p>
        </w:tc>
        <w:tc>
          <w:tcPr>
            <w:tcW w:w="88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right w:val="single" w:sz="8" w:color="CCEEFF"/>
            </w:tcBorders>
            <w:shd w:val="clear" w:color="auto" w:fill="CCEEFF"/>
          </w:tcPr>
          <w:p>
            <w:pPr>
              <w:spacing w:after="0"/>
              <w:rPr>
                <w:sz w:val="14"/>
                <w:szCs w:val="14"/>
                <w:color w:val="auto"/>
              </w:rPr>
            </w:pPr>
          </w:p>
        </w:tc>
        <w:tc>
          <w:tcPr>
            <w:tcW w:w="240" w:type="dxa"/>
            <w:vAlign w:val="bottom"/>
            <w:tcBorders>
              <w:top w:val="single" w:sz="8" w:color="auto"/>
            </w:tcBorders>
            <w:shd w:val="clear" w:color="auto" w:fill="CCEEFF"/>
          </w:tcPr>
          <w:p>
            <w:pPr>
              <w:spacing w:after="0"/>
              <w:rPr>
                <w:sz w:val="14"/>
                <w:szCs w:val="14"/>
                <w:color w:val="auto"/>
              </w:rPr>
            </w:pPr>
          </w:p>
        </w:tc>
        <w:tc>
          <w:tcPr>
            <w:tcW w:w="9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Contractholder funds</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325"/>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34,726.7</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34,726.7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24,036.6</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24,036.6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Other policyholder funds</w:t>
            </w:r>
          </w:p>
        </w:tc>
        <w:tc>
          <w:tcPr>
            <w:tcW w:w="26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812.7</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812.7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182.5</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(154.5)</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Long-term debt</w:t>
            </w:r>
          </w:p>
        </w:tc>
        <w:tc>
          <w:tcPr>
            <w:tcW w:w="2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2,448.9</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82.3</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2,531.2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54.1</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(46.9)</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Deferred income taxes</w:t>
            </w:r>
          </w:p>
        </w:tc>
        <w:tc>
          <w:tcPr>
            <w:tcW w:w="26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1,626.1</w:t>
            </w:r>
          </w:p>
        </w:tc>
        <w:tc>
          <w:tcPr>
            <w:tcW w:w="26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(590.8)</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1,035.3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140,072.8</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140,072.8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Other liabilities</w:t>
            </w:r>
          </w:p>
        </w:tc>
        <w:tc>
          <w:tcPr>
            <w:tcW w:w="2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686.2</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872.8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4,862.4</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(879.2)</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5,542.2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vMerge w:val="restart"/>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2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vMerge w:val="continue"/>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3,135.1</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877.1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206,456.2</w:t>
            </w:r>
          </w:p>
        </w:tc>
        <w:tc>
          <w:tcPr>
            <w:tcW w:w="160" w:type="dxa"/>
            <w:vAlign w:val="bottom"/>
            <w:vMerge w:val="continue"/>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(1,671.4)</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208,797.0</w:t>
            </w:r>
          </w:p>
        </w:tc>
        <w:tc>
          <w:tcPr>
            <w:tcW w:w="1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Redeemable noncontrolling interest</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58.0</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Series A preferred stock</w:t>
            </w:r>
          </w:p>
        </w:tc>
        <w:tc>
          <w:tcPr>
            <w:tcW w:w="26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Series B preferred stock</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Common stock</w:t>
            </w:r>
          </w:p>
        </w:tc>
        <w:tc>
          <w:tcPr>
            <w:tcW w:w="2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4.6</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17.8</w:t>
            </w:r>
          </w:p>
        </w:tc>
        <w:tc>
          <w:tcPr>
            <w:tcW w:w="26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(17.8)</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9,945.5</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8,964.2</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9,341.0</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(18,305.2)</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9,945.5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Retained earnings</w:t>
            </w:r>
          </w:p>
        </w:tc>
        <w:tc>
          <w:tcPr>
            <w:tcW w:w="26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6,114.1</w:t>
            </w:r>
          </w:p>
        </w:tc>
        <w:tc>
          <w:tcPr>
            <w:tcW w:w="3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2,858.6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2,283.2</w:t>
            </w:r>
          </w:p>
        </w:tc>
        <w:tc>
          <w:tcPr>
            <w:tcW w:w="26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(5,141.8)</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6,114.1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Accumulated other comprehensive income</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50.4</w:t>
            </w: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545.9</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480.3</w:t>
            </w:r>
          </w:p>
        </w:tc>
        <w:tc>
          <w:tcPr>
            <w:tcW w:w="26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(1,026.2)</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Treasury stock, at cost</w:t>
            </w:r>
          </w:p>
        </w:tc>
        <w:tc>
          <w:tcPr>
            <w:tcW w:w="26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(5,930.7)</w:t>
            </w: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2.0</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(5,930.7)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stockholders’ equity attributable to PFG</w:t>
            </w:r>
          </w:p>
        </w:tc>
        <w:tc>
          <w:tcPr>
            <w:tcW w:w="26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10,184.0</w:t>
            </w:r>
          </w:p>
        </w:tc>
        <w:tc>
          <w:tcPr>
            <w:tcW w:w="1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12,368.7</w:t>
            </w: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12,120.3</w:t>
            </w:r>
          </w:p>
        </w:tc>
        <w:tc>
          <w:tcPr>
            <w:tcW w:w="1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(24,489.0)</w:t>
            </w:r>
          </w:p>
        </w:tc>
        <w:tc>
          <w:tcPr>
            <w:tcW w:w="160" w:type="dxa"/>
            <w:vAlign w:val="bottom"/>
            <w:tcBorders>
              <w:top w:val="single" w:sz="8" w:color="CCEEFF"/>
              <w:right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10,184.0</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Noncontrolling interest</w:t>
            </w:r>
          </w:p>
        </w:tc>
        <w:tc>
          <w:tcPr>
            <w:tcW w:w="26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48.0</w:t>
            </w:r>
          </w:p>
        </w:tc>
        <w:tc>
          <w:tcPr>
            <w:tcW w:w="26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stockholders’ equity</w:t>
            </w: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10,184.0</w:t>
            </w:r>
          </w:p>
        </w:tc>
        <w:tc>
          <w:tcPr>
            <w:tcW w:w="1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12,368.7</w:t>
            </w: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auto"/>
              <w:bottom w:val="single" w:sz="8" w:color="auto"/>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12,168.3</w:t>
            </w:r>
          </w:p>
        </w:tc>
        <w:tc>
          <w:tcPr>
            <w:tcW w:w="1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(24,489.0)</w:t>
            </w:r>
          </w:p>
        </w:tc>
        <w:tc>
          <w:tcPr>
            <w:tcW w:w="160" w:type="dxa"/>
            <w:vAlign w:val="bottom"/>
            <w:tcBorders>
              <w:top w:val="single" w:sz="8" w:color="CCEEFF"/>
              <w:right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10,232.0</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60" w:type="dxa"/>
            <w:vAlign w:val="bottom"/>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13,319.1</w:t>
            </w:r>
          </w:p>
        </w:tc>
        <w:tc>
          <w:tcPr>
            <w:tcW w:w="180" w:type="dxa"/>
            <w:vAlign w:val="bottom"/>
          </w:tcPr>
          <w:p>
            <w:pPr>
              <w:spacing w:after="0"/>
              <w:rPr>
                <w:sz w:val="19"/>
                <w:szCs w:val="19"/>
                <w:color w:val="auto"/>
              </w:rPr>
            </w:pPr>
          </w:p>
        </w:tc>
        <w:tc>
          <w:tcPr>
            <w:tcW w:w="3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13,245.8</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80" w:type="dxa"/>
            <w:vAlign w:val="bottom"/>
            <w:tcBorders>
              <w:bottom w:val="single" w:sz="8" w:color="auto"/>
            </w:tcBorders>
          </w:tcPr>
          <w:p>
            <w:pPr>
              <w:jc w:val="right"/>
              <w:ind w:right="325"/>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218,682.5</w:t>
            </w:r>
          </w:p>
        </w:tc>
        <w:tc>
          <w:tcPr>
            <w:tcW w:w="16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(26,160.4</w:t>
            </w:r>
          </w:p>
        </w:tc>
        <w:tc>
          <w:tcPr>
            <w:tcW w:w="160" w:type="dxa"/>
            <w:vAlign w:val="bottom"/>
          </w:tcPr>
          <w:p>
            <w:pPr>
              <w:jc w:val="right"/>
              <w:ind w:right="20"/>
              <w:spacing w:after="0"/>
              <w:rPr>
                <w:sz w:val="20"/>
                <w:szCs w:val="20"/>
                <w:color w:val="auto"/>
              </w:rPr>
            </w:pPr>
            <w:r>
              <w:rPr>
                <w:rFonts w:ascii="Arial" w:cs="Arial" w:eastAsia="Arial" w:hAnsi="Arial"/>
                <w:sz w:val="16"/>
                <w:szCs w:val="16"/>
                <w:color w:val="auto"/>
                <w:w w:val="74"/>
              </w:rPr>
              <w:t>)</w:t>
            </w:r>
          </w:p>
        </w:tc>
        <w:tc>
          <w:tcPr>
            <w:tcW w:w="240" w:type="dxa"/>
            <w:vAlign w:val="bottom"/>
            <w:tcBorders>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219,087.0</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4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80" w:type="dxa"/>
            <w:vAlign w:val="bottom"/>
            <w:gridSpan w:val="3"/>
          </w:tcPr>
          <w:p>
            <w:pPr>
              <w:jc w:val="right"/>
              <w:ind w:right="230"/>
              <w:spacing w:after="0"/>
              <w:rPr>
                <w:sz w:val="20"/>
                <w:szCs w:val="20"/>
                <w:color w:val="auto"/>
              </w:rPr>
            </w:pPr>
            <w:r>
              <w:rPr>
                <w:rFonts w:ascii="Arial" w:cs="Arial" w:eastAsia="Arial" w:hAnsi="Arial"/>
                <w:sz w:val="18"/>
                <w:szCs w:val="18"/>
                <w:color w:val="auto"/>
              </w:rPr>
              <w:t>86</w:t>
            </w: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456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nine months ended September 30, 2015</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3"/>
            <w:vMerge w:val="restart"/>
          </w:tcPr>
          <w:p>
            <w:pPr>
              <w:jc w:val="center"/>
              <w:ind w:right="460"/>
              <w:spacing w:after="0"/>
              <w:rPr>
                <w:sz w:val="20"/>
                <w:szCs w:val="20"/>
                <w:color w:val="auto"/>
              </w:rPr>
            </w:pPr>
            <w:r>
              <w:rPr>
                <w:rFonts w:ascii="Arial" w:cs="Arial" w:eastAsia="Arial" w:hAnsi="Arial"/>
                <w:sz w:val="14"/>
                <w:szCs w:val="14"/>
                <w:b w:val="1"/>
                <w:bCs w:val="1"/>
                <w:color w:val="auto"/>
                <w:w w:val="97"/>
              </w:rPr>
              <w:t>Principal</w:t>
            </w:r>
          </w:p>
        </w:tc>
        <w:tc>
          <w:tcPr>
            <w:tcW w:w="1320" w:type="dxa"/>
            <w:vAlign w:val="bottom"/>
            <w:gridSpan w:val="3"/>
            <w:vMerge w:val="restart"/>
          </w:tcPr>
          <w:p>
            <w:pPr>
              <w:jc w:val="center"/>
              <w:ind w:right="440"/>
              <w:spacing w:after="0"/>
              <w:rPr>
                <w:sz w:val="20"/>
                <w:szCs w:val="20"/>
                <w:color w:val="auto"/>
              </w:rPr>
            </w:pPr>
            <w:r>
              <w:rPr>
                <w:rFonts w:ascii="Arial" w:cs="Arial" w:eastAsia="Arial" w:hAnsi="Arial"/>
                <w:sz w:val="14"/>
                <w:szCs w:val="14"/>
                <w:b w:val="1"/>
                <w:bCs w:val="1"/>
                <w:color w:val="auto"/>
                <w:w w:val="94"/>
              </w:rPr>
              <w:t>Principal</w:t>
            </w:r>
          </w:p>
        </w:tc>
        <w:tc>
          <w:tcPr>
            <w:tcW w:w="15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Principal Life</w:t>
            </w: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49"/>
        </w:trPr>
        <w:tc>
          <w:tcPr>
            <w:tcW w:w="4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20" w:type="dxa"/>
            <w:vAlign w:val="bottom"/>
            <w:gridSpan w:val="3"/>
            <w:vMerge w:val="continue"/>
          </w:tcPr>
          <w:p>
            <w:pPr>
              <w:spacing w:after="0"/>
              <w:rPr>
                <w:sz w:val="12"/>
                <w:szCs w:val="12"/>
                <w:color w:val="auto"/>
              </w:rPr>
            </w:pPr>
          </w:p>
        </w:tc>
        <w:tc>
          <w:tcPr>
            <w:tcW w:w="1320" w:type="dxa"/>
            <w:vAlign w:val="bottom"/>
            <w:gridSpan w:val="3"/>
            <w:vMerge w:val="continue"/>
          </w:tcPr>
          <w:p>
            <w:pPr>
              <w:spacing w:after="0"/>
              <w:rPr>
                <w:sz w:val="12"/>
                <w:szCs w:val="12"/>
                <w:color w:val="auto"/>
              </w:rPr>
            </w:pPr>
          </w:p>
        </w:tc>
        <w:tc>
          <w:tcPr>
            <w:tcW w:w="15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Insurance</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20" w:type="dxa"/>
            <w:vAlign w:val="bottom"/>
            <w:gridSpan w:val="3"/>
          </w:tcPr>
          <w:p>
            <w:pPr>
              <w:jc w:val="center"/>
              <w:ind w:right="460"/>
              <w:spacing w:after="0" w:line="149" w:lineRule="exact"/>
              <w:rPr>
                <w:sz w:val="20"/>
                <w:szCs w:val="20"/>
                <w:color w:val="auto"/>
              </w:rPr>
            </w:pPr>
            <w:r>
              <w:rPr>
                <w:rFonts w:ascii="Arial" w:cs="Arial" w:eastAsia="Arial" w:hAnsi="Arial"/>
                <w:sz w:val="14"/>
                <w:szCs w:val="14"/>
                <w:b w:val="1"/>
                <w:bCs w:val="1"/>
                <w:color w:val="auto"/>
                <w:w w:val="95"/>
              </w:rPr>
              <w:t>Financial</w:t>
            </w:r>
          </w:p>
        </w:tc>
        <w:tc>
          <w:tcPr>
            <w:tcW w:w="132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95"/>
              </w:rPr>
              <w:t>Financial</w:t>
            </w:r>
          </w:p>
        </w:tc>
        <w:tc>
          <w:tcPr>
            <w:tcW w:w="15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Company and</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49"/>
        </w:trPr>
        <w:tc>
          <w:tcPr>
            <w:tcW w:w="4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20" w:type="dxa"/>
            <w:vAlign w:val="bottom"/>
            <w:gridSpan w:val="3"/>
          </w:tcPr>
          <w:p>
            <w:pPr>
              <w:jc w:val="center"/>
              <w:ind w:right="460"/>
              <w:spacing w:after="0" w:line="149" w:lineRule="exact"/>
              <w:rPr>
                <w:sz w:val="20"/>
                <w:szCs w:val="20"/>
                <w:color w:val="auto"/>
              </w:rPr>
            </w:pPr>
            <w:r>
              <w:rPr>
                <w:rFonts w:ascii="Arial" w:cs="Arial" w:eastAsia="Arial" w:hAnsi="Arial"/>
                <w:sz w:val="14"/>
                <w:szCs w:val="14"/>
                <w:b w:val="1"/>
                <w:bCs w:val="1"/>
                <w:color w:val="auto"/>
                <w:w w:val="94"/>
              </w:rPr>
              <w:t>Group, Inc.</w:t>
            </w:r>
          </w:p>
        </w:tc>
        <w:tc>
          <w:tcPr>
            <w:tcW w:w="13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9"/>
              </w:rPr>
              <w:t>Services, Inc.</w:t>
            </w:r>
          </w:p>
        </w:tc>
        <w:tc>
          <w:tcPr>
            <w:tcW w:w="15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Other Subsidiaries</w:t>
            </w:r>
          </w:p>
        </w:tc>
        <w:tc>
          <w:tcPr>
            <w:tcW w:w="140" w:type="dxa"/>
            <w:vAlign w:val="bottom"/>
          </w:tcPr>
          <w:p>
            <w:pPr>
              <w:spacing w:after="0"/>
              <w:rPr>
                <w:sz w:val="12"/>
                <w:szCs w:val="12"/>
                <w:color w:val="auto"/>
              </w:rPr>
            </w:pPr>
          </w:p>
        </w:tc>
        <w:tc>
          <w:tcPr>
            <w:tcW w:w="12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Eliminations</w:t>
            </w: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71"/>
        </w:trPr>
        <w:tc>
          <w:tcPr>
            <w:tcW w:w="4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3"/>
          </w:tcPr>
          <w:p>
            <w:pPr>
              <w:jc w:val="center"/>
              <w:ind w:right="460"/>
              <w:spacing w:after="0"/>
              <w:rPr>
                <w:sz w:val="20"/>
                <w:szCs w:val="20"/>
                <w:color w:val="auto"/>
              </w:rPr>
            </w:pPr>
            <w:r>
              <w:rPr>
                <w:rFonts w:ascii="Arial" w:cs="Arial" w:eastAsia="Arial" w:hAnsi="Arial"/>
                <w:sz w:val="14"/>
                <w:szCs w:val="14"/>
                <w:b w:val="1"/>
                <w:bCs w:val="1"/>
                <w:color w:val="auto"/>
                <w:w w:val="94"/>
              </w:rPr>
              <w:t>Parent Only</w:t>
            </w:r>
          </w:p>
        </w:tc>
        <w:tc>
          <w:tcPr>
            <w:tcW w:w="1320" w:type="dxa"/>
            <w:vAlign w:val="bottom"/>
            <w:gridSpan w:val="3"/>
          </w:tcPr>
          <w:p>
            <w:pPr>
              <w:jc w:val="center"/>
              <w:ind w:right="420"/>
              <w:spacing w:after="0"/>
              <w:rPr>
                <w:sz w:val="20"/>
                <w:szCs w:val="20"/>
                <w:color w:val="auto"/>
              </w:rPr>
            </w:pPr>
            <w:r>
              <w:rPr>
                <w:rFonts w:ascii="Arial" w:cs="Arial" w:eastAsia="Arial" w:hAnsi="Arial"/>
                <w:sz w:val="14"/>
                <w:szCs w:val="14"/>
                <w:b w:val="1"/>
                <w:bCs w:val="1"/>
                <w:color w:val="auto"/>
                <w:w w:val="96"/>
              </w:rPr>
              <w:t>Only</w:t>
            </w:r>
          </w:p>
        </w:tc>
        <w:tc>
          <w:tcPr>
            <w:tcW w:w="15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Combined</w:t>
            </w:r>
          </w:p>
        </w:tc>
        <w:tc>
          <w:tcPr>
            <w:tcW w:w="14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42"/>
        </w:trPr>
        <w:tc>
          <w:tcPr>
            <w:tcW w:w="458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340" w:type="dxa"/>
            <w:vAlign w:val="bottom"/>
            <w:tcBorders>
              <w:top w:val="single" w:sz="8" w:color="auto"/>
            </w:tcBorders>
          </w:tcPr>
          <w:p>
            <w:pPr>
              <w:jc w:val="center"/>
              <w:ind w:right="36"/>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6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20" w:type="dxa"/>
            <w:vAlign w:val="bottom"/>
            <w:gridSpan w:val="3"/>
          </w:tcPr>
          <w:p>
            <w:pPr>
              <w:ind w:left="820"/>
              <w:spacing w:after="0"/>
              <w:rPr>
                <w:sz w:val="20"/>
                <w:szCs w:val="20"/>
                <w:color w:val="auto"/>
              </w:rPr>
            </w:pPr>
            <w:r>
              <w:rPr>
                <w:rFonts w:ascii="Arial" w:cs="Arial" w:eastAsia="Arial" w:hAnsi="Arial"/>
                <w:sz w:val="18"/>
                <w:szCs w:val="18"/>
                <w:b w:val="1"/>
                <w:bCs w:val="1"/>
                <w:color w:val="auto"/>
              </w:rPr>
              <w:t>—  $</w:t>
            </w:r>
          </w:p>
        </w:tc>
        <w:tc>
          <w:tcPr>
            <w:tcW w:w="1320" w:type="dxa"/>
            <w:vAlign w:val="bottom"/>
            <w:gridSpan w:val="3"/>
          </w:tcPr>
          <w:p>
            <w:pPr>
              <w:ind w:left="840"/>
              <w:spacing w:after="0"/>
              <w:rPr>
                <w:sz w:val="20"/>
                <w:szCs w:val="20"/>
                <w:color w:val="auto"/>
              </w:rPr>
            </w:pPr>
            <w:r>
              <w:rPr>
                <w:rFonts w:ascii="Arial" w:cs="Arial" w:eastAsia="Arial" w:hAnsi="Arial"/>
                <w:sz w:val="18"/>
                <w:szCs w:val="18"/>
                <w:b w:val="1"/>
                <w:bCs w:val="1"/>
                <w:color w:val="auto"/>
              </w:rPr>
              <w:t>—  $</w:t>
            </w:r>
          </w:p>
        </w:tc>
        <w:tc>
          <w:tcPr>
            <w:tcW w:w="15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4,155.9</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gridSpan w:val="3"/>
          </w:tcPr>
          <w:p>
            <w:pPr>
              <w:ind w:left="820"/>
              <w:spacing w:after="0"/>
              <w:rPr>
                <w:sz w:val="20"/>
                <w:szCs w:val="20"/>
                <w:color w:val="auto"/>
              </w:rPr>
            </w:pPr>
            <w:r>
              <w:rPr>
                <w:rFonts w:ascii="Arial" w:cs="Arial" w:eastAsia="Arial" w:hAnsi="Arial"/>
                <w:sz w:val="18"/>
                <w:szCs w:val="18"/>
                <w:b w:val="1"/>
                <w:bCs w:val="1"/>
                <w:color w:val="auto"/>
              </w:rPr>
              <w:t>—  $</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4,155.9</w:t>
            </w: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160" w:type="dxa"/>
            <w:vAlign w:val="bottom"/>
            <w:shd w:val="clear" w:color="auto" w:fill="CCEEFF"/>
          </w:tcPr>
          <w:p>
            <w:pPr>
              <w:spacing w:after="0"/>
              <w:rPr>
                <w:sz w:val="18"/>
                <w:szCs w:val="18"/>
                <w:color w:val="auto"/>
              </w:rPr>
            </w:pPr>
          </w:p>
        </w:tc>
        <w:tc>
          <w:tcPr>
            <w:tcW w:w="1320" w:type="dxa"/>
            <w:vAlign w:val="bottom"/>
            <w:gridSpan w:val="3"/>
            <w:shd w:val="clear" w:color="auto" w:fill="CCEEFF"/>
          </w:tcPr>
          <w:p>
            <w:pPr>
              <w:ind w:left="820"/>
              <w:spacing w:after="0"/>
              <w:rPr>
                <w:sz w:val="20"/>
                <w:szCs w:val="20"/>
                <w:color w:val="auto"/>
              </w:rPr>
            </w:pPr>
            <w:r>
              <w:rPr>
                <w:rFonts w:ascii="Arial" w:cs="Arial" w:eastAsia="Arial" w:hAnsi="Arial"/>
                <w:sz w:val="18"/>
                <w:szCs w:val="18"/>
                <w:b w:val="1"/>
                <w:bCs w:val="1"/>
                <w:color w:val="auto"/>
              </w:rPr>
              <w:t>—</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0.2</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2,744.7</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(0.7)</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2,744.2</w:t>
            </w: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Net investment income</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1.3</w:t>
            </w:r>
          </w:p>
        </w:tc>
        <w:tc>
          <w:tcPr>
            <w:tcW w:w="140" w:type="dxa"/>
            <w:vAlign w:val="bottom"/>
          </w:tcPr>
          <w:p>
            <w:pPr>
              <w:spacing w:after="0"/>
              <w:rPr>
                <w:sz w:val="18"/>
                <w:szCs w:val="18"/>
                <w:color w:val="auto"/>
              </w:rPr>
            </w:pPr>
          </w:p>
        </w:tc>
        <w:tc>
          <w:tcPr>
            <w:tcW w:w="1320" w:type="dxa"/>
            <w:vAlign w:val="bottom"/>
            <w:gridSpan w:val="3"/>
          </w:tcPr>
          <w:p>
            <w:pPr>
              <w:jc w:val="right"/>
              <w:ind w:right="300"/>
              <w:spacing w:after="0"/>
              <w:rPr>
                <w:sz w:val="20"/>
                <w:szCs w:val="20"/>
                <w:color w:val="auto"/>
              </w:rPr>
            </w:pPr>
            <w:r>
              <w:rPr>
                <w:rFonts w:ascii="Arial" w:cs="Arial" w:eastAsia="Arial" w:hAnsi="Arial"/>
                <w:sz w:val="18"/>
                <w:szCs w:val="18"/>
                <w:b w:val="1"/>
                <w:bCs w:val="1"/>
                <w:color w:val="auto"/>
              </w:rPr>
              <w:t>—</w:t>
            </w:r>
          </w:p>
        </w:tc>
        <w:tc>
          <w:tcPr>
            <w:tcW w:w="15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2,258.6</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7.4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2,267.3</w:t>
            </w:r>
          </w:p>
        </w:tc>
        <w:tc>
          <w:tcPr>
            <w:tcW w:w="0" w:type="dxa"/>
            <w:vAlign w:val="bottom"/>
          </w:tcPr>
          <w:p>
            <w:pPr>
              <w:spacing w:after="0"/>
              <w:rPr>
                <w:sz w:val="1"/>
                <w:szCs w:val="1"/>
                <w:color w:val="auto"/>
              </w:rPr>
            </w:pPr>
          </w:p>
        </w:tc>
      </w:tr>
      <w:tr>
        <w:trPr>
          <w:trHeight w:val="202"/>
        </w:trPr>
        <w:tc>
          <w:tcPr>
            <w:tcW w:w="45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Net realized capital gains (losses), excluding impairment</w:t>
            </w:r>
          </w:p>
        </w:tc>
        <w:tc>
          <w:tcPr>
            <w:tcW w:w="160" w:type="dxa"/>
            <w:vAlign w:val="bottom"/>
            <w:shd w:val="clear" w:color="auto" w:fill="CCEEFF"/>
          </w:tcPr>
          <w:p>
            <w:pPr>
              <w:spacing w:after="0"/>
              <w:rPr>
                <w:sz w:val="17"/>
                <w:szCs w:val="17"/>
                <w:color w:val="auto"/>
              </w:rPr>
            </w:pPr>
          </w:p>
        </w:tc>
        <w:tc>
          <w:tcPr>
            <w:tcW w:w="1320" w:type="dxa"/>
            <w:vAlign w:val="bottom"/>
            <w:gridSpan w:val="3"/>
            <w:vMerge w:val="restart"/>
            <w:shd w:val="clear" w:color="auto" w:fill="CCEEFF"/>
          </w:tcPr>
          <w:p>
            <w:pPr>
              <w:ind w:left="820"/>
              <w:spacing w:after="0"/>
              <w:rPr>
                <w:sz w:val="20"/>
                <w:szCs w:val="20"/>
                <w:color w:val="auto"/>
              </w:rPr>
            </w:pPr>
            <w:r>
              <w:rPr>
                <w:rFonts w:ascii="Arial" w:cs="Arial" w:eastAsia="Arial" w:hAnsi="Arial"/>
                <w:sz w:val="18"/>
                <w:szCs w:val="18"/>
                <w:b w:val="1"/>
                <w:bCs w:val="1"/>
                <w:color w:val="auto"/>
              </w:rPr>
              <w:t>—</w:t>
            </w:r>
          </w:p>
        </w:tc>
        <w:tc>
          <w:tcPr>
            <w:tcW w:w="11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(4.1)</w:t>
            </w:r>
          </w:p>
        </w:tc>
        <w:tc>
          <w:tcPr>
            <w:tcW w:w="140" w:type="dxa"/>
            <w:vAlign w:val="bottom"/>
            <w:shd w:val="clear" w:color="auto" w:fill="CCEEFF"/>
          </w:tcPr>
          <w:p>
            <w:pPr>
              <w:spacing w:after="0"/>
              <w:rPr>
                <w:sz w:val="17"/>
                <w:szCs w:val="17"/>
                <w:color w:val="auto"/>
              </w:rPr>
            </w:pPr>
          </w:p>
        </w:tc>
        <w:tc>
          <w:tcPr>
            <w:tcW w:w="15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16.8</w:t>
            </w:r>
          </w:p>
        </w:tc>
        <w:tc>
          <w:tcPr>
            <w:tcW w:w="140" w:type="dxa"/>
            <w:vAlign w:val="bottom"/>
            <w:shd w:val="clear" w:color="auto" w:fill="CCEEFF"/>
          </w:tcPr>
          <w:p>
            <w:pPr>
              <w:spacing w:after="0"/>
              <w:rPr>
                <w:sz w:val="17"/>
                <w:szCs w:val="17"/>
                <w:color w:val="auto"/>
              </w:rPr>
            </w:pPr>
          </w:p>
        </w:tc>
        <w:tc>
          <w:tcPr>
            <w:tcW w:w="116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w:t>
            </w:r>
          </w:p>
        </w:tc>
        <w:tc>
          <w:tcPr>
            <w:tcW w:w="120" w:type="dxa"/>
            <w:vAlign w:val="bottom"/>
            <w:shd w:val="clear" w:color="auto" w:fill="CCEEFF"/>
          </w:tcPr>
          <w:p>
            <w:pPr>
              <w:spacing w:after="0"/>
              <w:rPr>
                <w:sz w:val="17"/>
                <w:szCs w:val="17"/>
                <w:color w:val="auto"/>
              </w:rPr>
            </w:pPr>
          </w:p>
        </w:tc>
        <w:tc>
          <w:tcPr>
            <w:tcW w:w="11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11.1</w:t>
            </w:r>
          </w:p>
        </w:tc>
        <w:tc>
          <w:tcPr>
            <w:tcW w:w="0" w:type="dxa"/>
            <w:vAlign w:val="bottom"/>
          </w:tcPr>
          <w:p>
            <w:pPr>
              <w:spacing w:after="0"/>
              <w:rPr>
                <w:sz w:val="1"/>
                <w:szCs w:val="1"/>
                <w:color w:val="auto"/>
              </w:rPr>
            </w:pPr>
          </w:p>
        </w:tc>
      </w:tr>
      <w:tr>
        <w:trPr>
          <w:trHeight w:val="230"/>
        </w:trPr>
        <w:tc>
          <w:tcPr>
            <w:tcW w:w="45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losses on available-for-sale securities</w:t>
            </w:r>
          </w:p>
        </w:tc>
        <w:tc>
          <w:tcPr>
            <w:tcW w:w="160" w:type="dxa"/>
            <w:vAlign w:val="bottom"/>
            <w:shd w:val="clear" w:color="auto" w:fill="CCEEFF"/>
          </w:tcPr>
          <w:p>
            <w:pPr>
              <w:spacing w:after="0"/>
              <w:rPr>
                <w:sz w:val="20"/>
                <w:szCs w:val="20"/>
                <w:color w:val="auto"/>
              </w:rPr>
            </w:pPr>
          </w:p>
        </w:tc>
        <w:tc>
          <w:tcPr>
            <w:tcW w:w="1320" w:type="dxa"/>
            <w:vAlign w:val="bottom"/>
            <w:gridSpan w:val="3"/>
            <w:vMerge w:val="continue"/>
            <w:shd w:val="clear" w:color="auto" w:fill="CCEEFF"/>
          </w:tcPr>
          <w:p>
            <w:pPr>
              <w:spacing w:after="0"/>
              <w:rPr>
                <w:sz w:val="20"/>
                <w:szCs w:val="20"/>
                <w:color w:val="auto"/>
              </w:rPr>
            </w:pPr>
          </w:p>
        </w:tc>
        <w:tc>
          <w:tcPr>
            <w:tcW w:w="118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50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60" w:type="dxa"/>
            <w:vAlign w:val="bottom"/>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20" w:type="dxa"/>
            <w:vAlign w:val="bottom"/>
            <w:gridSpan w:val="2"/>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4580" w:type="dxa"/>
            <w:vAlign w:val="bottom"/>
          </w:tcPr>
          <w:p>
            <w:pPr>
              <w:spacing w:after="0" w:line="201" w:lineRule="exact"/>
              <w:rPr>
                <w:sz w:val="20"/>
                <w:szCs w:val="20"/>
                <w:color w:val="auto"/>
              </w:rPr>
            </w:pPr>
            <w:r>
              <w:rPr>
                <w:rFonts w:ascii="Arial" w:cs="Arial" w:eastAsia="Arial" w:hAnsi="Arial"/>
                <w:sz w:val="18"/>
                <w:szCs w:val="18"/>
                <w:color w:val="auto"/>
              </w:rPr>
              <w:t>Net other-than-temporary impairment recoveries on</w:t>
            </w:r>
          </w:p>
        </w:tc>
        <w:tc>
          <w:tcPr>
            <w:tcW w:w="160" w:type="dxa"/>
            <w:vAlign w:val="bottom"/>
          </w:tcPr>
          <w:p>
            <w:pPr>
              <w:spacing w:after="0"/>
              <w:rPr>
                <w:sz w:val="17"/>
                <w:szCs w:val="17"/>
                <w:color w:val="auto"/>
              </w:rPr>
            </w:pPr>
          </w:p>
        </w:tc>
        <w:tc>
          <w:tcPr>
            <w:tcW w:w="1320" w:type="dxa"/>
            <w:vAlign w:val="bottom"/>
            <w:gridSpan w:val="3"/>
            <w:vMerge w:val="restart"/>
          </w:tcPr>
          <w:p>
            <w:pPr>
              <w:ind w:left="82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3"/>
            <w:vMerge w:val="restart"/>
          </w:tcPr>
          <w:p>
            <w:pPr>
              <w:jc w:val="right"/>
              <w:ind w:right="300"/>
              <w:spacing w:after="0"/>
              <w:rPr>
                <w:sz w:val="20"/>
                <w:szCs w:val="20"/>
                <w:color w:val="auto"/>
              </w:rPr>
            </w:pPr>
            <w:r>
              <w:rPr>
                <w:rFonts w:ascii="Arial" w:cs="Arial" w:eastAsia="Arial" w:hAnsi="Arial"/>
                <w:sz w:val="18"/>
                <w:szCs w:val="18"/>
                <w:b w:val="1"/>
                <w:bCs w:val="1"/>
                <w:color w:val="auto"/>
              </w:rPr>
              <w:t>—</w:t>
            </w:r>
          </w:p>
        </w:tc>
        <w:tc>
          <w:tcPr>
            <w:tcW w:w="1500" w:type="dxa"/>
            <w:vAlign w:val="bottom"/>
            <w:gridSpan w:val="2"/>
            <w:vMerge w:val="restart"/>
          </w:tcPr>
          <w:p>
            <w:pPr>
              <w:jc w:val="right"/>
              <w:ind w:right="160"/>
              <w:spacing w:after="0"/>
              <w:rPr>
                <w:sz w:val="20"/>
                <w:szCs w:val="20"/>
                <w:color w:val="auto"/>
              </w:rPr>
            </w:pPr>
            <w:r>
              <w:rPr>
                <w:rFonts w:ascii="Arial" w:cs="Arial" w:eastAsia="Arial" w:hAnsi="Arial"/>
                <w:sz w:val="18"/>
                <w:szCs w:val="18"/>
                <w:b w:val="1"/>
                <w:bCs w:val="1"/>
                <w:color w:val="auto"/>
              </w:rPr>
              <w:t>6.9</w:t>
            </w:r>
          </w:p>
        </w:tc>
        <w:tc>
          <w:tcPr>
            <w:tcW w:w="140" w:type="dxa"/>
            <w:vAlign w:val="bottom"/>
          </w:tcPr>
          <w:p>
            <w:pPr>
              <w:spacing w:after="0"/>
              <w:rPr>
                <w:sz w:val="17"/>
                <w:szCs w:val="17"/>
                <w:color w:val="auto"/>
              </w:rPr>
            </w:pPr>
          </w:p>
        </w:tc>
        <w:tc>
          <w:tcPr>
            <w:tcW w:w="1280" w:type="dxa"/>
            <w:vAlign w:val="bottom"/>
            <w:gridSpan w:val="3"/>
            <w:vMerge w:val="restart"/>
          </w:tcPr>
          <w:p>
            <w:pPr>
              <w:jc w:val="right"/>
              <w:ind w:right="280"/>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6.9</w:t>
            </w:r>
          </w:p>
        </w:tc>
        <w:tc>
          <w:tcPr>
            <w:tcW w:w="0" w:type="dxa"/>
            <w:vAlign w:val="bottom"/>
          </w:tcPr>
          <w:p>
            <w:pPr>
              <w:spacing w:after="0"/>
              <w:rPr>
                <w:sz w:val="1"/>
                <w:szCs w:val="1"/>
                <w:color w:val="auto"/>
              </w:rPr>
            </w:pPr>
          </w:p>
        </w:tc>
      </w:tr>
      <w:tr>
        <w:trPr>
          <w:trHeight w:val="230"/>
        </w:trPr>
        <w:tc>
          <w:tcPr>
            <w:tcW w:w="4580" w:type="dxa"/>
            <w:vAlign w:val="bottom"/>
          </w:tcPr>
          <w:p>
            <w:pPr>
              <w:ind w:left="180"/>
              <w:spacing w:after="0"/>
              <w:rPr>
                <w:sz w:val="20"/>
                <w:szCs w:val="20"/>
                <w:color w:val="auto"/>
              </w:rPr>
            </w:pPr>
            <w:r>
              <w:rPr>
                <w:rFonts w:ascii="Arial" w:cs="Arial" w:eastAsia="Arial" w:hAnsi="Arial"/>
                <w:sz w:val="18"/>
                <w:szCs w:val="18"/>
                <w:color w:val="auto"/>
              </w:rPr>
              <w:t>available-for-sale securities</w:t>
            </w:r>
          </w:p>
        </w:tc>
        <w:tc>
          <w:tcPr>
            <w:tcW w:w="160" w:type="dxa"/>
            <w:vAlign w:val="bottom"/>
          </w:tcPr>
          <w:p>
            <w:pPr>
              <w:spacing w:after="0"/>
              <w:rPr>
                <w:sz w:val="20"/>
                <w:szCs w:val="20"/>
                <w:color w:val="auto"/>
              </w:rPr>
            </w:pPr>
          </w:p>
        </w:tc>
        <w:tc>
          <w:tcPr>
            <w:tcW w:w="1320" w:type="dxa"/>
            <w:vAlign w:val="bottom"/>
            <w:gridSpan w:val="3"/>
            <w:vMerge w:val="continue"/>
          </w:tcPr>
          <w:p>
            <w:pPr>
              <w:spacing w:after="0"/>
              <w:rPr>
                <w:sz w:val="20"/>
                <w:szCs w:val="20"/>
                <w:color w:val="auto"/>
              </w:rPr>
            </w:pPr>
          </w:p>
        </w:tc>
        <w:tc>
          <w:tcPr>
            <w:tcW w:w="1320" w:type="dxa"/>
            <w:vAlign w:val="bottom"/>
            <w:gridSpan w:val="3"/>
            <w:vMerge w:val="continue"/>
          </w:tcPr>
          <w:p>
            <w:pPr>
              <w:spacing w:after="0"/>
              <w:rPr>
                <w:sz w:val="20"/>
                <w:szCs w:val="20"/>
                <w:color w:val="auto"/>
              </w:rPr>
            </w:pPr>
          </w:p>
        </w:tc>
        <w:tc>
          <w:tcPr>
            <w:tcW w:w="150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gridSpan w:val="3"/>
            <w:vMerge w:val="continue"/>
          </w:tcPr>
          <w:p>
            <w:pPr>
              <w:spacing w:after="0"/>
              <w:rPr>
                <w:sz w:val="20"/>
                <w:szCs w:val="20"/>
                <w:color w:val="auto"/>
              </w:rPr>
            </w:pPr>
          </w:p>
        </w:tc>
        <w:tc>
          <w:tcPr>
            <w:tcW w:w="112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45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5"/>
              </w:rPr>
              <w:t>Other-than-temporary impairment losses on fixed maturities,</w:t>
            </w: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8"/>
              </w:rPr>
              <w:t>available-for-sale reclassified from other comprehensive</w:t>
            </w:r>
          </w:p>
        </w:tc>
        <w:tc>
          <w:tcPr>
            <w:tcW w:w="160" w:type="dxa"/>
            <w:vAlign w:val="bottom"/>
            <w:shd w:val="clear" w:color="auto" w:fill="CCEEFF"/>
          </w:tcPr>
          <w:p>
            <w:pPr>
              <w:spacing w:after="0"/>
              <w:rPr>
                <w:sz w:val="18"/>
                <w:szCs w:val="18"/>
                <w:color w:val="auto"/>
              </w:rPr>
            </w:pPr>
          </w:p>
        </w:tc>
        <w:tc>
          <w:tcPr>
            <w:tcW w:w="1320" w:type="dxa"/>
            <w:vAlign w:val="bottom"/>
            <w:gridSpan w:val="3"/>
            <w:vMerge w:val="restart"/>
            <w:shd w:val="clear" w:color="auto" w:fill="CCEEFF"/>
          </w:tcPr>
          <w:p>
            <w:pPr>
              <w:ind w:left="82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3"/>
            <w:vMerge w:val="restart"/>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5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(28.0)</w:t>
            </w:r>
          </w:p>
        </w:tc>
        <w:tc>
          <w:tcPr>
            <w:tcW w:w="140" w:type="dxa"/>
            <w:vAlign w:val="bottom"/>
            <w:shd w:val="clear" w:color="auto" w:fill="CCEEFF"/>
          </w:tcPr>
          <w:p>
            <w:pPr>
              <w:spacing w:after="0"/>
              <w:rPr>
                <w:sz w:val="18"/>
                <w:szCs w:val="18"/>
                <w:color w:val="auto"/>
              </w:rPr>
            </w:pPr>
          </w:p>
        </w:tc>
        <w:tc>
          <w:tcPr>
            <w:tcW w:w="1280" w:type="dxa"/>
            <w:vAlign w:val="bottom"/>
            <w:gridSpan w:val="3"/>
            <w:vMerge w:val="restart"/>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(28.0)</w:t>
            </w:r>
          </w:p>
        </w:tc>
        <w:tc>
          <w:tcPr>
            <w:tcW w:w="0" w:type="dxa"/>
            <w:vAlign w:val="bottom"/>
          </w:tcPr>
          <w:p>
            <w:pPr>
              <w:spacing w:after="0"/>
              <w:rPr>
                <w:sz w:val="1"/>
                <w:szCs w:val="1"/>
                <w:color w:val="auto"/>
              </w:rPr>
            </w:pPr>
          </w:p>
        </w:tc>
      </w:tr>
      <w:tr>
        <w:trPr>
          <w:trHeight w:val="230"/>
        </w:trPr>
        <w:tc>
          <w:tcPr>
            <w:tcW w:w="45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income</w:t>
            </w:r>
          </w:p>
        </w:tc>
        <w:tc>
          <w:tcPr>
            <w:tcW w:w="160" w:type="dxa"/>
            <w:vAlign w:val="bottom"/>
            <w:shd w:val="clear" w:color="auto" w:fill="CCEEFF"/>
          </w:tcPr>
          <w:p>
            <w:pPr>
              <w:spacing w:after="0"/>
              <w:rPr>
                <w:sz w:val="20"/>
                <w:szCs w:val="20"/>
                <w:color w:val="auto"/>
              </w:rPr>
            </w:pPr>
          </w:p>
        </w:tc>
        <w:tc>
          <w:tcPr>
            <w:tcW w:w="1320" w:type="dxa"/>
            <w:vAlign w:val="bottom"/>
            <w:gridSpan w:val="3"/>
            <w:vMerge w:val="continue"/>
            <w:shd w:val="clear" w:color="auto" w:fill="CCEEFF"/>
          </w:tcPr>
          <w:p>
            <w:pPr>
              <w:spacing w:after="0"/>
              <w:rPr>
                <w:sz w:val="20"/>
                <w:szCs w:val="20"/>
                <w:color w:val="auto"/>
              </w:rPr>
            </w:pPr>
          </w:p>
        </w:tc>
        <w:tc>
          <w:tcPr>
            <w:tcW w:w="1320" w:type="dxa"/>
            <w:vAlign w:val="bottom"/>
            <w:gridSpan w:val="3"/>
            <w:vMerge w:val="continue"/>
            <w:shd w:val="clear" w:color="auto" w:fill="CCEEFF"/>
          </w:tcPr>
          <w:p>
            <w:pPr>
              <w:spacing w:after="0"/>
              <w:rPr>
                <w:sz w:val="20"/>
                <w:szCs w:val="20"/>
                <w:color w:val="auto"/>
              </w:rPr>
            </w:pPr>
          </w:p>
        </w:tc>
        <w:tc>
          <w:tcPr>
            <w:tcW w:w="150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280" w:type="dxa"/>
            <w:vAlign w:val="bottom"/>
            <w:gridSpan w:val="3"/>
            <w:vMerge w:val="continue"/>
            <w:shd w:val="clear" w:color="auto" w:fill="CCEEFF"/>
          </w:tcPr>
          <w:p>
            <w:pPr>
              <w:spacing w:after="0"/>
              <w:rPr>
                <w:sz w:val="20"/>
                <w:szCs w:val="20"/>
                <w:color w:val="auto"/>
              </w:rPr>
            </w:pPr>
          </w:p>
        </w:tc>
        <w:tc>
          <w:tcPr>
            <w:tcW w:w="1120" w:type="dxa"/>
            <w:vAlign w:val="bottom"/>
            <w:gridSpan w:val="2"/>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580" w:type="dxa"/>
            <w:vAlign w:val="bottom"/>
            <w:vMerge w:val="restart"/>
          </w:tcPr>
          <w:p>
            <w:pPr>
              <w:spacing w:after="0"/>
              <w:rPr>
                <w:sz w:val="20"/>
                <w:szCs w:val="20"/>
                <w:color w:val="auto"/>
              </w:rPr>
            </w:pPr>
            <w:r>
              <w:rPr>
                <w:rFonts w:ascii="Arial" w:cs="Arial" w:eastAsia="Arial" w:hAnsi="Arial"/>
                <w:sz w:val="18"/>
                <w:szCs w:val="18"/>
                <w:color w:val="auto"/>
              </w:rPr>
              <w:t>Net impairment losses on available-for-sale securities</w:t>
            </w: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ind w:left="820"/>
              <w:spacing w:after="0"/>
              <w:rPr>
                <w:sz w:val="20"/>
                <w:szCs w:val="20"/>
                <w:color w:val="auto"/>
              </w:rPr>
            </w:pPr>
            <w:r>
              <w:rPr>
                <w:rFonts w:ascii="Arial" w:cs="Arial" w:eastAsia="Arial" w:hAnsi="Arial"/>
                <w:sz w:val="18"/>
                <w:szCs w:val="18"/>
                <w:b w:val="1"/>
                <w:bCs w:val="1"/>
                <w:color w:val="auto"/>
                <w:w w:val="88"/>
              </w:rPr>
              <w:t>—</w:t>
            </w:r>
          </w:p>
        </w:tc>
        <w:tc>
          <w:tcPr>
            <w:tcW w:w="18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5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(21.1)</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(21.1)</w:t>
            </w:r>
          </w:p>
        </w:tc>
        <w:tc>
          <w:tcPr>
            <w:tcW w:w="0" w:type="dxa"/>
            <w:vAlign w:val="bottom"/>
          </w:tcPr>
          <w:p>
            <w:pPr>
              <w:spacing w:after="0"/>
              <w:rPr>
                <w:sz w:val="1"/>
                <w:szCs w:val="1"/>
                <w:color w:val="auto"/>
              </w:rPr>
            </w:pPr>
          </w:p>
        </w:tc>
      </w:tr>
      <w:tr>
        <w:trPr>
          <w:trHeight w:val="20"/>
        </w:trPr>
        <w:tc>
          <w:tcPr>
            <w:tcW w:w="458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Net realized capital losses</w:t>
            </w: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8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ind w:left="820"/>
              <w:spacing w:after="0"/>
              <w:rPr>
                <w:sz w:val="20"/>
                <w:szCs w:val="20"/>
                <w:color w:val="auto"/>
              </w:rPr>
            </w:pPr>
            <w:r>
              <w:rPr>
                <w:rFonts w:ascii="Arial" w:cs="Arial" w:eastAsia="Arial" w:hAnsi="Arial"/>
                <w:sz w:val="18"/>
                <w:szCs w:val="18"/>
                <w:b w:val="1"/>
                <w:bCs w:val="1"/>
                <w:color w:val="auto"/>
                <w:w w:val="88"/>
              </w:rPr>
              <w:t>—</w:t>
            </w:r>
          </w:p>
        </w:tc>
        <w:tc>
          <w:tcPr>
            <w:tcW w:w="18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(4.1)</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(4.3)</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(10.0)</w:t>
            </w:r>
          </w:p>
        </w:tc>
        <w:tc>
          <w:tcPr>
            <w:tcW w:w="0" w:type="dxa"/>
            <w:vAlign w:val="bottom"/>
          </w:tcPr>
          <w:p>
            <w:pPr>
              <w:spacing w:after="0"/>
              <w:rPr>
                <w:sz w:val="1"/>
                <w:szCs w:val="1"/>
                <w:color w:val="auto"/>
              </w:rPr>
            </w:pPr>
          </w:p>
        </w:tc>
      </w:tr>
      <w:tr>
        <w:trPr>
          <w:trHeight w:val="20"/>
        </w:trPr>
        <w:tc>
          <w:tcPr>
            <w:tcW w:w="4580" w:type="dxa"/>
            <w:vAlign w:val="bottom"/>
            <w:vMerge w:val="restart"/>
          </w:tcPr>
          <w:p>
            <w:pPr>
              <w:ind w:left="200"/>
              <w:spacing w:after="0"/>
              <w:rPr>
                <w:sz w:val="20"/>
                <w:szCs w:val="20"/>
                <w:color w:val="auto"/>
              </w:rPr>
            </w:pPr>
            <w:r>
              <w:rPr>
                <w:rFonts w:ascii="Arial" w:cs="Arial" w:eastAsia="Arial" w:hAnsi="Arial"/>
                <w:sz w:val="18"/>
                <w:szCs w:val="18"/>
                <w:color w:val="auto"/>
              </w:rPr>
              <w:t>Total revenues</w:t>
            </w: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1.3</w:t>
            </w:r>
          </w:p>
        </w:tc>
        <w:tc>
          <w:tcPr>
            <w:tcW w:w="18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(3.9)</w:t>
            </w:r>
          </w:p>
        </w:tc>
        <w:tc>
          <w:tcPr>
            <w:tcW w:w="1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9,154.9</w:t>
            </w:r>
          </w:p>
        </w:tc>
        <w:tc>
          <w:tcPr>
            <w:tcW w:w="1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5.1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9,157.4</w:t>
            </w:r>
          </w:p>
        </w:tc>
        <w:tc>
          <w:tcPr>
            <w:tcW w:w="1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Benefits, claims and settlement expenses</w:t>
            </w:r>
          </w:p>
        </w:tc>
        <w:tc>
          <w:tcPr>
            <w:tcW w:w="160" w:type="dxa"/>
            <w:vAlign w:val="bottom"/>
          </w:tcPr>
          <w:p>
            <w:pPr>
              <w:spacing w:after="0"/>
              <w:rPr>
                <w:sz w:val="18"/>
                <w:szCs w:val="18"/>
                <w:color w:val="auto"/>
              </w:rPr>
            </w:pPr>
          </w:p>
        </w:tc>
        <w:tc>
          <w:tcPr>
            <w:tcW w:w="1320" w:type="dxa"/>
            <w:vAlign w:val="bottom"/>
            <w:gridSpan w:val="3"/>
          </w:tcPr>
          <w:p>
            <w:pPr>
              <w:ind w:left="82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3"/>
          </w:tcPr>
          <w:p>
            <w:pPr>
              <w:jc w:val="right"/>
              <w:ind w:right="300"/>
              <w:spacing w:after="0"/>
              <w:rPr>
                <w:sz w:val="20"/>
                <w:szCs w:val="20"/>
                <w:color w:val="auto"/>
              </w:rPr>
            </w:pPr>
            <w:r>
              <w:rPr>
                <w:rFonts w:ascii="Arial" w:cs="Arial" w:eastAsia="Arial" w:hAnsi="Arial"/>
                <w:sz w:val="18"/>
                <w:szCs w:val="18"/>
                <w:b w:val="1"/>
                <w:bCs w:val="1"/>
                <w:color w:val="auto"/>
              </w:rPr>
              <w:t>—</w:t>
            </w:r>
          </w:p>
        </w:tc>
        <w:tc>
          <w:tcPr>
            <w:tcW w:w="15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5,160.5</w:t>
            </w:r>
          </w:p>
        </w:tc>
        <w:tc>
          <w:tcPr>
            <w:tcW w:w="140" w:type="dxa"/>
            <w:vAlign w:val="bottom"/>
          </w:tcPr>
          <w:p>
            <w:pPr>
              <w:spacing w:after="0"/>
              <w:rPr>
                <w:sz w:val="18"/>
                <w:szCs w:val="18"/>
                <w:color w:val="auto"/>
              </w:rPr>
            </w:pPr>
          </w:p>
        </w:tc>
        <w:tc>
          <w:tcPr>
            <w:tcW w:w="1280" w:type="dxa"/>
            <w:vAlign w:val="bottom"/>
            <w:gridSpan w:val="3"/>
          </w:tcPr>
          <w:p>
            <w:pPr>
              <w:jc w:val="right"/>
              <w:ind w:right="280"/>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5,160.5</w:t>
            </w: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160" w:type="dxa"/>
            <w:vAlign w:val="bottom"/>
            <w:shd w:val="clear" w:color="auto" w:fill="CCEEFF"/>
          </w:tcPr>
          <w:p>
            <w:pPr>
              <w:spacing w:after="0"/>
              <w:rPr>
                <w:sz w:val="18"/>
                <w:szCs w:val="18"/>
                <w:color w:val="auto"/>
              </w:rPr>
            </w:pPr>
          </w:p>
        </w:tc>
        <w:tc>
          <w:tcPr>
            <w:tcW w:w="1320" w:type="dxa"/>
            <w:vAlign w:val="bottom"/>
            <w:gridSpan w:val="3"/>
            <w:shd w:val="clear" w:color="auto" w:fill="CCEEFF"/>
          </w:tcPr>
          <w:p>
            <w:pPr>
              <w:ind w:left="82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5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123.5</w:t>
            </w:r>
          </w:p>
        </w:tc>
        <w:tc>
          <w:tcPr>
            <w:tcW w:w="140" w:type="dxa"/>
            <w:vAlign w:val="bottom"/>
            <w:shd w:val="clear" w:color="auto" w:fill="CCEEFF"/>
          </w:tcPr>
          <w:p>
            <w:pPr>
              <w:spacing w:after="0"/>
              <w:rPr>
                <w:sz w:val="18"/>
                <w:szCs w:val="18"/>
                <w:color w:val="auto"/>
              </w:rPr>
            </w:pPr>
          </w:p>
        </w:tc>
        <w:tc>
          <w:tcPr>
            <w:tcW w:w="12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123.5</w:t>
            </w: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Operating expenses</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128.5</w:t>
            </w:r>
          </w:p>
        </w:tc>
        <w:tc>
          <w:tcPr>
            <w:tcW w:w="140" w:type="dxa"/>
            <w:vAlign w:val="bottom"/>
          </w:tcPr>
          <w:p>
            <w:pPr>
              <w:spacing w:after="0"/>
              <w:rPr>
                <w:sz w:val="18"/>
                <w:szCs w:val="18"/>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9.3</w:t>
            </w:r>
          </w:p>
        </w:tc>
        <w:tc>
          <w:tcPr>
            <w:tcW w:w="140" w:type="dxa"/>
            <w:vAlign w:val="bottom"/>
          </w:tcPr>
          <w:p>
            <w:pPr>
              <w:spacing w:after="0"/>
              <w:rPr>
                <w:sz w:val="18"/>
                <w:szCs w:val="18"/>
                <w:color w:val="auto"/>
              </w:rPr>
            </w:pPr>
          </w:p>
        </w:tc>
        <w:tc>
          <w:tcPr>
            <w:tcW w:w="15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2,613.8</w:t>
            </w:r>
          </w:p>
        </w:tc>
        <w:tc>
          <w:tcPr>
            <w:tcW w:w="140" w:type="dxa"/>
            <w:vAlign w:val="bottom"/>
          </w:tcPr>
          <w:p>
            <w:pPr>
              <w:spacing w:after="0"/>
              <w:rPr>
                <w:sz w:val="18"/>
                <w:szCs w:val="18"/>
                <w:color w:val="auto"/>
              </w:rPr>
            </w:pPr>
          </w:p>
        </w:tc>
        <w:tc>
          <w:tcPr>
            <w:tcW w:w="1280" w:type="dxa"/>
            <w:vAlign w:val="bottom"/>
            <w:gridSpan w:val="3"/>
          </w:tcPr>
          <w:p>
            <w:pPr>
              <w:jc w:val="right"/>
              <w:ind w:right="280"/>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2,751.6</w:t>
            </w:r>
          </w:p>
        </w:tc>
        <w:tc>
          <w:tcPr>
            <w:tcW w:w="0" w:type="dxa"/>
            <w:vAlign w:val="bottom"/>
          </w:tcPr>
          <w:p>
            <w:pPr>
              <w:spacing w:after="0"/>
              <w:rPr>
                <w:sz w:val="1"/>
                <w:szCs w:val="1"/>
                <w:color w:val="auto"/>
              </w:rPr>
            </w:pPr>
          </w:p>
        </w:tc>
      </w:tr>
      <w:tr>
        <w:trPr>
          <w:trHeight w:val="210"/>
        </w:trPr>
        <w:tc>
          <w:tcPr>
            <w:tcW w:w="4580" w:type="dxa"/>
            <w:vAlign w:val="bottom"/>
            <w:tcBorders>
              <w:top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 expenses</w:t>
            </w: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128.5</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9.3</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7,897.8</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8,035.6</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ectPr>
          <w:pgSz w:w="11900" w:h="16857" w:orient="portrait"/>
          <w:cols w:equalWidth="0" w:num="1">
            <w:col w:w="11460"/>
          </w:cols>
          <w:pgMar w:left="240" w:top="125" w:right="199" w:bottom="0" w:gutter="0" w:footer="0" w:header="0"/>
        </w:sectPr>
      </w:pPr>
    </w:p>
    <w:bookmarkStart w:id="61" w:name="page62"/>
    <w:bookmarkEnd w:id="61"/>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Income (loss) before income taxes</w:t>
            </w:r>
          </w:p>
        </w:tc>
        <w:tc>
          <w:tcPr>
            <w:tcW w:w="3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(127.2)</w:t>
            </w:r>
          </w:p>
        </w:tc>
        <w:tc>
          <w:tcPr>
            <w:tcW w:w="360" w:type="dxa"/>
            <w:vAlign w:val="bottom"/>
            <w:shd w:val="clear" w:color="auto" w:fill="CCEEFF"/>
          </w:tcPr>
          <w:p>
            <w:pPr>
              <w:spacing w:after="0"/>
              <w:rPr>
                <w:sz w:val="18"/>
                <w:szCs w:val="18"/>
                <w:color w:val="auto"/>
              </w:rPr>
            </w:pPr>
          </w:p>
        </w:tc>
        <w:tc>
          <w:tcPr>
            <w:tcW w:w="9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(13.2)</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1,257.1</w:t>
            </w: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5.1</w:t>
            </w:r>
          </w:p>
        </w:tc>
        <w:tc>
          <w:tcPr>
            <w:tcW w:w="16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1,121.8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Income taxes (benefits)</w:t>
            </w:r>
          </w:p>
        </w:tc>
        <w:tc>
          <w:tcPr>
            <w:tcW w:w="36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(52.5)</w:t>
            </w:r>
          </w:p>
        </w:tc>
        <w:tc>
          <w:tcPr>
            <w:tcW w:w="36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0.2</w:t>
            </w:r>
          </w:p>
        </w:tc>
        <w:tc>
          <w:tcPr>
            <w:tcW w:w="52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179.2</w:t>
            </w:r>
          </w:p>
        </w:tc>
        <w:tc>
          <w:tcPr>
            <w:tcW w:w="32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3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126.9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Equity in the net income of subsidiaries</w:t>
            </w:r>
          </w:p>
        </w:tc>
        <w:tc>
          <w:tcPr>
            <w:tcW w:w="3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1,055.1</w:t>
            </w:r>
          </w:p>
        </w:tc>
        <w:tc>
          <w:tcPr>
            <w:tcW w:w="360" w:type="dxa"/>
            <w:vAlign w:val="bottom"/>
            <w:shd w:val="clear" w:color="auto" w:fill="CCEEFF"/>
          </w:tcPr>
          <w:p>
            <w:pPr>
              <w:spacing w:after="0"/>
              <w:rPr>
                <w:sz w:val="18"/>
                <w:szCs w:val="18"/>
                <w:color w:val="auto"/>
              </w:rPr>
            </w:pPr>
          </w:p>
        </w:tc>
        <w:tc>
          <w:tcPr>
            <w:tcW w:w="9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1,063.4</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320" w:type="dxa"/>
            <w:vAlign w:val="bottom"/>
            <w:shd w:val="clear" w:color="auto" w:fill="CCEEFF"/>
          </w:tcPr>
          <w:p>
            <w:pPr>
              <w:spacing w:after="0"/>
              <w:rPr>
                <w:sz w:val="18"/>
                <w:szCs w:val="18"/>
                <w:color w:val="auto"/>
              </w:rPr>
            </w:pPr>
          </w:p>
        </w:tc>
        <w:tc>
          <w:tcPr>
            <w:tcW w:w="98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(2,118.5)</w:t>
            </w: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vMerge w:val="restart"/>
          </w:tcPr>
          <w:p>
            <w:pPr>
              <w:spacing w:after="0"/>
              <w:rPr>
                <w:sz w:val="20"/>
                <w:szCs w:val="20"/>
                <w:color w:val="auto"/>
              </w:rPr>
            </w:pPr>
            <w:r>
              <w:rPr>
                <w:rFonts w:ascii="Arial" w:cs="Arial" w:eastAsia="Arial" w:hAnsi="Arial"/>
                <w:sz w:val="18"/>
                <w:szCs w:val="18"/>
                <w:color w:val="auto"/>
              </w:rPr>
              <w:t>Net income</w:t>
            </w:r>
          </w:p>
        </w:tc>
        <w:tc>
          <w:tcPr>
            <w:tcW w:w="3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980.4</w:t>
            </w:r>
          </w:p>
        </w:tc>
        <w:tc>
          <w:tcPr>
            <w:tcW w:w="18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1,050.0</w:t>
            </w:r>
          </w:p>
        </w:tc>
        <w:tc>
          <w:tcPr>
            <w:tcW w:w="160" w:type="dxa"/>
            <w:vAlign w:val="bottom"/>
            <w:vMerge w:val="continue"/>
          </w:tcPr>
          <w:p>
            <w:pPr>
              <w:spacing w:after="0"/>
              <w:rPr>
                <w:sz w:val="18"/>
                <w:szCs w:val="18"/>
                <w:color w:val="auto"/>
              </w:rPr>
            </w:pPr>
          </w:p>
        </w:tc>
        <w:tc>
          <w:tcPr>
            <w:tcW w:w="5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1,077.9</w:t>
            </w:r>
          </w:p>
        </w:tc>
        <w:tc>
          <w:tcPr>
            <w:tcW w:w="16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(2,113.4)</w:t>
            </w: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994.9</w:t>
            </w:r>
          </w:p>
        </w:tc>
        <w:tc>
          <w:tcPr>
            <w:tcW w:w="1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Net income attributable to noncontrolling interest</w:t>
            </w:r>
          </w:p>
        </w:tc>
        <w:tc>
          <w:tcPr>
            <w:tcW w:w="3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CEEFF"/>
          </w:tcPr>
          <w:p>
            <w:pPr>
              <w:spacing w:after="0"/>
              <w:rPr>
                <w:sz w:val="18"/>
                <w:szCs w:val="18"/>
                <w:color w:val="auto"/>
              </w:rPr>
            </w:pPr>
          </w:p>
        </w:tc>
        <w:tc>
          <w:tcPr>
            <w:tcW w:w="9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14.5</w:t>
            </w:r>
          </w:p>
        </w:tc>
        <w:tc>
          <w:tcPr>
            <w:tcW w:w="320" w:type="dxa"/>
            <w:vAlign w:val="bottom"/>
            <w:shd w:val="clear" w:color="auto" w:fill="CCEEFF"/>
          </w:tcPr>
          <w:p>
            <w:pPr>
              <w:spacing w:after="0"/>
              <w:rPr>
                <w:sz w:val="18"/>
                <w:szCs w:val="18"/>
                <w:color w:val="auto"/>
              </w:rPr>
            </w:pPr>
          </w:p>
        </w:tc>
        <w:tc>
          <w:tcPr>
            <w:tcW w:w="98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vMerge w:val="restart"/>
          </w:tcPr>
          <w:p>
            <w:pPr>
              <w:spacing w:after="0"/>
              <w:rPr>
                <w:sz w:val="20"/>
                <w:szCs w:val="20"/>
                <w:color w:val="auto"/>
              </w:rPr>
            </w:pPr>
            <w:r>
              <w:rPr>
                <w:rFonts w:ascii="Arial" w:cs="Arial" w:eastAsia="Arial" w:hAnsi="Arial"/>
                <w:sz w:val="18"/>
                <w:szCs w:val="18"/>
                <w:color w:val="auto"/>
              </w:rPr>
              <w:t>Net income attributable to PFG</w:t>
            </w:r>
          </w:p>
        </w:tc>
        <w:tc>
          <w:tcPr>
            <w:tcW w:w="3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980.4</w:t>
            </w:r>
          </w:p>
        </w:tc>
        <w:tc>
          <w:tcPr>
            <w:tcW w:w="18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1,050.0</w:t>
            </w:r>
          </w:p>
        </w:tc>
        <w:tc>
          <w:tcPr>
            <w:tcW w:w="160" w:type="dxa"/>
            <w:vAlign w:val="bottom"/>
            <w:vMerge w:val="continue"/>
          </w:tcPr>
          <w:p>
            <w:pPr>
              <w:spacing w:after="0"/>
              <w:rPr>
                <w:sz w:val="18"/>
                <w:szCs w:val="18"/>
                <w:color w:val="auto"/>
              </w:rPr>
            </w:pPr>
          </w:p>
        </w:tc>
        <w:tc>
          <w:tcPr>
            <w:tcW w:w="5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1,063.4</w:t>
            </w:r>
          </w:p>
        </w:tc>
        <w:tc>
          <w:tcPr>
            <w:tcW w:w="16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(2,113.4)</w:t>
            </w: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980.4</w:t>
            </w:r>
          </w:p>
        </w:tc>
        <w:tc>
          <w:tcPr>
            <w:tcW w:w="1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dividends</w:t>
            </w:r>
          </w:p>
        </w:tc>
        <w:tc>
          <w:tcPr>
            <w:tcW w:w="3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16.5</w:t>
            </w:r>
          </w:p>
        </w:tc>
        <w:tc>
          <w:tcPr>
            <w:tcW w:w="360" w:type="dxa"/>
            <w:vAlign w:val="bottom"/>
            <w:shd w:val="clear" w:color="auto" w:fill="CCEEFF"/>
          </w:tcPr>
          <w:p>
            <w:pPr>
              <w:spacing w:after="0"/>
              <w:rPr>
                <w:sz w:val="18"/>
                <w:szCs w:val="18"/>
                <w:color w:val="auto"/>
              </w:rPr>
            </w:pPr>
          </w:p>
        </w:tc>
        <w:tc>
          <w:tcPr>
            <w:tcW w:w="9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320" w:type="dxa"/>
            <w:vAlign w:val="bottom"/>
            <w:shd w:val="clear" w:color="auto" w:fill="CCEEFF"/>
          </w:tcPr>
          <w:p>
            <w:pPr>
              <w:spacing w:after="0"/>
              <w:rPr>
                <w:sz w:val="18"/>
                <w:szCs w:val="18"/>
                <w:color w:val="auto"/>
              </w:rPr>
            </w:pPr>
          </w:p>
        </w:tc>
        <w:tc>
          <w:tcPr>
            <w:tcW w:w="98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560" w:type="dxa"/>
            <w:vAlign w:val="bottom"/>
          </w:tcPr>
          <w:p>
            <w:pPr>
              <w:spacing w:after="0" w:line="201" w:lineRule="exact"/>
              <w:rPr>
                <w:sz w:val="20"/>
                <w:szCs w:val="20"/>
                <w:color w:val="auto"/>
              </w:rPr>
            </w:pPr>
            <w:r>
              <w:rPr>
                <w:rFonts w:ascii="Arial" w:cs="Arial" w:eastAsia="Arial" w:hAnsi="Arial"/>
                <w:sz w:val="18"/>
                <w:szCs w:val="18"/>
                <w:color w:val="auto"/>
                <w:w w:val="95"/>
              </w:rPr>
              <w:t>Excess of redemption value over carrying value of preferred</w:t>
            </w:r>
          </w:p>
        </w:tc>
        <w:tc>
          <w:tcPr>
            <w:tcW w:w="360" w:type="dxa"/>
            <w:vAlign w:val="bottom"/>
          </w:tcPr>
          <w:p>
            <w:pPr>
              <w:spacing w:after="0"/>
              <w:rPr>
                <w:sz w:val="17"/>
                <w:szCs w:val="17"/>
                <w:color w:val="auto"/>
              </w:rPr>
            </w:pPr>
          </w:p>
        </w:tc>
        <w:tc>
          <w:tcPr>
            <w:tcW w:w="980" w:type="dxa"/>
            <w:vAlign w:val="bottom"/>
            <w:gridSpan w:val="2"/>
            <w:vMerge w:val="restart"/>
          </w:tcPr>
          <w:p>
            <w:pPr>
              <w:jc w:val="right"/>
              <w:ind w:right="180"/>
              <w:spacing w:after="0"/>
              <w:rPr>
                <w:sz w:val="20"/>
                <w:szCs w:val="20"/>
                <w:color w:val="auto"/>
              </w:rPr>
            </w:pPr>
            <w:r>
              <w:rPr>
                <w:rFonts w:ascii="Arial" w:cs="Arial" w:eastAsia="Arial" w:hAnsi="Arial"/>
                <w:sz w:val="18"/>
                <w:szCs w:val="18"/>
                <w:b w:val="1"/>
                <w:bCs w:val="1"/>
                <w:color w:val="auto"/>
              </w:rPr>
              <w:t>8.2</w:t>
            </w:r>
          </w:p>
        </w:tc>
        <w:tc>
          <w:tcPr>
            <w:tcW w:w="360" w:type="dxa"/>
            <w:vAlign w:val="bottom"/>
          </w:tcPr>
          <w:p>
            <w:pPr>
              <w:spacing w:after="0"/>
              <w:rPr>
                <w:sz w:val="17"/>
                <w:szCs w:val="17"/>
                <w:color w:val="auto"/>
              </w:rPr>
            </w:pPr>
          </w:p>
        </w:tc>
        <w:tc>
          <w:tcPr>
            <w:tcW w:w="960" w:type="dxa"/>
            <w:vAlign w:val="bottom"/>
            <w:gridSpan w:val="2"/>
            <w:vMerge w:val="restart"/>
          </w:tcPr>
          <w:p>
            <w:pPr>
              <w:jc w:val="right"/>
              <w:ind w:right="160"/>
              <w:spacing w:after="0"/>
              <w:rPr>
                <w:sz w:val="20"/>
                <w:szCs w:val="20"/>
                <w:color w:val="auto"/>
              </w:rPr>
            </w:pPr>
            <w:r>
              <w:rPr>
                <w:rFonts w:ascii="Arial" w:cs="Arial" w:eastAsia="Arial" w:hAnsi="Arial"/>
                <w:sz w:val="18"/>
                <w:szCs w:val="18"/>
                <w:b w:val="1"/>
                <w:bCs w:val="1"/>
                <w:color w:val="auto"/>
              </w:rPr>
              <w:t>—</w:t>
            </w:r>
          </w:p>
        </w:tc>
        <w:tc>
          <w:tcPr>
            <w:tcW w:w="520" w:type="dxa"/>
            <w:vAlign w:val="bottom"/>
          </w:tcPr>
          <w:p>
            <w:pPr>
              <w:spacing w:after="0"/>
              <w:rPr>
                <w:sz w:val="17"/>
                <w:szCs w:val="17"/>
                <w:color w:val="auto"/>
              </w:rPr>
            </w:pPr>
          </w:p>
        </w:tc>
        <w:tc>
          <w:tcPr>
            <w:tcW w:w="1120" w:type="dxa"/>
            <w:vAlign w:val="bottom"/>
            <w:gridSpan w:val="2"/>
            <w:vMerge w:val="restart"/>
          </w:tcPr>
          <w:p>
            <w:pPr>
              <w:jc w:val="right"/>
              <w:ind w:right="160"/>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17"/>
                <w:szCs w:val="17"/>
                <w:color w:val="auto"/>
              </w:rPr>
            </w:pPr>
          </w:p>
        </w:tc>
        <w:tc>
          <w:tcPr>
            <w:tcW w:w="98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w:t>
            </w:r>
          </w:p>
        </w:tc>
        <w:tc>
          <w:tcPr>
            <w:tcW w:w="340" w:type="dxa"/>
            <w:vAlign w:val="bottom"/>
          </w:tcPr>
          <w:p>
            <w:pPr>
              <w:spacing w:after="0"/>
              <w:rPr>
                <w:sz w:val="17"/>
                <w:szCs w:val="17"/>
                <w:color w:val="auto"/>
              </w:rPr>
            </w:pP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8.2</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60" w:type="dxa"/>
            <w:vAlign w:val="bottom"/>
          </w:tcPr>
          <w:p>
            <w:pPr>
              <w:ind w:left="160"/>
              <w:spacing w:after="0"/>
              <w:rPr>
                <w:sz w:val="20"/>
                <w:szCs w:val="20"/>
                <w:color w:val="auto"/>
              </w:rPr>
            </w:pPr>
            <w:r>
              <w:rPr>
                <w:rFonts w:ascii="Arial" w:cs="Arial" w:eastAsia="Arial" w:hAnsi="Arial"/>
                <w:sz w:val="18"/>
                <w:szCs w:val="18"/>
                <w:color w:val="auto"/>
              </w:rPr>
              <w:t>shares redeemed</w:t>
            </w:r>
          </w:p>
        </w:tc>
        <w:tc>
          <w:tcPr>
            <w:tcW w:w="360" w:type="dxa"/>
            <w:vAlign w:val="bottom"/>
          </w:tcPr>
          <w:p>
            <w:pPr>
              <w:spacing w:after="0"/>
              <w:rPr>
                <w:sz w:val="20"/>
                <w:szCs w:val="20"/>
                <w:color w:val="auto"/>
              </w:rPr>
            </w:pPr>
          </w:p>
        </w:tc>
        <w:tc>
          <w:tcPr>
            <w:tcW w:w="980" w:type="dxa"/>
            <w:vAlign w:val="bottom"/>
            <w:gridSpan w:val="2"/>
            <w:vMerge w:val="continue"/>
          </w:tcPr>
          <w:p>
            <w:pPr>
              <w:spacing w:after="0"/>
              <w:rPr>
                <w:sz w:val="20"/>
                <w:szCs w:val="20"/>
                <w:color w:val="auto"/>
              </w:rPr>
            </w:pPr>
          </w:p>
        </w:tc>
        <w:tc>
          <w:tcPr>
            <w:tcW w:w="36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520" w:type="dxa"/>
            <w:vAlign w:val="bottom"/>
          </w:tcPr>
          <w:p>
            <w:pPr>
              <w:spacing w:after="0"/>
              <w:rPr>
                <w:sz w:val="20"/>
                <w:szCs w:val="20"/>
                <w:color w:val="auto"/>
              </w:rPr>
            </w:pPr>
          </w:p>
        </w:tc>
        <w:tc>
          <w:tcPr>
            <w:tcW w:w="1120" w:type="dxa"/>
            <w:vAlign w:val="bottom"/>
            <w:gridSpan w:val="2"/>
            <w:vMerge w:val="continue"/>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gridSpan w:val="2"/>
            <w:vMerge w:val="continue"/>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Net income available to common stockholders</w:t>
            </w:r>
          </w:p>
        </w:tc>
        <w:tc>
          <w:tcPr>
            <w:tcW w:w="3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vMerge w:val="restart"/>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vMerge w:val="continue"/>
            <w:shd w:val="clear" w:color="auto" w:fill="CCEEFF"/>
          </w:tcPr>
          <w:p>
            <w:pPr>
              <w:spacing w:after="0"/>
              <w:rPr>
                <w:sz w:val="18"/>
                <w:szCs w:val="18"/>
                <w:color w:val="auto"/>
              </w:rPr>
            </w:pP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955.7</w:t>
            </w:r>
          </w:p>
        </w:tc>
        <w:tc>
          <w:tcPr>
            <w:tcW w:w="180" w:type="dxa"/>
            <w:vAlign w:val="bottom"/>
            <w:vMerge w:val="continue"/>
            <w:shd w:val="clear" w:color="auto" w:fill="CCEEFF"/>
          </w:tcPr>
          <w:p>
            <w:pPr>
              <w:spacing w:after="0"/>
              <w:rPr>
                <w:sz w:val="18"/>
                <w:szCs w:val="18"/>
                <w:color w:val="auto"/>
              </w:rPr>
            </w:pP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1,050.0</w:t>
            </w:r>
          </w:p>
        </w:tc>
        <w:tc>
          <w:tcPr>
            <w:tcW w:w="160" w:type="dxa"/>
            <w:vAlign w:val="bottom"/>
            <w:tcBorders>
              <w:right w:val="single" w:sz="8" w:color="CCEEFF"/>
            </w:tcBorders>
            <w:vMerge w:val="continue"/>
            <w:shd w:val="clear" w:color="auto" w:fill="CCEEFF"/>
          </w:tcPr>
          <w:p>
            <w:pPr>
              <w:spacing w:after="0"/>
              <w:rPr>
                <w:sz w:val="18"/>
                <w:szCs w:val="18"/>
                <w:color w:val="auto"/>
              </w:rPr>
            </w:pPr>
          </w:p>
        </w:tc>
        <w:tc>
          <w:tcPr>
            <w:tcW w:w="520" w:type="dxa"/>
            <w:vAlign w:val="bottom"/>
            <w:shd w:val="clear" w:color="auto" w:fill="CCEEFF"/>
          </w:tcPr>
          <w:p>
            <w:pPr>
              <w:jc w:val="right"/>
              <w:ind w:right="330"/>
              <w:spacing w:after="0"/>
              <w:rPr>
                <w:sz w:val="20"/>
                <w:szCs w:val="20"/>
                <w:color w:val="auto"/>
              </w:rPr>
            </w:pPr>
            <w:r>
              <w:rPr>
                <w:rFonts w:ascii="Arial" w:cs="Arial" w:eastAsia="Arial" w:hAnsi="Arial"/>
                <w:sz w:val="18"/>
                <w:szCs w:val="18"/>
                <w:b w:val="1"/>
                <w:bCs w:val="1"/>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1,063.4</w:t>
            </w:r>
          </w:p>
        </w:tc>
        <w:tc>
          <w:tcPr>
            <w:tcW w:w="16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(2,113.4)</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b w:val="1"/>
                <w:bCs w:val="1"/>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955.7</w:t>
            </w:r>
          </w:p>
        </w:tc>
        <w:tc>
          <w:tcPr>
            <w:tcW w:w="10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5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9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980.4</w:t>
            </w: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1,050.0</w:t>
            </w:r>
          </w:p>
        </w:tc>
        <w:tc>
          <w:tcPr>
            <w:tcW w:w="520" w:type="dxa"/>
            <w:vAlign w:val="bottom"/>
            <w:shd w:val="clear" w:color="auto" w:fill="CCEEFF"/>
          </w:tcPr>
          <w:p>
            <w:pPr>
              <w:jc w:val="right"/>
              <w:ind w:right="330"/>
              <w:spacing w:after="0"/>
              <w:rPr>
                <w:sz w:val="20"/>
                <w:szCs w:val="20"/>
                <w:color w:val="auto"/>
              </w:rPr>
            </w:pPr>
            <w:r>
              <w:rPr>
                <w:rFonts w:ascii="Arial" w:cs="Arial" w:eastAsia="Arial" w:hAnsi="Arial"/>
                <w:sz w:val="18"/>
                <w:szCs w:val="18"/>
                <w:b w:val="1"/>
                <w:bCs w:val="1"/>
                <w:color w:val="auto"/>
                <w:w w:val="79"/>
              </w:rPr>
              <w:t>$</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1,077.9</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(2,113.4)</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b w:val="1"/>
                <w:bCs w:val="1"/>
                <w:color w:val="auto"/>
                <w:w w:val="71"/>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994.9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Other comprehensive loss</w:t>
            </w:r>
          </w:p>
        </w:tc>
        <w:tc>
          <w:tcPr>
            <w:tcW w:w="36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(633.8)</w:t>
            </w:r>
          </w:p>
        </w:tc>
        <w:tc>
          <w:tcPr>
            <w:tcW w:w="36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(621.7)</w:t>
            </w:r>
          </w:p>
        </w:tc>
        <w:tc>
          <w:tcPr>
            <w:tcW w:w="5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(700.7)</w:t>
            </w:r>
          </w:p>
        </w:tc>
        <w:tc>
          <w:tcPr>
            <w:tcW w:w="3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1,372.7</w:t>
            </w: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(583.5)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346.6</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428.3</w:t>
            </w:r>
          </w:p>
        </w:tc>
        <w:tc>
          <w:tcPr>
            <w:tcW w:w="160" w:type="dxa"/>
            <w:vAlign w:val="bottom"/>
            <w:tcBorders>
              <w:top w:val="single" w:sz="8" w:color="CCEEFF"/>
              <w:bottom w:val="single" w:sz="8" w:color="CCEEFF"/>
              <w:right w:val="single" w:sz="8" w:color="CCEEFF"/>
            </w:tcBorders>
            <w:shd w:val="clear" w:color="auto" w:fill="CCEEFF"/>
          </w:tcPr>
          <w:p>
            <w:pPr>
              <w:spacing w:after="0"/>
              <w:rPr>
                <w:sz w:val="19"/>
                <w:szCs w:val="19"/>
                <w:color w:val="auto"/>
              </w:rPr>
            </w:pPr>
          </w:p>
        </w:tc>
        <w:tc>
          <w:tcPr>
            <w:tcW w:w="520" w:type="dxa"/>
            <w:vAlign w:val="bottom"/>
            <w:tcBorders>
              <w:top w:val="single" w:sz="8" w:color="auto"/>
              <w:bottom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377.2</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(740.7</w:t>
            </w:r>
          </w:p>
        </w:tc>
        <w:tc>
          <w:tcPr>
            <w:tcW w:w="160" w:type="dxa"/>
            <w:vAlign w:val="bottom"/>
            <w:tcBorders>
              <w:top w:val="single" w:sz="8" w:color="CCEEFF"/>
              <w:bottom w:val="single" w:sz="8" w:color="CCEEFF"/>
              <w:right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b w:val="1"/>
                <w:bCs w:val="1"/>
                <w:color w:val="auto"/>
                <w:w w:val="74"/>
              </w:rPr>
              <w:t>)</w:t>
            </w:r>
          </w:p>
        </w:tc>
        <w:tc>
          <w:tcPr>
            <w:tcW w:w="340" w:type="dxa"/>
            <w:vAlign w:val="bottom"/>
            <w:tcBorders>
              <w:top w:val="single" w:sz="8" w:color="auto"/>
              <w:bottom w:val="single" w:sz="8" w:color="auto"/>
            </w:tcBorders>
            <w:shd w:val="clear" w:color="auto" w:fill="CCEEFF"/>
          </w:tcPr>
          <w:p>
            <w:pPr>
              <w:jc w:val="right"/>
              <w:ind w:right="185"/>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411.4</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4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87</w:t>
            </w:r>
          </w:p>
        </w:tc>
        <w:tc>
          <w:tcPr>
            <w:tcW w:w="3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456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nine months ended September 30, 2014</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4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7"/>
              </w:rPr>
              <w:t>Principal</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4"/>
              </w:rPr>
              <w:t>Principal</w:t>
            </w:r>
          </w:p>
        </w:tc>
        <w:tc>
          <w:tcPr>
            <w:tcW w:w="120" w:type="dxa"/>
            <w:vAlign w:val="bottom"/>
          </w:tcPr>
          <w:p>
            <w:pPr>
              <w:spacing w:after="0"/>
              <w:rPr>
                <w:sz w:val="13"/>
                <w:szCs w:val="13"/>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7"/>
              </w:rPr>
              <w:t>Principal Life</w:t>
            </w: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5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3"/>
              </w:rPr>
              <w:t>Insurance</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Financial</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Financial</w:t>
            </w:r>
          </w:p>
        </w:tc>
        <w:tc>
          <w:tcPr>
            <w:tcW w:w="120" w:type="dxa"/>
            <w:vAlign w:val="bottom"/>
          </w:tcPr>
          <w:p>
            <w:pPr>
              <w:spacing w:after="0"/>
              <w:rPr>
                <w:sz w:val="12"/>
                <w:szCs w:val="12"/>
                <w:color w:val="auto"/>
              </w:rPr>
            </w:pPr>
          </w:p>
        </w:tc>
        <w:tc>
          <w:tcPr>
            <w:tcW w:w="15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Company and</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Group, Inc.</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Services, Inc.</w:t>
            </w:r>
          </w:p>
        </w:tc>
        <w:tc>
          <w:tcPr>
            <w:tcW w:w="120" w:type="dxa"/>
            <w:vAlign w:val="bottom"/>
          </w:tcPr>
          <w:p>
            <w:pPr>
              <w:spacing w:after="0"/>
              <w:rPr>
                <w:sz w:val="12"/>
                <w:szCs w:val="12"/>
                <w:color w:val="auto"/>
              </w:rPr>
            </w:pPr>
          </w:p>
        </w:tc>
        <w:tc>
          <w:tcPr>
            <w:tcW w:w="15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Other Subsidiaries</w:t>
            </w:r>
          </w:p>
        </w:tc>
        <w:tc>
          <w:tcPr>
            <w:tcW w:w="140" w:type="dxa"/>
            <w:vAlign w:val="bottom"/>
          </w:tcPr>
          <w:p>
            <w:pPr>
              <w:spacing w:after="0"/>
              <w:rPr>
                <w:sz w:val="12"/>
                <w:szCs w:val="12"/>
                <w:color w:val="auto"/>
              </w:rPr>
            </w:pPr>
          </w:p>
        </w:tc>
        <w:tc>
          <w:tcPr>
            <w:tcW w:w="114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6"/>
              </w:rPr>
              <w:t>Eliminations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Parent Only</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Only</w:t>
            </w:r>
          </w:p>
        </w:tc>
        <w:tc>
          <w:tcPr>
            <w:tcW w:w="120" w:type="dxa"/>
            <w:vAlign w:val="bottom"/>
          </w:tcPr>
          <w:p>
            <w:pPr>
              <w:spacing w:after="0"/>
              <w:rPr>
                <w:sz w:val="14"/>
                <w:szCs w:val="14"/>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Combined</w:t>
            </w:r>
          </w:p>
        </w:tc>
        <w:tc>
          <w:tcPr>
            <w:tcW w:w="14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540" w:type="dxa"/>
            <w:vAlign w:val="bottom"/>
            <w:tcBorders>
              <w:top w:val="single" w:sz="8" w:color="auto"/>
            </w:tcBorders>
            <w:gridSpan w:val="2"/>
          </w:tcPr>
          <w:p>
            <w:pPr>
              <w:jc w:val="center"/>
              <w:ind w:right="28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4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2,514.8</w:t>
            </w:r>
          </w:p>
        </w:tc>
        <w:tc>
          <w:tcPr>
            <w:tcW w:w="2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2,514.8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0.3</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2,569.4</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2,569.7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Net investment income</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2,443.2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2,444.1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7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Net realized capital gains, excluding impairment losses on</w:t>
            </w: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available-for-sale securities</w:t>
            </w:r>
          </w:p>
        </w:tc>
        <w:tc>
          <w:tcPr>
            <w:tcW w:w="1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105.0</w:t>
            </w:r>
          </w:p>
        </w:tc>
        <w:tc>
          <w:tcPr>
            <w:tcW w:w="2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105.0</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720" w:type="dxa"/>
            <w:vAlign w:val="bottom"/>
          </w:tcPr>
          <w:p>
            <w:pPr>
              <w:spacing w:after="0" w:line="201" w:lineRule="exact"/>
              <w:rPr>
                <w:sz w:val="20"/>
                <w:szCs w:val="20"/>
                <w:color w:val="auto"/>
              </w:rPr>
            </w:pPr>
            <w:r>
              <w:rPr>
                <w:rFonts w:ascii="Arial" w:cs="Arial" w:eastAsia="Arial" w:hAnsi="Arial"/>
                <w:sz w:val="18"/>
                <w:szCs w:val="18"/>
                <w:color w:val="auto"/>
                <w:w w:val="95"/>
              </w:rPr>
              <w:t>Net other-than-temporary impairment recoveries on available-</w:t>
            </w: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720" w:type="dxa"/>
            <w:vAlign w:val="bottom"/>
          </w:tcPr>
          <w:p>
            <w:pPr>
              <w:ind w:left="160"/>
              <w:spacing w:after="0"/>
              <w:rPr>
                <w:sz w:val="20"/>
                <w:szCs w:val="20"/>
                <w:color w:val="auto"/>
              </w:rPr>
            </w:pPr>
            <w:r>
              <w:rPr>
                <w:rFonts w:ascii="Arial" w:cs="Arial" w:eastAsia="Arial" w:hAnsi="Arial"/>
                <w:sz w:val="18"/>
                <w:szCs w:val="18"/>
                <w:color w:val="auto"/>
              </w:rPr>
              <w:t>for-sale securities</w:t>
            </w:r>
          </w:p>
        </w:tc>
        <w:tc>
          <w:tcPr>
            <w:tcW w:w="120" w:type="dxa"/>
            <w:vAlign w:val="bottom"/>
          </w:tcPr>
          <w:p>
            <w:pPr>
              <w:spacing w:after="0"/>
              <w:rPr>
                <w:sz w:val="20"/>
                <w:szCs w:val="20"/>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18"/>
                <w:szCs w:val="18"/>
                <w:color w:val="auto"/>
              </w:rPr>
              <w:t>18.5</w:t>
            </w:r>
          </w:p>
        </w:tc>
        <w:tc>
          <w:tcPr>
            <w:tcW w:w="140" w:type="dxa"/>
            <w:vAlign w:val="bottom"/>
          </w:tcPr>
          <w:p>
            <w:pPr>
              <w:spacing w:after="0"/>
              <w:rPr>
                <w:sz w:val="20"/>
                <w:szCs w:val="20"/>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18.5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7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8"/>
              </w:rPr>
              <w:t>Other-than-temporary impairment losses on fixed maturities,</w:t>
            </w: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available-for-sale reclassified from other comprehensive</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income</w:t>
            </w:r>
          </w:p>
        </w:tc>
        <w:tc>
          <w:tcPr>
            <w:tcW w:w="1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(82.5)</w:t>
            </w:r>
          </w:p>
        </w:tc>
        <w:tc>
          <w:tcPr>
            <w:tcW w:w="14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(82.5)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vMerge w:val="restart"/>
          </w:tcPr>
          <w:p>
            <w:pPr>
              <w:spacing w:after="0"/>
              <w:rPr>
                <w:sz w:val="20"/>
                <w:szCs w:val="20"/>
                <w:color w:val="auto"/>
              </w:rPr>
            </w:pPr>
            <w:r>
              <w:rPr>
                <w:rFonts w:ascii="Arial" w:cs="Arial" w:eastAsia="Arial" w:hAnsi="Arial"/>
                <w:sz w:val="18"/>
                <w:szCs w:val="18"/>
                <w:color w:val="auto"/>
              </w:rPr>
              <w:t>Net impairment losses on available-for-sale securities</w:t>
            </w: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color w:val="auto"/>
              </w:rPr>
              <w:t>(64.0)</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(64.0)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realized capital gains</w:t>
            </w: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41.0</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41.0</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Pr>
          <w:p>
            <w:pPr>
              <w:ind w:left="180"/>
              <w:spacing w:after="0"/>
              <w:rPr>
                <w:sz w:val="20"/>
                <w:szCs w:val="20"/>
                <w:color w:val="auto"/>
              </w:rPr>
            </w:pPr>
            <w:r>
              <w:rPr>
                <w:rFonts w:ascii="Arial" w:cs="Arial" w:eastAsia="Arial" w:hAnsi="Arial"/>
                <w:sz w:val="18"/>
                <w:szCs w:val="18"/>
                <w:color w:val="auto"/>
              </w:rPr>
              <w:t>Total revenues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0.4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0.8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7,568.4</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7,569.6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Benefits, claims and settlement expenses</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3,609.7</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3,609.7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134.5</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Operating expenses</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106.8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3.1</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2,537.8</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2,647.7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expenses</w:t>
            </w: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106.8</w:t>
            </w:r>
          </w:p>
        </w:tc>
        <w:tc>
          <w:tcPr>
            <w:tcW w:w="1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6,282.0</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6,391.9</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Income (loss) before income taxes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1,286.4</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1,177.7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Income taxes (benefits)</w:t>
            </w:r>
          </w:p>
        </w:tc>
        <w:tc>
          <w:tcPr>
            <w:tcW w:w="12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(42.7)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327.5</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281.6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Equity in the net income of subsidiaries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929.1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928.2</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(1,857.3)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Net income</w:t>
            </w:r>
          </w:p>
        </w:tc>
        <w:tc>
          <w:tcPr>
            <w:tcW w:w="1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865.4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929.1</w:t>
            </w: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958.9</w:t>
            </w:r>
          </w:p>
        </w:tc>
        <w:tc>
          <w:tcPr>
            <w:tcW w:w="2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(1,857.3)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896.1</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Net income attributable to noncontrolling interest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30.7</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Net income attributable to PFG</w:t>
            </w:r>
          </w:p>
        </w:tc>
        <w:tc>
          <w:tcPr>
            <w:tcW w:w="1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865.4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929.1</w:t>
            </w: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928.2</w:t>
            </w:r>
          </w:p>
        </w:tc>
        <w:tc>
          <w:tcPr>
            <w:tcW w:w="2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(1,857.3)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865.4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dividends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24.7</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7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income available to common stockholders</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840.7</w:t>
            </w:r>
          </w:p>
        </w:tc>
        <w:tc>
          <w:tcPr>
            <w:tcW w:w="16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929.1</w:t>
            </w:r>
          </w:p>
        </w:tc>
        <w:tc>
          <w:tcPr>
            <w:tcW w:w="22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928.2</w:t>
            </w:r>
          </w:p>
        </w:tc>
        <w:tc>
          <w:tcPr>
            <w:tcW w:w="2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(1,857.3)</w:t>
            </w:r>
          </w:p>
        </w:tc>
        <w:tc>
          <w:tcPr>
            <w:tcW w:w="14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840.7</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7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Net income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865.4</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929.1</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958.9</w:t>
            </w:r>
          </w:p>
        </w:tc>
        <w:tc>
          <w:tcPr>
            <w:tcW w:w="2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(1,857.3)</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896.1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Other comprehensive income</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129.6</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183.5</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163.9</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(286.9)</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Comprehensive income</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995.0</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1,112.6</w:t>
            </w: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1,122.8</w:t>
            </w:r>
          </w:p>
        </w:tc>
        <w:tc>
          <w:tcPr>
            <w:tcW w:w="2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(2,144.2</w:t>
            </w:r>
          </w:p>
        </w:tc>
        <w:tc>
          <w:tcPr>
            <w:tcW w:w="14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1,086.2</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4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88</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47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34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ectPr>
          <w:pgSz w:w="11900" w:h="16861" w:orient="portrait"/>
          <w:cols w:equalWidth="0" w:num="1">
            <w:col w:w="11460"/>
          </w:cols>
          <w:pgMar w:left="240" w:top="356" w:right="199" w:bottom="0" w:gutter="0" w:footer="0" w:header="0"/>
        </w:sectPr>
      </w:pPr>
    </w:p>
    <w:bookmarkStart w:id="62" w:name="page63"/>
    <w:bookmarkEnd w:id="62"/>
    <w:p>
      <w:pPr>
        <w:spacing w:after="0" w:line="6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nine months ended September 30, 2015</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7"/>
              </w:rPr>
              <w:t>Principal</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4"/>
              </w:rPr>
              <w:t>Principal</w:t>
            </w:r>
          </w:p>
        </w:tc>
        <w:tc>
          <w:tcPr>
            <w:tcW w:w="120" w:type="dxa"/>
            <w:vAlign w:val="bottom"/>
          </w:tcPr>
          <w:p>
            <w:pPr>
              <w:spacing w:after="0"/>
              <w:rPr>
                <w:sz w:val="14"/>
                <w:szCs w:val="14"/>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7"/>
              </w:rPr>
              <w:t>Principal Life</w:t>
            </w: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5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3"/>
              </w:rPr>
              <w:t>Insurance</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Financial</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Financial</w:t>
            </w:r>
          </w:p>
        </w:tc>
        <w:tc>
          <w:tcPr>
            <w:tcW w:w="120" w:type="dxa"/>
            <w:vAlign w:val="bottom"/>
          </w:tcPr>
          <w:p>
            <w:pPr>
              <w:spacing w:after="0"/>
              <w:rPr>
                <w:sz w:val="12"/>
                <w:szCs w:val="12"/>
                <w:color w:val="auto"/>
              </w:rPr>
            </w:pPr>
          </w:p>
        </w:tc>
        <w:tc>
          <w:tcPr>
            <w:tcW w:w="15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Company and</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Group, Inc.</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Services, Inc.</w:t>
            </w:r>
          </w:p>
        </w:tc>
        <w:tc>
          <w:tcPr>
            <w:tcW w:w="120" w:type="dxa"/>
            <w:vAlign w:val="bottom"/>
          </w:tcPr>
          <w:p>
            <w:pPr>
              <w:spacing w:after="0"/>
              <w:rPr>
                <w:sz w:val="12"/>
                <w:szCs w:val="12"/>
                <w:color w:val="auto"/>
              </w:rPr>
            </w:pPr>
          </w:p>
        </w:tc>
        <w:tc>
          <w:tcPr>
            <w:tcW w:w="15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Other Subsidiaries</w:t>
            </w:r>
          </w:p>
        </w:tc>
        <w:tc>
          <w:tcPr>
            <w:tcW w:w="140" w:type="dxa"/>
            <w:vAlign w:val="bottom"/>
          </w:tcPr>
          <w:p>
            <w:pPr>
              <w:spacing w:after="0"/>
              <w:rPr>
                <w:sz w:val="12"/>
                <w:szCs w:val="12"/>
                <w:color w:val="auto"/>
              </w:rPr>
            </w:pPr>
          </w:p>
        </w:tc>
        <w:tc>
          <w:tcPr>
            <w:tcW w:w="114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6"/>
              </w:rPr>
              <w:t>Eliminations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Parent Only</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Only</w:t>
            </w:r>
          </w:p>
        </w:tc>
        <w:tc>
          <w:tcPr>
            <w:tcW w:w="120" w:type="dxa"/>
            <w:vAlign w:val="bottom"/>
          </w:tcPr>
          <w:p>
            <w:pPr>
              <w:spacing w:after="0"/>
              <w:rPr>
                <w:sz w:val="14"/>
                <w:szCs w:val="14"/>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Combined</w:t>
            </w:r>
          </w:p>
        </w:tc>
        <w:tc>
          <w:tcPr>
            <w:tcW w:w="14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7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540" w:type="dxa"/>
            <w:vAlign w:val="bottom"/>
            <w:tcBorders>
              <w:top w:val="single" w:sz="8" w:color="auto"/>
            </w:tcBorders>
            <w:gridSpan w:val="2"/>
          </w:tcPr>
          <w:p>
            <w:pPr>
              <w:jc w:val="center"/>
              <w:ind w:right="280"/>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4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Net cash provided by (used in) operating activities</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(40.4)</w:t>
            </w:r>
          </w:p>
        </w:tc>
        <w:tc>
          <w:tcPr>
            <w:tcW w:w="1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185.2</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3,462.8</w:t>
            </w:r>
          </w:p>
        </w:tc>
        <w:tc>
          <w:tcPr>
            <w:tcW w:w="2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gridSpan w:val="2"/>
          </w:tcPr>
          <w:p>
            <w:pPr>
              <w:jc w:val="right"/>
              <w:spacing w:after="0"/>
              <w:rPr>
                <w:sz w:val="20"/>
                <w:szCs w:val="20"/>
                <w:color w:val="auto"/>
              </w:rPr>
            </w:pPr>
            <w:r>
              <w:rPr>
                <w:rFonts w:ascii="Arial" w:cs="Arial" w:eastAsia="Arial" w:hAnsi="Arial"/>
                <w:sz w:val="18"/>
                <w:szCs w:val="18"/>
                <w:b w:val="1"/>
                <w:bCs w:val="1"/>
                <w:color w:val="auto"/>
              </w:rPr>
              <w:t>(284.6)</w:t>
            </w:r>
          </w:p>
        </w:tc>
        <w:tc>
          <w:tcPr>
            <w:tcW w:w="1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3,323.0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Available-for-sale securities:</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Purchases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(7,052.6)</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(7,052.6)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200"/>
              <w:spacing w:after="0"/>
              <w:rPr>
                <w:sz w:val="20"/>
                <w:szCs w:val="20"/>
                <w:color w:val="auto"/>
              </w:rPr>
            </w:pPr>
            <w:r>
              <w:rPr>
                <w:rFonts w:ascii="Arial" w:cs="Arial" w:eastAsia="Arial" w:hAnsi="Arial"/>
                <w:sz w:val="18"/>
                <w:szCs w:val="18"/>
                <w:color w:val="auto"/>
              </w:rPr>
              <w:t>Sales</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1,410.8</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1,410.8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Maturities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5,020.5</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5,020.5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Mortgage loans acquired or originated</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(1,658.0)</w:t>
            </w: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(1,658.0)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sold or repaid</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1,175.3</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1,175.3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Real estate acquired</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(255.8)</w:t>
            </w: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(255.8)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Net purchases of property and equipment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(96.3)</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(96.3)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Purchases of interests in subsidiaries, net of cash acquired</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(293.7)</w:t>
            </w: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(293.7)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7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5"/>
              </w:rPr>
              <w:t>Dividends and returns of capital received from unconsolidated</w:t>
            </w:r>
          </w:p>
        </w:tc>
        <w:tc>
          <w:tcPr>
            <w:tcW w:w="12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425.5</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212.7</w:t>
            </w:r>
          </w:p>
        </w:tc>
        <w:tc>
          <w:tcPr>
            <w:tcW w:w="120" w:type="dxa"/>
            <w:vAlign w:val="bottom"/>
            <w:shd w:val="clear" w:color="auto" w:fill="CCEEFF"/>
          </w:tcPr>
          <w:p>
            <w:pPr>
              <w:spacing w:after="0"/>
              <w:rPr>
                <w:sz w:val="17"/>
                <w:szCs w:val="17"/>
                <w:color w:val="auto"/>
              </w:rPr>
            </w:pPr>
          </w:p>
        </w:tc>
        <w:tc>
          <w:tcPr>
            <w:tcW w:w="15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7"/>
                <w:szCs w:val="17"/>
                <w:color w:val="auto"/>
              </w:rPr>
            </w:pPr>
          </w:p>
        </w:tc>
        <w:tc>
          <w:tcPr>
            <w:tcW w:w="114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(638.2)</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entities</w:t>
            </w:r>
          </w:p>
        </w:tc>
        <w:tc>
          <w:tcPr>
            <w:tcW w:w="12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60" w:type="dxa"/>
            <w:vAlign w:val="bottom"/>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54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4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2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Net change in other investments</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1.5</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(458.4)</w:t>
            </w:r>
          </w:p>
        </w:tc>
        <w:tc>
          <w:tcPr>
            <w:tcW w:w="120" w:type="dxa"/>
            <w:vAlign w:val="bottom"/>
          </w:tcPr>
          <w:p>
            <w:pPr>
              <w:spacing w:after="0"/>
              <w:rPr>
                <w:sz w:val="18"/>
                <w:szCs w:val="18"/>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45.5</w:t>
            </w: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394.4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4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Net cash provided by (used in) investing activities</w:t>
            </w: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74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427.0</w:t>
            </w:r>
          </w:p>
        </w:tc>
        <w:tc>
          <w:tcPr>
            <w:tcW w:w="16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(245.7)</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(1,704.3)</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(243.8)</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(1,766.8)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Issuance of common stock</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71.5</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Acquisition of treasury stock</w:t>
            </w:r>
          </w:p>
        </w:tc>
        <w:tc>
          <w:tcPr>
            <w:tcW w:w="12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(188.2)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(188.2)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Proceeds from financing element derivatives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Payments for financing element derivatives</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(60.9)</w:t>
            </w: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(60.9)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w w:val="96"/>
              </w:rPr>
              <w:t>Excess tax benefits from share-based payment arrangements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0.7</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14.5</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Purchase of subsidiary shares from noncontrolling interest</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(22.5)</w:t>
            </w: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Dividends to common stockholders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(330.2)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(330.2)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Dividends to preferred stockholders</w:t>
            </w:r>
          </w:p>
        </w:tc>
        <w:tc>
          <w:tcPr>
            <w:tcW w:w="12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(16.5)</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redemption</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(550.0)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(550.0)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Issuance of long-term debt</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791.8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156.0</w:t>
            </w:r>
          </w:p>
        </w:tc>
        <w:tc>
          <w:tcPr>
            <w:tcW w:w="120" w:type="dxa"/>
            <w:vAlign w:val="bottom"/>
          </w:tcPr>
          <w:p>
            <w:pPr>
              <w:spacing w:after="0"/>
              <w:rPr>
                <w:sz w:val="18"/>
                <w:szCs w:val="18"/>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50.9</w:t>
            </w:r>
          </w:p>
        </w:tc>
        <w:tc>
          <w:tcPr>
            <w:tcW w:w="140" w:type="dxa"/>
            <w:vAlign w:val="bottom"/>
          </w:tcPr>
          <w:p>
            <w:pPr>
              <w:spacing w:after="0"/>
              <w:rPr>
                <w:sz w:val="18"/>
                <w:szCs w:val="18"/>
                <w:color w:val="auto"/>
              </w:rPr>
            </w:pPr>
          </w:p>
        </w:tc>
        <w:tc>
          <w:tcPr>
            <w:tcW w:w="1140" w:type="dxa"/>
            <w:vAlign w:val="bottom"/>
            <w:gridSpan w:val="2"/>
          </w:tcPr>
          <w:p>
            <w:pPr>
              <w:jc w:val="right"/>
              <w:spacing w:after="0"/>
              <w:rPr>
                <w:sz w:val="20"/>
                <w:szCs w:val="20"/>
                <w:color w:val="auto"/>
              </w:rPr>
            </w:pPr>
            <w:r>
              <w:rPr>
                <w:rFonts w:ascii="Arial" w:cs="Arial" w:eastAsia="Arial" w:hAnsi="Arial"/>
                <w:sz w:val="18"/>
                <w:szCs w:val="18"/>
                <w:b w:val="1"/>
                <w:bCs w:val="1"/>
                <w:color w:val="auto"/>
              </w:rPr>
              <w:t>(198.3)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800.4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Principal repayments of long-term debt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(94.9)</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42.3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(52.6)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Net proceeds from short-term borrowings</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188.4</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8.8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197.2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Dividends and capital paid to parent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(425.5)</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(212.7)</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638.2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Investment contract deposits</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4,190.3</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4,190.3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withdrawals</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(4,974.3)</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(4,974.3)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Net increase in banking operation deposits</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24.9</w:t>
            </w:r>
          </w:p>
        </w:tc>
        <w:tc>
          <w:tcPr>
            <w:tcW w:w="1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24.9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(10.4)</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cash used in financing activities</w:t>
            </w:r>
          </w:p>
        </w:tc>
        <w:tc>
          <w:tcPr>
            <w:tcW w:w="12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(220.9)</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(269.5)</w:t>
            </w:r>
          </w:p>
        </w:tc>
        <w:tc>
          <w:tcPr>
            <w:tcW w:w="22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(906.5)</w:t>
            </w:r>
          </w:p>
        </w:tc>
        <w:tc>
          <w:tcPr>
            <w:tcW w:w="20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491.0</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(905.9)</w:t>
            </w:r>
          </w:p>
        </w:tc>
        <w:tc>
          <w:tcPr>
            <w:tcW w:w="10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Net increase (decrease) in cash and cash equivalents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165.7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(330.0)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852.0</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650.3</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412.4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907.2</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1,598.0</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spacing w:after="0"/>
              <w:rPr>
                <w:sz w:val="20"/>
                <w:szCs w:val="20"/>
                <w:color w:val="auto"/>
              </w:rPr>
            </w:pPr>
            <w:r>
              <w:rPr>
                <w:rFonts w:ascii="Arial" w:cs="Arial" w:eastAsia="Arial" w:hAnsi="Arial"/>
                <w:sz w:val="18"/>
                <w:szCs w:val="18"/>
                <w:b w:val="1"/>
                <w:bCs w:val="1"/>
                <w:color w:val="auto"/>
              </w:rPr>
              <w:t>(1,053.7)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1,863.9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7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578.1</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577.2</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2,450.0</w:t>
            </w:r>
          </w:p>
        </w:tc>
        <w:tc>
          <w:tcPr>
            <w:tcW w:w="20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(1,091.1</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74"/>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2,514.2</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7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89</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7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34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0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2015</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nine months ended September 30, 2014</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vMerge w:val="restart"/>
          </w:tcPr>
          <w:p>
            <w:pPr>
              <w:jc w:val="center"/>
              <w:ind w:right="177"/>
              <w:spacing w:after="0"/>
              <w:rPr>
                <w:sz w:val="20"/>
                <w:szCs w:val="20"/>
                <w:color w:val="auto"/>
              </w:rPr>
            </w:pPr>
            <w:r>
              <w:rPr>
                <w:rFonts w:ascii="Arial" w:cs="Arial" w:eastAsia="Arial" w:hAnsi="Arial"/>
                <w:sz w:val="14"/>
                <w:szCs w:val="14"/>
                <w:b w:val="1"/>
                <w:bCs w:val="1"/>
                <w:color w:val="auto"/>
                <w:w w:val="97"/>
              </w:rPr>
              <w:t>Principal</w:t>
            </w:r>
          </w:p>
        </w:tc>
        <w:tc>
          <w:tcPr>
            <w:tcW w:w="180" w:type="dxa"/>
            <w:vAlign w:val="bottom"/>
          </w:tcPr>
          <w:p>
            <w:pPr>
              <w:spacing w:after="0"/>
              <w:rPr>
                <w:sz w:val="14"/>
                <w:szCs w:val="14"/>
                <w:color w:val="auto"/>
              </w:rPr>
            </w:pPr>
          </w:p>
        </w:tc>
        <w:tc>
          <w:tcPr>
            <w:tcW w:w="1080" w:type="dxa"/>
            <w:vAlign w:val="bottom"/>
            <w:vMerge w:val="restart"/>
          </w:tcPr>
          <w:p>
            <w:pPr>
              <w:jc w:val="center"/>
              <w:ind w:right="157"/>
              <w:spacing w:after="0"/>
              <w:rPr>
                <w:sz w:val="20"/>
                <w:szCs w:val="20"/>
                <w:color w:val="auto"/>
              </w:rPr>
            </w:pPr>
            <w:r>
              <w:rPr>
                <w:rFonts w:ascii="Arial" w:cs="Arial" w:eastAsia="Arial" w:hAnsi="Arial"/>
                <w:sz w:val="14"/>
                <w:szCs w:val="14"/>
                <w:b w:val="1"/>
                <w:bCs w:val="1"/>
                <w:color w:val="auto"/>
                <w:w w:val="94"/>
              </w:rPr>
              <w:t>Principal</w:t>
            </w:r>
          </w:p>
        </w:tc>
        <w:tc>
          <w:tcPr>
            <w:tcW w:w="200" w:type="dxa"/>
            <w:vAlign w:val="bottom"/>
          </w:tcPr>
          <w:p>
            <w:pPr>
              <w:spacing w:after="0"/>
              <w:rPr>
                <w:sz w:val="14"/>
                <w:szCs w:val="14"/>
                <w:color w:val="auto"/>
              </w:rPr>
            </w:pPr>
          </w:p>
        </w:tc>
        <w:tc>
          <w:tcPr>
            <w:tcW w:w="1480" w:type="dxa"/>
            <w:vAlign w:val="bottom"/>
          </w:tcPr>
          <w:p>
            <w:pPr>
              <w:jc w:val="center"/>
              <w:ind w:right="178"/>
              <w:spacing w:after="0"/>
              <w:rPr>
                <w:sz w:val="20"/>
                <w:szCs w:val="20"/>
                <w:color w:val="auto"/>
              </w:rPr>
            </w:pPr>
            <w:r>
              <w:rPr>
                <w:rFonts w:ascii="Arial" w:cs="Arial" w:eastAsia="Arial" w:hAnsi="Arial"/>
                <w:sz w:val="14"/>
                <w:szCs w:val="14"/>
                <w:b w:val="1"/>
                <w:bCs w:val="1"/>
                <w:color w:val="auto"/>
                <w:w w:val="97"/>
              </w:rPr>
              <w:t>Principal Life</w:t>
            </w: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49"/>
        </w:trPr>
        <w:tc>
          <w:tcPr>
            <w:tcW w:w="4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1480" w:type="dxa"/>
            <w:vAlign w:val="bottom"/>
          </w:tcPr>
          <w:p>
            <w:pPr>
              <w:jc w:val="center"/>
              <w:ind w:right="178"/>
              <w:spacing w:after="0" w:line="149" w:lineRule="exact"/>
              <w:rPr>
                <w:sz w:val="20"/>
                <w:szCs w:val="20"/>
                <w:color w:val="auto"/>
              </w:rPr>
            </w:pPr>
            <w:r>
              <w:rPr>
                <w:rFonts w:ascii="Arial" w:cs="Arial" w:eastAsia="Arial" w:hAnsi="Arial"/>
                <w:sz w:val="14"/>
                <w:szCs w:val="14"/>
                <w:b w:val="1"/>
                <w:bCs w:val="1"/>
                <w:color w:val="auto"/>
                <w:w w:val="93"/>
              </w:rPr>
              <w:t>Insurance</w:t>
            </w:r>
          </w:p>
        </w:tc>
        <w:tc>
          <w:tcPr>
            <w:tcW w:w="2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center"/>
              <w:ind w:right="177"/>
              <w:spacing w:after="0" w:line="149" w:lineRule="exact"/>
              <w:rPr>
                <w:sz w:val="20"/>
                <w:szCs w:val="20"/>
                <w:color w:val="auto"/>
              </w:rPr>
            </w:pPr>
            <w:r>
              <w:rPr>
                <w:rFonts w:ascii="Arial" w:cs="Arial" w:eastAsia="Arial" w:hAnsi="Arial"/>
                <w:sz w:val="14"/>
                <w:szCs w:val="14"/>
                <w:b w:val="1"/>
                <w:bCs w:val="1"/>
                <w:color w:val="auto"/>
                <w:w w:val="95"/>
              </w:rPr>
              <w:t>Financial</w:t>
            </w:r>
          </w:p>
        </w:tc>
        <w:tc>
          <w:tcPr>
            <w:tcW w:w="180" w:type="dxa"/>
            <w:vAlign w:val="bottom"/>
          </w:tcPr>
          <w:p>
            <w:pPr>
              <w:spacing w:after="0"/>
              <w:rPr>
                <w:sz w:val="12"/>
                <w:szCs w:val="12"/>
                <w:color w:val="auto"/>
              </w:rPr>
            </w:pPr>
          </w:p>
        </w:tc>
        <w:tc>
          <w:tcPr>
            <w:tcW w:w="1080" w:type="dxa"/>
            <w:vAlign w:val="bottom"/>
          </w:tcPr>
          <w:p>
            <w:pPr>
              <w:jc w:val="center"/>
              <w:ind w:right="157"/>
              <w:spacing w:after="0" w:line="149" w:lineRule="exact"/>
              <w:rPr>
                <w:sz w:val="20"/>
                <w:szCs w:val="20"/>
                <w:color w:val="auto"/>
              </w:rPr>
            </w:pPr>
            <w:r>
              <w:rPr>
                <w:rFonts w:ascii="Arial" w:cs="Arial" w:eastAsia="Arial" w:hAnsi="Arial"/>
                <w:sz w:val="14"/>
                <w:szCs w:val="14"/>
                <w:b w:val="1"/>
                <w:bCs w:val="1"/>
                <w:color w:val="auto"/>
                <w:w w:val="92"/>
              </w:rPr>
              <w:t>Financial</w:t>
            </w:r>
          </w:p>
        </w:tc>
        <w:tc>
          <w:tcPr>
            <w:tcW w:w="200" w:type="dxa"/>
            <w:vAlign w:val="bottom"/>
          </w:tcPr>
          <w:p>
            <w:pPr>
              <w:spacing w:after="0"/>
              <w:rPr>
                <w:sz w:val="12"/>
                <w:szCs w:val="12"/>
                <w:color w:val="auto"/>
              </w:rPr>
            </w:pPr>
          </w:p>
        </w:tc>
        <w:tc>
          <w:tcPr>
            <w:tcW w:w="1480" w:type="dxa"/>
            <w:vAlign w:val="bottom"/>
          </w:tcPr>
          <w:p>
            <w:pPr>
              <w:jc w:val="center"/>
              <w:ind w:right="178"/>
              <w:spacing w:after="0" w:line="149" w:lineRule="exact"/>
              <w:rPr>
                <w:sz w:val="20"/>
                <w:szCs w:val="20"/>
                <w:color w:val="auto"/>
              </w:rPr>
            </w:pPr>
            <w:r>
              <w:rPr>
                <w:rFonts w:ascii="Arial" w:cs="Arial" w:eastAsia="Arial" w:hAnsi="Arial"/>
                <w:sz w:val="14"/>
                <w:szCs w:val="14"/>
                <w:b w:val="1"/>
                <w:bCs w:val="1"/>
                <w:color w:val="auto"/>
                <w:w w:val="92"/>
              </w:rPr>
              <w:t>Company and</w:t>
            </w:r>
          </w:p>
        </w:tc>
        <w:tc>
          <w:tcPr>
            <w:tcW w:w="2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49"/>
        </w:trPr>
        <w:tc>
          <w:tcPr>
            <w:tcW w:w="4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jc w:val="center"/>
              <w:ind w:right="177"/>
              <w:spacing w:after="0" w:line="149" w:lineRule="exact"/>
              <w:rPr>
                <w:sz w:val="20"/>
                <w:szCs w:val="20"/>
                <w:color w:val="auto"/>
              </w:rPr>
            </w:pPr>
            <w:r>
              <w:rPr>
                <w:rFonts w:ascii="Arial" w:cs="Arial" w:eastAsia="Arial" w:hAnsi="Arial"/>
                <w:sz w:val="14"/>
                <w:szCs w:val="14"/>
                <w:b w:val="1"/>
                <w:bCs w:val="1"/>
                <w:color w:val="auto"/>
                <w:w w:val="94"/>
              </w:rPr>
              <w:t>Group, Inc.</w:t>
            </w:r>
          </w:p>
        </w:tc>
        <w:tc>
          <w:tcPr>
            <w:tcW w:w="180" w:type="dxa"/>
            <w:vAlign w:val="bottom"/>
          </w:tcPr>
          <w:p>
            <w:pPr>
              <w:spacing w:after="0"/>
              <w:rPr>
                <w:sz w:val="12"/>
                <w:szCs w:val="12"/>
                <w:color w:val="auto"/>
              </w:rPr>
            </w:pPr>
          </w:p>
        </w:tc>
        <w:tc>
          <w:tcPr>
            <w:tcW w:w="1080" w:type="dxa"/>
            <w:vAlign w:val="bottom"/>
          </w:tcPr>
          <w:p>
            <w:pPr>
              <w:jc w:val="center"/>
              <w:ind w:right="157"/>
              <w:spacing w:after="0" w:line="149" w:lineRule="exact"/>
              <w:rPr>
                <w:sz w:val="20"/>
                <w:szCs w:val="20"/>
                <w:color w:val="auto"/>
              </w:rPr>
            </w:pPr>
            <w:r>
              <w:rPr>
                <w:rFonts w:ascii="Arial" w:cs="Arial" w:eastAsia="Arial" w:hAnsi="Arial"/>
                <w:sz w:val="14"/>
                <w:szCs w:val="14"/>
                <w:b w:val="1"/>
                <w:bCs w:val="1"/>
                <w:color w:val="auto"/>
                <w:w w:val="89"/>
              </w:rPr>
              <w:t>Services, Inc.</w:t>
            </w:r>
          </w:p>
        </w:tc>
        <w:tc>
          <w:tcPr>
            <w:tcW w:w="200" w:type="dxa"/>
            <w:vAlign w:val="bottom"/>
          </w:tcPr>
          <w:p>
            <w:pPr>
              <w:spacing w:after="0"/>
              <w:rPr>
                <w:sz w:val="12"/>
                <w:szCs w:val="12"/>
                <w:color w:val="auto"/>
              </w:rPr>
            </w:pPr>
          </w:p>
        </w:tc>
        <w:tc>
          <w:tcPr>
            <w:tcW w:w="1480" w:type="dxa"/>
            <w:vAlign w:val="bottom"/>
          </w:tcPr>
          <w:p>
            <w:pPr>
              <w:jc w:val="center"/>
              <w:ind w:right="178"/>
              <w:spacing w:after="0" w:line="149" w:lineRule="exact"/>
              <w:rPr>
                <w:sz w:val="20"/>
                <w:szCs w:val="20"/>
                <w:color w:val="auto"/>
              </w:rPr>
            </w:pPr>
            <w:r>
              <w:rPr>
                <w:rFonts w:ascii="Arial" w:cs="Arial" w:eastAsia="Arial" w:hAnsi="Arial"/>
                <w:sz w:val="14"/>
                <w:szCs w:val="14"/>
                <w:b w:val="1"/>
                <w:bCs w:val="1"/>
                <w:color w:val="auto"/>
                <w:w w:val="91"/>
              </w:rPr>
              <w:t>Other Subsidiaries</w:t>
            </w:r>
          </w:p>
        </w:tc>
        <w:tc>
          <w:tcPr>
            <w:tcW w:w="200" w:type="dxa"/>
            <w:vAlign w:val="bottom"/>
          </w:tcPr>
          <w:p>
            <w:pPr>
              <w:spacing w:after="0"/>
              <w:rPr>
                <w:sz w:val="12"/>
                <w:szCs w:val="12"/>
                <w:color w:val="auto"/>
              </w:rPr>
            </w:pPr>
          </w:p>
        </w:tc>
        <w:tc>
          <w:tcPr>
            <w:tcW w:w="1120" w:type="dxa"/>
            <w:vAlign w:val="bottom"/>
            <w:vMerge w:val="restart"/>
          </w:tcPr>
          <w:p>
            <w:pPr>
              <w:jc w:val="right"/>
              <w:ind w:right="212"/>
              <w:spacing w:after="0"/>
              <w:rPr>
                <w:sz w:val="20"/>
                <w:szCs w:val="20"/>
                <w:color w:val="auto"/>
              </w:rPr>
            </w:pPr>
            <w:r>
              <w:rPr>
                <w:rFonts w:ascii="Arial" w:cs="Arial" w:eastAsia="Arial" w:hAnsi="Arial"/>
                <w:sz w:val="14"/>
                <w:szCs w:val="14"/>
                <w:b w:val="1"/>
                <w:bCs w:val="1"/>
                <w:color w:val="auto"/>
                <w:w w:val="96"/>
              </w:rPr>
              <w:t>Eliminations</w:t>
            </w:r>
          </w:p>
        </w:tc>
        <w:tc>
          <w:tcPr>
            <w:tcW w:w="20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71"/>
        </w:trPr>
        <w:tc>
          <w:tcPr>
            <w:tcW w:w="4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jc w:val="center"/>
              <w:ind w:right="177"/>
              <w:spacing w:after="0"/>
              <w:rPr>
                <w:sz w:val="20"/>
                <w:szCs w:val="20"/>
                <w:color w:val="auto"/>
              </w:rPr>
            </w:pPr>
            <w:r>
              <w:rPr>
                <w:rFonts w:ascii="Arial" w:cs="Arial" w:eastAsia="Arial" w:hAnsi="Arial"/>
                <w:sz w:val="14"/>
                <w:szCs w:val="14"/>
                <w:b w:val="1"/>
                <w:bCs w:val="1"/>
                <w:color w:val="auto"/>
                <w:w w:val="94"/>
              </w:rPr>
              <w:t>Parent Only</w:t>
            </w:r>
          </w:p>
        </w:tc>
        <w:tc>
          <w:tcPr>
            <w:tcW w:w="180" w:type="dxa"/>
            <w:vAlign w:val="bottom"/>
          </w:tcPr>
          <w:p>
            <w:pPr>
              <w:spacing w:after="0"/>
              <w:rPr>
                <w:sz w:val="14"/>
                <w:szCs w:val="14"/>
                <w:color w:val="auto"/>
              </w:rPr>
            </w:pPr>
          </w:p>
        </w:tc>
        <w:tc>
          <w:tcPr>
            <w:tcW w:w="1080" w:type="dxa"/>
            <w:vAlign w:val="bottom"/>
          </w:tcPr>
          <w:p>
            <w:pPr>
              <w:jc w:val="center"/>
              <w:ind w:right="177"/>
              <w:spacing w:after="0"/>
              <w:rPr>
                <w:sz w:val="20"/>
                <w:szCs w:val="20"/>
                <w:color w:val="auto"/>
              </w:rPr>
            </w:pPr>
            <w:r>
              <w:rPr>
                <w:rFonts w:ascii="Arial" w:cs="Arial" w:eastAsia="Arial" w:hAnsi="Arial"/>
                <w:sz w:val="14"/>
                <w:szCs w:val="14"/>
                <w:b w:val="1"/>
                <w:bCs w:val="1"/>
                <w:color w:val="auto"/>
                <w:w w:val="96"/>
              </w:rPr>
              <w:t>Only</w:t>
            </w:r>
          </w:p>
        </w:tc>
        <w:tc>
          <w:tcPr>
            <w:tcW w:w="200" w:type="dxa"/>
            <w:vAlign w:val="bottom"/>
          </w:tcPr>
          <w:p>
            <w:pPr>
              <w:spacing w:after="0"/>
              <w:rPr>
                <w:sz w:val="14"/>
                <w:szCs w:val="14"/>
                <w:color w:val="auto"/>
              </w:rPr>
            </w:pPr>
          </w:p>
        </w:tc>
        <w:tc>
          <w:tcPr>
            <w:tcW w:w="1480" w:type="dxa"/>
            <w:vAlign w:val="bottom"/>
          </w:tcPr>
          <w:p>
            <w:pPr>
              <w:jc w:val="center"/>
              <w:ind w:right="178"/>
              <w:spacing w:after="0"/>
              <w:rPr>
                <w:sz w:val="20"/>
                <w:szCs w:val="20"/>
                <w:color w:val="auto"/>
              </w:rPr>
            </w:pPr>
            <w:r>
              <w:rPr>
                <w:rFonts w:ascii="Arial" w:cs="Arial" w:eastAsia="Arial" w:hAnsi="Arial"/>
                <w:sz w:val="14"/>
                <w:szCs w:val="14"/>
                <w:b w:val="1"/>
                <w:bCs w:val="1"/>
                <w:color w:val="auto"/>
                <w:w w:val="90"/>
              </w:rPr>
              <w:t>Combined</w:t>
            </w:r>
          </w:p>
        </w:tc>
        <w:tc>
          <w:tcPr>
            <w:tcW w:w="200" w:type="dxa"/>
            <w:vAlign w:val="bottom"/>
          </w:tcPr>
          <w:p>
            <w:pPr>
              <w:spacing w:after="0"/>
              <w:rPr>
                <w:sz w:val="14"/>
                <w:szCs w:val="14"/>
                <w:color w:val="auto"/>
              </w:rPr>
            </w:pPr>
          </w:p>
        </w:tc>
        <w:tc>
          <w:tcPr>
            <w:tcW w:w="112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42"/>
        </w:trPr>
        <w:tc>
          <w:tcPr>
            <w:tcW w:w="47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480" w:type="dxa"/>
            <w:vAlign w:val="bottom"/>
            <w:tcBorders>
              <w:top w:val="single" w:sz="8" w:color="auto"/>
            </w:tcBorders>
          </w:tcPr>
          <w:p>
            <w:pPr>
              <w:jc w:val="center"/>
              <w:ind w:right="138"/>
              <w:spacing w:after="0" w:line="142" w:lineRule="exact"/>
              <w:rPr>
                <w:sz w:val="20"/>
                <w:szCs w:val="20"/>
                <w:color w:val="auto"/>
              </w:rPr>
            </w:pPr>
            <w:r>
              <w:rPr>
                <w:rFonts w:ascii="Arial" w:cs="Arial" w:eastAsia="Arial" w:hAnsi="Arial"/>
                <w:sz w:val="14"/>
                <w:szCs w:val="14"/>
                <w:b w:val="1"/>
                <w:bCs w:val="1"/>
                <w:color w:val="auto"/>
                <w:w w:val="94"/>
              </w:rPr>
              <w:t>(in millions)</w:t>
            </w:r>
          </w:p>
        </w:tc>
        <w:tc>
          <w:tcPr>
            <w:tcW w:w="200" w:type="dxa"/>
            <w:vAlign w:val="bottom"/>
            <w:tcBorders>
              <w:top w:val="single" w:sz="8" w:color="auto"/>
            </w:tcBorders>
          </w:tcPr>
          <w:p>
            <w:pPr>
              <w:spacing w:after="0"/>
              <w:rPr>
                <w:sz w:val="12"/>
                <w:szCs w:val="12"/>
                <w:color w:val="auto"/>
              </w:rPr>
            </w:pPr>
          </w:p>
        </w:tc>
        <w:tc>
          <w:tcPr>
            <w:tcW w:w="11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Net cash provided by (used in) operating activities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ind w:right="17"/>
              <w:spacing w:after="0"/>
              <w:rPr>
                <w:sz w:val="20"/>
                <w:szCs w:val="20"/>
                <w:color w:val="auto"/>
              </w:rPr>
            </w:pPr>
            <w:r>
              <w:rPr>
                <w:rFonts w:ascii="Arial" w:cs="Arial" w:eastAsia="Arial" w:hAnsi="Arial"/>
                <w:sz w:val="18"/>
                <w:szCs w:val="18"/>
                <w:color w:val="auto"/>
              </w:rPr>
              <w:t>(42.3)</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(373.5)</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58"/>
              <w:spacing w:after="0"/>
              <w:rPr>
                <w:sz w:val="20"/>
                <w:szCs w:val="20"/>
                <w:color w:val="auto"/>
              </w:rPr>
            </w:pPr>
            <w:r>
              <w:rPr>
                <w:rFonts w:ascii="Arial" w:cs="Arial" w:eastAsia="Arial" w:hAnsi="Arial"/>
                <w:sz w:val="18"/>
                <w:szCs w:val="18"/>
                <w:color w:val="auto"/>
              </w:rPr>
              <w:t>2,335.4</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278.0</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2,197.6</w:t>
            </w: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Available-for-sale securities:</w:t>
            </w:r>
          </w:p>
        </w:tc>
        <w:tc>
          <w:tcPr>
            <w:tcW w:w="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Purchases</w:t>
            </w: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77"/>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57"/>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(6,596.0)</w:t>
            </w:r>
          </w:p>
        </w:tc>
        <w:tc>
          <w:tcPr>
            <w:tcW w:w="20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(6,596.0)</w:t>
            </w:r>
          </w:p>
        </w:tc>
        <w:tc>
          <w:tcPr>
            <w:tcW w:w="0" w:type="dxa"/>
            <w:vAlign w:val="bottom"/>
          </w:tcPr>
          <w:p>
            <w:pPr>
              <w:spacing w:after="0"/>
              <w:rPr>
                <w:sz w:val="1"/>
                <w:szCs w:val="1"/>
                <w:color w:val="auto"/>
              </w:rPr>
            </w:pPr>
          </w:p>
        </w:tc>
      </w:tr>
      <w:tr>
        <w:trPr>
          <w:trHeight w:val="216"/>
        </w:trPr>
        <w:tc>
          <w:tcPr>
            <w:tcW w:w="4740" w:type="dxa"/>
            <w:vAlign w:val="bottom"/>
          </w:tcPr>
          <w:p>
            <w:pPr>
              <w:ind w:left="200"/>
              <w:spacing w:after="0"/>
              <w:rPr>
                <w:sz w:val="20"/>
                <w:szCs w:val="20"/>
                <w:color w:val="auto"/>
              </w:rPr>
            </w:pPr>
            <w:r>
              <w:rPr>
                <w:rFonts w:ascii="Arial" w:cs="Arial" w:eastAsia="Arial" w:hAnsi="Arial"/>
                <w:sz w:val="18"/>
                <w:szCs w:val="18"/>
                <w:color w:val="auto"/>
              </w:rPr>
              <w:t>Sales</w:t>
            </w:r>
          </w:p>
        </w:tc>
        <w:tc>
          <w:tcPr>
            <w:tcW w:w="120" w:type="dxa"/>
            <w:vAlign w:val="bottom"/>
          </w:tcPr>
          <w:p>
            <w:pPr>
              <w:spacing w:after="0"/>
              <w:rPr>
                <w:sz w:val="18"/>
                <w:szCs w:val="18"/>
                <w:color w:val="auto"/>
              </w:rPr>
            </w:pPr>
          </w:p>
        </w:tc>
        <w:tc>
          <w:tcPr>
            <w:tcW w:w="1080" w:type="dxa"/>
            <w:vAlign w:val="bottom"/>
          </w:tcPr>
          <w:p>
            <w:pPr>
              <w:jc w:val="right"/>
              <w:ind w:right="77"/>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80" w:type="dxa"/>
            <w:vAlign w:val="bottom"/>
          </w:tcPr>
          <w:p>
            <w:pPr>
              <w:jc w:val="right"/>
              <w:ind w:right="57"/>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80" w:type="dxa"/>
            <w:vAlign w:val="bottom"/>
          </w:tcPr>
          <w:p>
            <w:pPr>
              <w:jc w:val="right"/>
              <w:ind w:right="58"/>
              <w:spacing w:after="0"/>
              <w:rPr>
                <w:sz w:val="20"/>
                <w:szCs w:val="20"/>
                <w:color w:val="auto"/>
              </w:rPr>
            </w:pPr>
            <w:r>
              <w:rPr>
                <w:rFonts w:ascii="Arial" w:cs="Arial" w:eastAsia="Arial" w:hAnsi="Arial"/>
                <w:sz w:val="18"/>
                <w:szCs w:val="18"/>
                <w:color w:val="auto"/>
              </w:rPr>
              <w:t>1,871.5</w:t>
            </w:r>
          </w:p>
        </w:tc>
        <w:tc>
          <w:tcPr>
            <w:tcW w:w="200" w:type="dxa"/>
            <w:vAlign w:val="bottom"/>
          </w:tcPr>
          <w:p>
            <w:pPr>
              <w:spacing w:after="0"/>
              <w:rPr>
                <w:sz w:val="18"/>
                <w:szCs w:val="18"/>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1,871.5</w:t>
            </w: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Maturities</w:t>
            </w: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77"/>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57"/>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4,499.3</w:t>
            </w:r>
          </w:p>
        </w:tc>
        <w:tc>
          <w:tcPr>
            <w:tcW w:w="20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4,499.3</w:t>
            </w: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Mortgage loans acquired or originated</w:t>
            </w:r>
          </w:p>
        </w:tc>
        <w:tc>
          <w:tcPr>
            <w:tcW w:w="120" w:type="dxa"/>
            <w:vAlign w:val="bottom"/>
          </w:tcPr>
          <w:p>
            <w:pPr>
              <w:spacing w:after="0"/>
              <w:rPr>
                <w:sz w:val="18"/>
                <w:szCs w:val="18"/>
                <w:color w:val="auto"/>
              </w:rPr>
            </w:pPr>
          </w:p>
        </w:tc>
        <w:tc>
          <w:tcPr>
            <w:tcW w:w="1080" w:type="dxa"/>
            <w:vAlign w:val="bottom"/>
          </w:tcPr>
          <w:p>
            <w:pPr>
              <w:jc w:val="right"/>
              <w:ind w:right="77"/>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80" w:type="dxa"/>
            <w:vAlign w:val="bottom"/>
          </w:tcPr>
          <w:p>
            <w:pPr>
              <w:jc w:val="right"/>
              <w:ind w:right="57"/>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(1,614.2)</w:t>
            </w:r>
          </w:p>
        </w:tc>
        <w:tc>
          <w:tcPr>
            <w:tcW w:w="200" w:type="dxa"/>
            <w:vAlign w:val="bottom"/>
          </w:tcPr>
          <w:p>
            <w:pPr>
              <w:spacing w:after="0"/>
              <w:rPr>
                <w:sz w:val="18"/>
                <w:szCs w:val="18"/>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(1,614.2)</w:t>
            </w: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sold or repaid</w:t>
            </w: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77"/>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57"/>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58"/>
              <w:spacing w:after="0"/>
              <w:rPr>
                <w:sz w:val="20"/>
                <w:szCs w:val="20"/>
                <w:color w:val="auto"/>
              </w:rPr>
            </w:pPr>
            <w:r>
              <w:rPr>
                <w:rFonts w:ascii="Arial" w:cs="Arial" w:eastAsia="Arial" w:hAnsi="Arial"/>
                <w:sz w:val="18"/>
                <w:szCs w:val="18"/>
                <w:color w:val="auto"/>
              </w:rPr>
              <w:t>1,319.8</w:t>
            </w:r>
          </w:p>
        </w:tc>
        <w:tc>
          <w:tcPr>
            <w:tcW w:w="20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1,319.8</w:t>
            </w: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Real estate acquired</w:t>
            </w:r>
          </w:p>
        </w:tc>
        <w:tc>
          <w:tcPr>
            <w:tcW w:w="120" w:type="dxa"/>
            <w:vAlign w:val="bottom"/>
          </w:tcPr>
          <w:p>
            <w:pPr>
              <w:spacing w:after="0"/>
              <w:rPr>
                <w:sz w:val="18"/>
                <w:szCs w:val="18"/>
                <w:color w:val="auto"/>
              </w:rPr>
            </w:pPr>
          </w:p>
        </w:tc>
        <w:tc>
          <w:tcPr>
            <w:tcW w:w="1080" w:type="dxa"/>
            <w:vAlign w:val="bottom"/>
          </w:tcPr>
          <w:p>
            <w:pPr>
              <w:jc w:val="right"/>
              <w:ind w:right="77"/>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80" w:type="dxa"/>
            <w:vAlign w:val="bottom"/>
          </w:tcPr>
          <w:p>
            <w:pPr>
              <w:jc w:val="right"/>
              <w:ind w:right="57"/>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(246.8)</w:t>
            </w:r>
          </w:p>
        </w:tc>
        <w:tc>
          <w:tcPr>
            <w:tcW w:w="200" w:type="dxa"/>
            <w:vAlign w:val="bottom"/>
          </w:tcPr>
          <w:p>
            <w:pPr>
              <w:spacing w:after="0"/>
              <w:rPr>
                <w:sz w:val="18"/>
                <w:szCs w:val="18"/>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(246.8)</w:t>
            </w:r>
          </w:p>
        </w:tc>
        <w:tc>
          <w:tcPr>
            <w:tcW w:w="0" w:type="dxa"/>
            <w:vAlign w:val="bottom"/>
          </w:tcPr>
          <w:p>
            <w:pPr>
              <w:spacing w:after="0"/>
              <w:rPr>
                <w:sz w:val="1"/>
                <w:szCs w:val="1"/>
                <w:color w:val="auto"/>
              </w:rPr>
            </w:pPr>
          </w:p>
        </w:tc>
      </w:tr>
      <w:tr>
        <w:trPr>
          <w:trHeight w:val="97"/>
        </w:trPr>
        <w:tc>
          <w:tcPr>
            <w:tcW w:w="474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08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108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148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112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bl>
    <w:p>
      <w:pPr>
        <w:sectPr>
          <w:pgSz w:w="11900" w:h="16900" w:orient="portrait"/>
          <w:cols w:equalWidth="0" w:num="1">
            <w:col w:w="11460"/>
          </w:cols>
          <w:pgMar w:left="240" w:top="121" w:right="199" w:bottom="0" w:gutter="0" w:footer="0" w:header="0"/>
        </w:sectPr>
      </w:pPr>
    </w:p>
    <w:bookmarkStart w:id="63" w:name="page64"/>
    <w:bookmarkEnd w:id="6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Net purchases of property and equipment</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(117.5)</w:t>
            </w:r>
          </w:p>
        </w:tc>
        <w:tc>
          <w:tcPr>
            <w:tcW w:w="32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(117.5)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740" w:type="dxa"/>
            <w:vAlign w:val="bottom"/>
          </w:tcPr>
          <w:p>
            <w:pPr>
              <w:spacing w:after="0" w:line="201" w:lineRule="exact"/>
              <w:rPr>
                <w:sz w:val="20"/>
                <w:szCs w:val="20"/>
                <w:color w:val="auto"/>
              </w:rPr>
            </w:pPr>
            <w:r>
              <w:rPr>
                <w:rFonts w:ascii="Arial" w:cs="Arial" w:eastAsia="Arial" w:hAnsi="Arial"/>
                <w:sz w:val="18"/>
                <w:szCs w:val="18"/>
                <w:color w:val="auto"/>
                <w:w w:val="95"/>
              </w:rPr>
              <w:t>Dividends and returns of capital received from unconsolidated</w:t>
            </w:r>
          </w:p>
        </w:tc>
        <w:tc>
          <w:tcPr>
            <w:tcW w:w="3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740" w:type="dxa"/>
            <w:vAlign w:val="bottom"/>
          </w:tcPr>
          <w:p>
            <w:pPr>
              <w:ind w:left="180"/>
              <w:spacing w:after="0"/>
              <w:rPr>
                <w:sz w:val="20"/>
                <w:szCs w:val="20"/>
                <w:color w:val="auto"/>
              </w:rPr>
            </w:pPr>
            <w:r>
              <w:rPr>
                <w:rFonts w:ascii="Arial" w:cs="Arial" w:eastAsia="Arial" w:hAnsi="Arial"/>
                <w:sz w:val="18"/>
                <w:szCs w:val="18"/>
                <w:color w:val="auto"/>
              </w:rPr>
              <w:t>entities</w:t>
            </w:r>
          </w:p>
        </w:tc>
        <w:tc>
          <w:tcPr>
            <w:tcW w:w="340" w:type="dxa"/>
            <w:vAlign w:val="bottom"/>
          </w:tcPr>
          <w:p>
            <w:pPr>
              <w:spacing w:after="0"/>
              <w:rPr>
                <w:sz w:val="20"/>
                <w:szCs w:val="20"/>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517.5</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714.0</w:t>
            </w:r>
          </w:p>
        </w:tc>
        <w:tc>
          <w:tcPr>
            <w:tcW w:w="480" w:type="dxa"/>
            <w:vAlign w:val="bottom"/>
          </w:tcPr>
          <w:p>
            <w:pPr>
              <w:spacing w:after="0"/>
              <w:rPr>
                <w:sz w:val="20"/>
                <w:szCs w:val="20"/>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0"/>
                <w:szCs w:val="20"/>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(1,231.5)</w:t>
            </w:r>
          </w:p>
        </w:tc>
        <w:tc>
          <w:tcPr>
            <w:tcW w:w="260" w:type="dxa"/>
            <w:vAlign w:val="bottom"/>
          </w:tcPr>
          <w:p>
            <w:pPr>
              <w:spacing w:after="0"/>
              <w:rPr>
                <w:sz w:val="20"/>
                <w:szCs w:val="20"/>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Net change in other investments</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(98.7)</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185.2</w:t>
            </w:r>
          </w:p>
        </w:tc>
        <w:tc>
          <w:tcPr>
            <w:tcW w:w="2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(27.9)</w:t>
            </w:r>
          </w:p>
        </w:tc>
        <w:tc>
          <w:tcPr>
            <w:tcW w:w="2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40" w:type="dxa"/>
            <w:vAlign w:val="bottom"/>
            <w:vMerge w:val="restart"/>
          </w:tcPr>
          <w:p>
            <w:pPr>
              <w:spacing w:after="0"/>
              <w:rPr>
                <w:sz w:val="20"/>
                <w:szCs w:val="20"/>
                <w:color w:val="auto"/>
              </w:rPr>
            </w:pPr>
            <w:r>
              <w:rPr>
                <w:rFonts w:ascii="Arial" w:cs="Arial" w:eastAsia="Arial" w:hAnsi="Arial"/>
                <w:sz w:val="18"/>
                <w:szCs w:val="18"/>
                <w:color w:val="auto"/>
              </w:rPr>
              <w:t>Net cash provided by (used in) investing activities</w:t>
            </w:r>
          </w:p>
        </w:tc>
        <w:tc>
          <w:tcPr>
            <w:tcW w:w="3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74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515.5</w:t>
            </w:r>
          </w:p>
        </w:tc>
        <w:tc>
          <w:tcPr>
            <w:tcW w:w="16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615.3</w:t>
            </w:r>
          </w:p>
        </w:tc>
        <w:tc>
          <w:tcPr>
            <w:tcW w:w="22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(698.7)</w:t>
            </w:r>
          </w:p>
        </w:tc>
        <w:tc>
          <w:tcPr>
            <w:tcW w:w="32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(1,259.4)</w:t>
            </w:r>
          </w:p>
        </w:tc>
        <w:tc>
          <w:tcPr>
            <w:tcW w:w="260" w:type="dxa"/>
            <w:vAlign w:val="bottom"/>
          </w:tcPr>
          <w:p>
            <w:pPr>
              <w:spacing w:after="0"/>
              <w:rPr>
                <w:sz w:val="18"/>
                <w:szCs w:val="18"/>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(827.3)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3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3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69.6</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300" w:type="dxa"/>
            <w:vAlign w:val="bottom"/>
            <w:gridSpan w:val="3"/>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69.6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Acquisition of treasury stock</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(222.5)</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Proceeds from financing element derivatives</w:t>
            </w:r>
          </w:p>
        </w:tc>
        <w:tc>
          <w:tcPr>
            <w:tcW w:w="3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14.9</w:t>
            </w:r>
          </w:p>
        </w:tc>
        <w:tc>
          <w:tcPr>
            <w:tcW w:w="320" w:type="dxa"/>
            <w:vAlign w:val="bottom"/>
          </w:tcPr>
          <w:p>
            <w:pPr>
              <w:spacing w:after="0"/>
              <w:rPr>
                <w:sz w:val="18"/>
                <w:szCs w:val="18"/>
                <w:color w:val="auto"/>
              </w:rPr>
            </w:pPr>
          </w:p>
        </w:tc>
        <w:tc>
          <w:tcPr>
            <w:tcW w:w="1300" w:type="dxa"/>
            <w:vAlign w:val="bottom"/>
            <w:gridSpan w:val="3"/>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14.9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Payments for financing element derivatives</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(41.5)</w:t>
            </w:r>
          </w:p>
        </w:tc>
        <w:tc>
          <w:tcPr>
            <w:tcW w:w="32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w w:val="96"/>
              </w:rPr>
              <w:t>Excess tax benefits from share-based payment arrangements</w:t>
            </w:r>
          </w:p>
        </w:tc>
        <w:tc>
          <w:tcPr>
            <w:tcW w:w="3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0.3</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8.3</w:t>
            </w: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00" w:type="dxa"/>
            <w:vAlign w:val="bottom"/>
            <w:gridSpan w:val="3"/>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8.6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Purchase of subsidiary shares from noncontrolling interest</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(222.4)</w:t>
            </w:r>
          </w:p>
        </w:tc>
        <w:tc>
          <w:tcPr>
            <w:tcW w:w="32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Dividends to common stockholders</w:t>
            </w:r>
          </w:p>
        </w:tc>
        <w:tc>
          <w:tcPr>
            <w:tcW w:w="34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(276.7)</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300" w:type="dxa"/>
            <w:vAlign w:val="bottom"/>
            <w:gridSpan w:val="3"/>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(276.7)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Dividends to preferred stockholders</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(24.7)</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Issuance of long-term debt</w:t>
            </w:r>
          </w:p>
        </w:tc>
        <w:tc>
          <w:tcPr>
            <w:tcW w:w="3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36.5</w:t>
            </w:r>
          </w:p>
        </w:tc>
        <w:tc>
          <w:tcPr>
            <w:tcW w:w="320" w:type="dxa"/>
            <w:vAlign w:val="bottom"/>
          </w:tcPr>
          <w:p>
            <w:pPr>
              <w:spacing w:after="0"/>
              <w:rPr>
                <w:sz w:val="18"/>
                <w:szCs w:val="18"/>
                <w:color w:val="auto"/>
              </w:rPr>
            </w:pPr>
          </w:p>
        </w:tc>
        <w:tc>
          <w:tcPr>
            <w:tcW w:w="1300" w:type="dxa"/>
            <w:vAlign w:val="bottom"/>
            <w:gridSpan w:val="3"/>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36.5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Principal repayments of long-term debt</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(100.3)</w:t>
            </w:r>
          </w:p>
        </w:tc>
        <w:tc>
          <w:tcPr>
            <w:tcW w:w="32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Net repayments of short-term borrowings</w:t>
            </w:r>
          </w:p>
        </w:tc>
        <w:tc>
          <w:tcPr>
            <w:tcW w:w="3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(113.5)</w:t>
            </w:r>
          </w:p>
        </w:tc>
        <w:tc>
          <w:tcPr>
            <w:tcW w:w="32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93.0</w:t>
            </w:r>
          </w:p>
        </w:tc>
        <w:tc>
          <w:tcPr>
            <w:tcW w:w="260" w:type="dxa"/>
            <w:vAlign w:val="bottom"/>
          </w:tcPr>
          <w:p>
            <w:pPr>
              <w:spacing w:after="0"/>
              <w:rPr>
                <w:sz w:val="18"/>
                <w:szCs w:val="18"/>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(20.5)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Dividends and capital paid to parent</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(517.5)</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(714.0)</w:t>
            </w:r>
          </w:p>
        </w:tc>
        <w:tc>
          <w:tcPr>
            <w:tcW w:w="3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1,231.5</w:t>
            </w:r>
          </w:p>
        </w:tc>
        <w:tc>
          <w:tcPr>
            <w:tcW w:w="2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Investment contract deposits</w:t>
            </w:r>
          </w:p>
        </w:tc>
        <w:tc>
          <w:tcPr>
            <w:tcW w:w="3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4,184.3</w:t>
            </w: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00" w:type="dxa"/>
            <w:vAlign w:val="bottom"/>
            <w:gridSpan w:val="3"/>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4,184.3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withdrawals</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(5,864.3)</w:t>
            </w:r>
          </w:p>
        </w:tc>
        <w:tc>
          <w:tcPr>
            <w:tcW w:w="32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(5,864.3)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Net decrease in banking operation deposits</w:t>
            </w:r>
          </w:p>
        </w:tc>
        <w:tc>
          <w:tcPr>
            <w:tcW w:w="3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(2.3)</w:t>
            </w:r>
          </w:p>
        </w:tc>
        <w:tc>
          <w:tcPr>
            <w:tcW w:w="320" w:type="dxa"/>
            <w:vAlign w:val="bottom"/>
          </w:tcPr>
          <w:p>
            <w:pPr>
              <w:spacing w:after="0"/>
              <w:rPr>
                <w:sz w:val="18"/>
                <w:szCs w:val="18"/>
                <w:color w:val="auto"/>
              </w:rPr>
            </w:pPr>
          </w:p>
        </w:tc>
        <w:tc>
          <w:tcPr>
            <w:tcW w:w="1300" w:type="dxa"/>
            <w:vAlign w:val="bottom"/>
            <w:gridSpan w:val="3"/>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(2.3)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(10.0)</w:t>
            </w:r>
          </w:p>
        </w:tc>
        <w:tc>
          <w:tcPr>
            <w:tcW w:w="32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jc w:val="right"/>
              <w:ind w:right="40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cash used in financing activities</w:t>
            </w:r>
          </w:p>
        </w:tc>
        <w:tc>
          <w:tcPr>
            <w:tcW w:w="34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(454.0)</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34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(517.5)</w:t>
            </w:r>
          </w:p>
        </w:tc>
        <w:tc>
          <w:tcPr>
            <w:tcW w:w="220" w:type="dxa"/>
            <w:vAlign w:val="bottom"/>
            <w:tcBorders>
              <w:bottom w:val="single" w:sz="8" w:color="CCEEFF"/>
            </w:tcBorders>
          </w:tcPr>
          <w:p>
            <w:pPr>
              <w:spacing w:after="0"/>
              <w:rPr>
                <w:sz w:val="18"/>
                <w:szCs w:val="18"/>
                <w:color w:val="auto"/>
              </w:rPr>
            </w:pPr>
          </w:p>
        </w:tc>
        <w:tc>
          <w:tcPr>
            <w:tcW w:w="48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(2,824.3)</w:t>
            </w:r>
          </w:p>
        </w:tc>
        <w:tc>
          <w:tcPr>
            <w:tcW w:w="200" w:type="dxa"/>
            <w:vAlign w:val="bottom"/>
            <w:tcBorders>
              <w:bottom w:val="single" w:sz="8" w:color="CCEEFF"/>
            </w:tcBorders>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1,324.5</w:t>
            </w:r>
          </w:p>
        </w:tc>
        <w:tc>
          <w:tcPr>
            <w:tcW w:w="22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(2,471.3)</w:t>
            </w:r>
          </w:p>
        </w:tc>
        <w:tc>
          <w:tcPr>
            <w:tcW w:w="10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Net increase (decrease) in cash and cash equivalents</w:t>
            </w:r>
          </w:p>
        </w:tc>
        <w:tc>
          <w:tcPr>
            <w:tcW w:w="3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(275.7)</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(1,187.6)</w:t>
            </w:r>
          </w:p>
        </w:tc>
        <w:tc>
          <w:tcPr>
            <w:tcW w:w="2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343.1</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(1,101.0)</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3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131.5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688.7</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2,384.0</w:t>
            </w: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(832.4)</w:t>
            </w:r>
          </w:p>
        </w:tc>
        <w:tc>
          <w:tcPr>
            <w:tcW w:w="2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2,371.8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7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150.7</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340" w:type="dxa"/>
            <w:vAlign w:val="bottom"/>
            <w:tcBorders>
              <w:top w:val="single" w:sz="8" w:color="auto"/>
              <w:bottom w:val="single" w:sz="8" w:color="auto"/>
            </w:tcBorders>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413.0</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480" w:type="dxa"/>
            <w:vAlign w:val="bottom"/>
            <w:tcBorders>
              <w:top w:val="single" w:sz="8" w:color="auto"/>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1,196.4</w:t>
            </w:r>
          </w:p>
        </w:tc>
        <w:tc>
          <w:tcPr>
            <w:tcW w:w="200" w:type="dxa"/>
            <w:vAlign w:val="bottom"/>
            <w:tcBorders>
              <w:top w:val="single" w:sz="8" w:color="CCEEFF"/>
              <w:bottom w:val="single" w:sz="8" w:color="CCEEFF"/>
            </w:tcBorders>
            <w:shd w:val="clear" w:color="auto" w:fill="CCEEFF"/>
          </w:tcPr>
          <w:p>
            <w:pPr>
              <w:spacing w:after="0"/>
              <w:rPr>
                <w:sz w:val="19"/>
                <w:szCs w:val="19"/>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(489.3</w:t>
            </w:r>
          </w:p>
        </w:tc>
        <w:tc>
          <w:tcPr>
            <w:tcW w:w="220" w:type="dxa"/>
            <w:vAlign w:val="bottom"/>
            <w:tcBorders>
              <w:top w:val="single" w:sz="8" w:color="CCEEFF"/>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w w:val="74"/>
              </w:rPr>
              <w:t>)</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1,270.8</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7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90</w:t>
            </w: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74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The following analysis discusses our financial condition as of September 30, 2015, compared with December 31, 2014, and our consolidated results of operations for the three and nine months ended September 30, 2015 and 2014, prepared in conformity with U.S. GAAP. The discussion and analysis includes, where appropriate, factors that may affect our future financial performance. The discussion should be read in conjunction with our Form 10-K, for the year ended December 31, 2014, filed with the SEC and the unaudited consolidated financial statements and the related notes to the financial statements and the other financial information included elsewhere in this Form 10-Q.</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Information</w:t>
      </w:r>
    </w:p>
    <w:p>
      <w:pPr>
        <w:spacing w:after="0" w:line="229"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Our narrative analysis below contains forward-looking statements intended to enhance the reader’s ability to assess our future financial performance. Forward-looking statements include, but are not limited to, statements that represent our beliefs concerning future operations, strategies, financial results or other developments, and contain words and phrases such as “anticipate,” “believe,” “plan,” “estimate,” “expect,” “intend” and similar expressions. Forward-looking statements are made based upon management’s current expectations and beliefs concerning future developments and their potential effects on us. Such forward-looking statements are not guarantees of future performance.</w:t>
      </w:r>
    </w:p>
    <w:p>
      <w:pPr>
        <w:spacing w:after="0" w:line="173" w:lineRule="exact"/>
        <w:rPr>
          <w:sz w:val="20"/>
          <w:szCs w:val="20"/>
          <w:color w:val="auto"/>
        </w:rPr>
      </w:pPr>
    </w:p>
    <w:p>
      <w:pPr>
        <w:ind w:right="60" w:firstLine="648"/>
        <w:spacing w:after="0" w:line="282" w:lineRule="auto"/>
        <w:rPr>
          <w:sz w:val="20"/>
          <w:szCs w:val="20"/>
          <w:color w:val="auto"/>
        </w:rPr>
      </w:pPr>
      <w:r>
        <w:rPr>
          <w:rFonts w:ascii="Arial" w:cs="Arial" w:eastAsia="Arial" w:hAnsi="Arial"/>
          <w:sz w:val="16"/>
          <w:szCs w:val="16"/>
          <w:color w:val="auto"/>
        </w:rPr>
        <w:t>Actual results may differ materially from those included in the forward-looking statements as a result of risks and uncertainties including, but not limited to, the following: (1) adverse capital and credit market conditions may significantly affect our ability to meet liquidity needs, as well as our access to capital and cost of capital; (2) conditions in the global capital markets and the economy generally may materially and adversely affect our business and results of operations; (3) continued volatility or declines in the equity, bond or real estate markets could reduce our assets under management (“AUM”) and may result in investors withdrawing from the markets or decreasing their rates of investment, all of which could reduce our revenues and net income; (4) changes in interest rates or credit spreads or a sustained low interest rate environment may adversely affect our results of operations, financial condition and liquidity, and our net income can vary from period-to-period; (5) our investment portfolio is subject to several risks that may diminish the value of our invested assets and the investment returns credited to customers, which could reduce our sales, revenues, AUM and net income; (6) our valuation of investments and the determinations of the amount of the allowances and impairments taken on our investments may include methodologies, estimations and assumptions which are subject to differing interpretations and, if changed, could materially adversely affect our results of operations or financial condition; (7) any impairments of or valuation allowances against our deferred tax assets could adversely affect our results of operations and financial condition; (8) we may face losses if our actual experience differs significantly from our pricing and reserving assumptions; (9) the pattern of amortizing our DAC and other actuarial balances on our universal life-type insurance contracts, participating life insurance policies and certain investment contracts may change, impacting both the level of the DAC and other actuarial balances and the timing of our net income; (10) we may not be able to protect our intellectual property and may be subject to infringement claims; (11) our ability to pay stockholder dividends and meet our obligations may be constrained by the limitations on dividends Iowa insurance laws impose on Principal Life; (12) changes in laws or regulations may reduce our profitability; (13) changes in accounting standards may reduce the transparency of our reported profitability and financial condition; (14) results of litigation and regulatory investigations may affect our financial strength or reduce our profitability; (15) from time to time we may become subject to tax audits, tax litigation or similar proceedings, and as a result we may owe additional taxes, interest and penalties in amounts that may be material; (16) applicable laws and our certificate of incorporation and by-laws may discourage takeovers and business combinations that some stockholders might consider in their best interests; (17) competition from companies that may have greater financial resources, broader arrays of products, higher ratings and stronger financial performance may impair our ability to retain existing customers, attract new customers and maintain our profitability; (18) a downgrade in our financial strength or credit ratings may increase policy surrenders and withdrawals, reduce new sales and terminate relationships with distributors, impact existing liabilities and increase our cost of capital, any of which could adversely affect our profitability and financial condition; (19) guarantees within certain of our products that protect policyholders may decrease our earnings or increase the volatility of our results of operations or financial position under U.S. GAAP if our hedging or risk management strategies prove ineffective or insufficient;</w:t>
      </w:r>
    </w:p>
    <w:p>
      <w:pPr>
        <w:spacing w:after="0" w:line="12" w:lineRule="exact"/>
        <w:rPr>
          <w:sz w:val="20"/>
          <w:szCs w:val="20"/>
          <w:color w:val="auto"/>
        </w:rPr>
      </w:pPr>
    </w:p>
    <w:p>
      <w:pPr>
        <w:ind w:right="60" w:firstLine="8"/>
        <w:spacing w:after="0" w:line="323" w:lineRule="auto"/>
        <w:tabs>
          <w:tab w:leader="none" w:pos="345" w:val="left"/>
        </w:tabs>
        <w:numPr>
          <w:ilvl w:val="0"/>
          <w:numId w:val="28"/>
        </w:numPr>
        <w:rPr>
          <w:rFonts w:ascii="Arial" w:cs="Arial" w:eastAsia="Arial" w:hAnsi="Arial"/>
          <w:sz w:val="16"/>
          <w:szCs w:val="16"/>
          <w:color w:val="auto"/>
        </w:rPr>
      </w:pPr>
      <w:r>
        <w:rPr>
          <w:rFonts w:ascii="Arial" w:cs="Arial" w:eastAsia="Arial" w:hAnsi="Arial"/>
          <w:sz w:val="16"/>
          <w:szCs w:val="16"/>
          <w:color w:val="auto"/>
        </w:rPr>
        <w:t>if we are unable to attract and retain qualified employees and sales representatives and develop new distribution sources, our results of operations, financial condition and sales of our products may be adversely impacted; (21) our international businesses face political, legal, operational and other risks that</w:t>
      </w:r>
    </w:p>
    <w:p>
      <w:pPr>
        <w:sectPr>
          <w:pgSz w:w="11900" w:h="16838" w:orient="portrait"/>
          <w:cols w:equalWidth="0" w:num="1">
            <w:col w:w="11460"/>
          </w:cols>
          <w:pgMar w:left="240" w:top="140" w:right="199" w:bottom="0" w:gutter="0" w:footer="0" w:header="0"/>
        </w:sectPr>
      </w:pPr>
    </w:p>
    <w:bookmarkStart w:id="64" w:name="page65"/>
    <w:bookmarkEnd w:id="64"/>
    <w:p>
      <w:pPr>
        <w:spacing w:after="0" w:line="255" w:lineRule="auto"/>
        <w:rPr>
          <w:sz w:val="20"/>
          <w:szCs w:val="20"/>
          <w:color w:val="auto"/>
        </w:rPr>
      </w:pPr>
      <w:r>
        <w:rPr>
          <w:rFonts w:ascii="Arial" w:cs="Arial" w:eastAsia="Arial" w:hAnsi="Arial"/>
          <w:sz w:val="18"/>
          <w:szCs w:val="18"/>
          <w:color w:val="auto"/>
        </w:rPr>
        <w:t>could reduce our profitability in those businesses; (22) we may need to fund deficiencies in our Closed Block assets; (23) a pandemic, terrorist attack, military action or other catastrophic event could adversely affect our net income; (24) our reinsurers could default on their obligations or increase their rates, which could adversely impact our net income and financial condition; (25) we face risk arising from acquisition of businesses; (26) a computer system failure or security breach could disrupt our business, damage our reputation and adversely impact our profitability; (27) loss of key vendor relationships or failure of a vendor to protect information of our customers or employees could adversely affect our business or result in losses; and (28) our financial results may be adversely impacted by global climate changes.</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provide financial products and services through the following reportable segments:</w:t>
      </w:r>
    </w:p>
    <w:p>
      <w:pPr>
        <w:spacing w:after="0" w:line="225" w:lineRule="exact"/>
        <w:rPr>
          <w:sz w:val="20"/>
          <w:szCs w:val="20"/>
          <w:color w:val="auto"/>
        </w:rPr>
      </w:pPr>
    </w:p>
    <w:p>
      <w:pPr>
        <w:jc w:val="both"/>
        <w:ind w:left="980" w:right="200" w:hanging="324"/>
        <w:spacing w:after="0" w:line="288" w:lineRule="auto"/>
        <w:tabs>
          <w:tab w:leader="none" w:pos="944" w:val="left"/>
        </w:tabs>
        <w:numPr>
          <w:ilvl w:val="0"/>
          <w:numId w:val="29"/>
        </w:numPr>
        <w:rPr>
          <w:rFonts w:ascii="Arial" w:cs="Arial" w:eastAsia="Arial" w:hAnsi="Arial"/>
          <w:sz w:val="16"/>
          <w:szCs w:val="16"/>
          <w:color w:val="auto"/>
        </w:rPr>
      </w:pPr>
      <w:r>
        <w:rPr>
          <w:rFonts w:ascii="Arial" w:cs="Arial" w:eastAsia="Arial" w:hAnsi="Arial"/>
          <w:sz w:val="16"/>
          <w:szCs w:val="16"/>
          <w:color w:val="auto"/>
        </w:rPr>
        <w:t>Retirement and Investor Services is organized into the Accumulation business, which includes full service accumulation, Principal Funds (our mutual fund business), individual annuities and bank and trust services; and the Guaranteed business, which includes investment only and full service payout. We offer a comprehensive portfolio of asset accumulation products and services for retirement savings and investment:</w:t>
      </w:r>
    </w:p>
    <w:p>
      <w:pPr>
        <w:ind w:left="1300" w:right="420" w:hanging="320"/>
        <w:spacing w:after="0" w:line="281" w:lineRule="auto"/>
        <w:tabs>
          <w:tab w:leader="none" w:pos="1264" w:val="left"/>
        </w:tabs>
        <w:numPr>
          <w:ilvl w:val="1"/>
          <w:numId w:val="29"/>
        </w:numPr>
        <w:rPr>
          <w:rFonts w:ascii="Arial" w:cs="Arial" w:eastAsia="Arial" w:hAnsi="Arial"/>
          <w:sz w:val="16"/>
          <w:szCs w:val="16"/>
          <w:color w:val="auto"/>
        </w:rPr>
      </w:pPr>
      <w:r>
        <w:rPr>
          <w:rFonts w:ascii="Arial" w:cs="Arial" w:eastAsia="Arial" w:hAnsi="Arial"/>
          <w:sz w:val="16"/>
          <w:szCs w:val="16"/>
          <w:color w:val="auto"/>
        </w:rPr>
        <w:t>To businesses of all sizes with a concentration on small and medium sized businesses, we offer products and services for defined contribution pension plans, including 401(k) and 403(b) plans, defined benefit pension plans, nonqualified executive benefit plans and ESOP consulting services. For more basic investment needs, we offer SIMPLE IRA and payroll deduction plans;</w:t>
      </w:r>
    </w:p>
    <w:p>
      <w:pPr>
        <w:spacing w:after="0" w:line="2" w:lineRule="exact"/>
        <w:rPr>
          <w:rFonts w:ascii="Arial" w:cs="Arial" w:eastAsia="Arial" w:hAnsi="Arial"/>
          <w:sz w:val="16"/>
          <w:szCs w:val="16"/>
          <w:color w:val="auto"/>
        </w:rPr>
      </w:pPr>
    </w:p>
    <w:p>
      <w:pPr>
        <w:ind w:left="1300" w:right="460" w:hanging="320"/>
        <w:spacing w:after="0" w:line="250" w:lineRule="auto"/>
        <w:tabs>
          <w:tab w:leader="none" w:pos="1264" w:val="left"/>
        </w:tabs>
        <w:numPr>
          <w:ilvl w:val="1"/>
          <w:numId w:val="29"/>
        </w:numPr>
        <w:rPr>
          <w:rFonts w:ascii="Arial" w:cs="Arial" w:eastAsia="Arial" w:hAnsi="Arial"/>
          <w:sz w:val="18"/>
          <w:szCs w:val="18"/>
          <w:color w:val="auto"/>
        </w:rPr>
      </w:pPr>
      <w:r>
        <w:rPr>
          <w:rFonts w:ascii="Arial" w:cs="Arial" w:eastAsia="Arial" w:hAnsi="Arial"/>
          <w:sz w:val="18"/>
          <w:szCs w:val="18"/>
          <w:color w:val="auto"/>
        </w:rPr>
        <w:t>To large institutional clients, we also offer investment-only products, including guaranteed investment contracts (“GICs”) and funding agreements and</w:t>
      </w:r>
    </w:p>
    <w:p>
      <w:pPr>
        <w:ind w:left="1300" w:right="420" w:hanging="320"/>
        <w:spacing w:after="0" w:line="250" w:lineRule="auto"/>
        <w:tabs>
          <w:tab w:leader="none" w:pos="1264" w:val="left"/>
        </w:tabs>
        <w:numPr>
          <w:ilvl w:val="1"/>
          <w:numId w:val="29"/>
        </w:numPr>
        <w:rPr>
          <w:rFonts w:ascii="Arial" w:cs="Arial" w:eastAsia="Arial" w:hAnsi="Arial"/>
          <w:sz w:val="18"/>
          <w:szCs w:val="18"/>
          <w:color w:val="auto"/>
        </w:rPr>
      </w:pPr>
      <w:r>
        <w:rPr>
          <w:rFonts w:ascii="Arial" w:cs="Arial" w:eastAsia="Arial" w:hAnsi="Arial"/>
          <w:sz w:val="18"/>
          <w:szCs w:val="18"/>
          <w:color w:val="auto"/>
        </w:rPr>
        <w:t>To employees of businesses and other individuals, we offer the ability to accumulate savings for retirement and other purposes through mutual funds, individual annuities and bank products.</w:t>
      </w:r>
    </w:p>
    <w:p>
      <w:pPr>
        <w:ind w:left="980" w:right="40" w:hanging="324"/>
        <w:spacing w:after="0" w:line="250" w:lineRule="auto"/>
        <w:tabs>
          <w:tab w:leader="none" w:pos="944"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Principal Global Investors, which consists of our asset management operations, manages assets for sophisticated investors around the world, using a multi-boutique strategy that enables the segment to provide an expanded range of diverse investment capabilities including equity, fixed income, real estate investments and other alternative investments. Principal Global Investors also has experience in asset allocation, stable value management and other structured investment strategies.</w:t>
      </w:r>
    </w:p>
    <w:p>
      <w:pPr>
        <w:spacing w:after="0" w:line="1" w:lineRule="exact"/>
        <w:rPr>
          <w:rFonts w:ascii="Arial" w:cs="Arial" w:eastAsia="Arial" w:hAnsi="Arial"/>
          <w:sz w:val="18"/>
          <w:szCs w:val="18"/>
          <w:color w:val="auto"/>
        </w:rPr>
      </w:pPr>
    </w:p>
    <w:p>
      <w:pPr>
        <w:ind w:left="980" w:right="60" w:hanging="324"/>
        <w:spacing w:after="0" w:line="250" w:lineRule="auto"/>
        <w:tabs>
          <w:tab w:leader="none" w:pos="944"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Principal International, which offers retirement products and services, annuities, mutual funds, institutional asset management and life insurance accumulation products through operations in Brazil, Chile, China, Hong Kong Special Administrative Region, India, Mexico and Southeast Asia.</w:t>
      </w:r>
    </w:p>
    <w:p>
      <w:pPr>
        <w:spacing w:after="0" w:line="1" w:lineRule="exact"/>
        <w:rPr>
          <w:rFonts w:ascii="Arial" w:cs="Arial" w:eastAsia="Arial" w:hAnsi="Arial"/>
          <w:sz w:val="18"/>
          <w:szCs w:val="18"/>
          <w:color w:val="auto"/>
        </w:rPr>
      </w:pPr>
    </w:p>
    <w:p>
      <w:pPr>
        <w:ind w:left="980" w:right="380" w:hanging="324"/>
        <w:spacing w:after="0" w:line="250" w:lineRule="auto"/>
        <w:tabs>
          <w:tab w:leader="none" w:pos="944" w:val="left"/>
        </w:tabs>
        <w:numPr>
          <w:ilvl w:val="0"/>
          <w:numId w:val="29"/>
        </w:numPr>
        <w:rPr>
          <w:rFonts w:ascii="Arial" w:cs="Arial" w:eastAsia="Arial" w:hAnsi="Arial"/>
          <w:sz w:val="18"/>
          <w:szCs w:val="18"/>
          <w:color w:val="auto"/>
        </w:rPr>
      </w:pPr>
      <w:r>
        <w:rPr>
          <w:rFonts w:ascii="Arial" w:cs="Arial" w:eastAsia="Arial" w:hAnsi="Arial"/>
          <w:sz w:val="18"/>
          <w:szCs w:val="18"/>
          <w:color w:val="auto"/>
        </w:rPr>
        <w:t>U.S. Insurance Solutions, which provides individual life insurance and specialty benefits insurance in the U.S. Our individual life insurance products include universal and variable universal life insurance and traditional life insurance. Our specialty benefits products include group dental and vision insurance, individual and group disability insurance, group life insurance and non-medical fee-for-service claims administration.</w:t>
      </w:r>
    </w:p>
    <w:p>
      <w:pPr>
        <w:spacing w:after="0" w:line="1" w:lineRule="exact"/>
        <w:rPr>
          <w:rFonts w:ascii="Arial" w:cs="Arial" w:eastAsia="Arial" w:hAnsi="Arial"/>
          <w:sz w:val="18"/>
          <w:szCs w:val="18"/>
          <w:color w:val="auto"/>
        </w:rPr>
      </w:pPr>
    </w:p>
    <w:p>
      <w:pPr>
        <w:ind w:left="980" w:right="140" w:hanging="324"/>
        <w:spacing w:after="0" w:line="254" w:lineRule="auto"/>
        <w:tabs>
          <w:tab w:leader="none" w:pos="944" w:val="left"/>
        </w:tabs>
        <w:numPr>
          <w:ilvl w:val="0"/>
          <w:numId w:val="29"/>
        </w:numPr>
        <w:rPr>
          <w:rFonts w:ascii="Arial" w:cs="Arial" w:eastAsia="Arial" w:hAnsi="Arial"/>
          <w:sz w:val="18"/>
          <w:szCs w:val="18"/>
          <w:color w:val="auto"/>
        </w:rPr>
      </w:pPr>
      <w:r>
        <w:rPr>
          <w:rFonts w:ascii="Arial" w:cs="Arial" w:eastAsia="Arial" w:hAnsi="Arial"/>
          <w:sz w:val="18"/>
          <w:szCs w:val="18"/>
          <w:color w:val="auto"/>
        </w:rPr>
        <w:t>Corporate, which manages the assets representing capital that has not been allocated to any other segment. Financial results of the Corporate segment primarily reflect our financing activities (including interest expense and preferred stock dividends), income on capital not allocated to other segments, inter-segment eliminations, income tax risks and certain income, expenses and other after-tax adjustments not allocated to the segments based on the nature of such items.</w:t>
      </w:r>
    </w:p>
    <w:p>
      <w:pPr>
        <w:spacing w:after="0" w:line="190" w:lineRule="exact"/>
        <w:rPr>
          <w:sz w:val="20"/>
          <w:szCs w:val="20"/>
          <w:color w:val="auto"/>
        </w:rPr>
      </w:pPr>
    </w:p>
    <w:p>
      <w:pPr>
        <w:ind w:right="100" w:firstLine="675"/>
        <w:spacing w:after="0" w:line="286" w:lineRule="auto"/>
        <w:rPr>
          <w:sz w:val="20"/>
          <w:szCs w:val="20"/>
          <w:color w:val="auto"/>
        </w:rPr>
      </w:pPr>
      <w:r>
        <w:rPr>
          <w:rFonts w:ascii="Arial" w:cs="Arial" w:eastAsia="Arial" w:hAnsi="Arial"/>
          <w:sz w:val="17"/>
          <w:szCs w:val="17"/>
          <w:color w:val="auto"/>
        </w:rPr>
        <w:t>In February 2015 we announced planned changes to our organizational structure to better align businesses, distribution teams and product offerings for future growth. We plan to implement these changes during 2015 and will report our consolidated financial statements under the new structure in our December 31, 2015 10-K. The changes are not expected to have a material impact on our consolidated financial statements.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Affecting Comparability of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Acquisitions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entered into acquisition agreements for the following businesses.</w:t>
      </w:r>
    </w:p>
    <w:p>
      <w:pPr>
        <w:spacing w:after="0" w:line="225" w:lineRule="exact"/>
        <w:rPr>
          <w:sz w:val="20"/>
          <w:szCs w:val="20"/>
          <w:color w:val="auto"/>
        </w:rPr>
      </w:pPr>
    </w:p>
    <w:p>
      <w:pPr>
        <w:jc w:val="both"/>
        <w:ind w:right="260" w:firstLine="648"/>
        <w:spacing w:after="0" w:line="279" w:lineRule="auto"/>
        <w:rPr>
          <w:sz w:val="20"/>
          <w:szCs w:val="20"/>
          <w:color w:val="auto"/>
        </w:rPr>
      </w:pPr>
      <w:r>
        <w:rPr>
          <w:rFonts w:ascii="Arial" w:cs="Arial" w:eastAsia="Arial" w:hAnsi="Arial"/>
          <w:sz w:val="17"/>
          <w:szCs w:val="17"/>
          <w:b w:val="1"/>
          <w:bCs w:val="1"/>
          <w:i w:val="1"/>
          <w:iCs w:val="1"/>
          <w:color w:val="auto"/>
        </w:rPr>
        <w:t xml:space="preserve">AXA MPF and ORSO Pension Business. </w:t>
      </w:r>
      <w:r>
        <w:rPr>
          <w:rFonts w:ascii="Arial" w:cs="Arial" w:eastAsia="Arial" w:hAnsi="Arial"/>
          <w:sz w:val="17"/>
          <w:szCs w:val="17"/>
          <w:color w:val="auto"/>
        </w:rPr>
        <w:t>On September 1, 2015, we finalized the purchase of AXA’s MPF and ORSO pension business in Hong</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Kong for $335.5 million. As part of the transaction, we entered into an exclusive 15-year distribution agreement with AXA to provide co-branded pension products through AXA’s extensive agency network in Hong Kong. We more than doubled the AUM in our Hong Kong pension business to $5.9 billion. AXA’s MPF and ORSO pension business is consolidated within our Principal International segment.</w:t>
      </w:r>
    </w:p>
    <w:p>
      <w:pPr>
        <w:spacing w:after="0" w:line="171"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b w:val="1"/>
          <w:bCs w:val="1"/>
          <w:i w:val="1"/>
          <w:iCs w:val="1"/>
          <w:color w:val="auto"/>
        </w:rPr>
        <w:t xml:space="preserve">Columbus Circle Investors. </w:t>
      </w:r>
      <w:r>
        <w:rPr>
          <w:rFonts w:ascii="Arial" w:cs="Arial" w:eastAsia="Arial" w:hAnsi="Arial"/>
          <w:sz w:val="17"/>
          <w:szCs w:val="17"/>
          <w:color w:val="auto"/>
        </w:rPr>
        <w:t>On September 30, 2014, we acquired an additional 24.65% interest in Columbus Circle Investors from the minority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shareholder partners and contracted to purchase the remaining interest from the minority shareholder partners in two installments. On April 28, 2015, we purchased an additional 2.5% interest. We now own 97.5% of Columbus Circle Investors and are expected to purchase the remaining 2.5% from the minority shareholder partners in April 2016. Columbus Circle Investors is consolidated within our Principal Global Investors segment.</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w:t>
      </w:r>
    </w:p>
    <w:p>
      <w:pPr>
        <w:spacing w:after="0" w:line="225" w:lineRule="exact"/>
        <w:rPr>
          <w:sz w:val="20"/>
          <w:szCs w:val="20"/>
          <w:color w:val="auto"/>
        </w:rPr>
      </w:pPr>
    </w:p>
    <w:p>
      <w:pPr>
        <w:ind w:right="140" w:firstLine="648"/>
        <w:spacing w:after="0" w:line="297" w:lineRule="auto"/>
        <w:rPr>
          <w:sz w:val="20"/>
          <w:szCs w:val="20"/>
          <w:color w:val="auto"/>
        </w:rPr>
      </w:pPr>
      <w:r>
        <w:rPr>
          <w:rFonts w:ascii="Arial" w:cs="Arial" w:eastAsia="Arial" w:hAnsi="Arial"/>
          <w:sz w:val="16"/>
          <w:szCs w:val="16"/>
          <w:b w:val="1"/>
          <w:bCs w:val="1"/>
          <w:i w:val="1"/>
          <w:iCs w:val="1"/>
          <w:color w:val="auto"/>
        </w:rPr>
        <w:t xml:space="preserve">Actuarial Assumption Updates. </w:t>
      </w:r>
      <w:r>
        <w:rPr>
          <w:rFonts w:ascii="Arial" w:cs="Arial" w:eastAsia="Arial" w:hAnsi="Arial"/>
          <w:sz w:val="16"/>
          <w:szCs w:val="16"/>
          <w:color w:val="auto"/>
        </w:rPr>
        <w:t>We periodically review and update actuarial assumptions that are inputs to the models for DAC and other actuarial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balances and make model refinements as necessary. During the third quarter of 2015, assumption updates and model refinements were made resulting in an unlocking of DAC and other actuarial balances that increased total company net income by $26.2 million for both the three and nine months ended September 30, 2015. The net positive segment operating earnings impact was $31.2 million, which was comprised of $49.9 million for our U.S. Insurance Solutions segment and $(18.7) million for our Retirement and Investor Services segment, for both the three and nine months ended September 30, 2015.</w:t>
      </w:r>
    </w:p>
    <w:p>
      <w:pPr>
        <w:sectPr>
          <w:pgSz w:w="11900" w:h="16838" w:orient="portrait"/>
          <w:cols w:equalWidth="0" w:num="1">
            <w:col w:w="11400"/>
          </w:cols>
          <w:pgMar w:left="240" w:top="125" w:right="259" w:bottom="0" w:gutter="0" w:footer="0" w:header="0"/>
        </w:sectPr>
      </w:pPr>
    </w:p>
    <w:bookmarkStart w:id="65" w:name="page66"/>
    <w:bookmarkEnd w:id="65"/>
    <w:p>
      <w:pPr>
        <w:ind w:right="260" w:firstLine="648"/>
        <w:spacing w:after="0" w:line="263" w:lineRule="auto"/>
        <w:rPr>
          <w:sz w:val="20"/>
          <w:szCs w:val="20"/>
          <w:color w:val="auto"/>
        </w:rPr>
      </w:pPr>
      <w:r>
        <w:rPr>
          <w:rFonts w:ascii="Arial" w:cs="Arial" w:eastAsia="Arial" w:hAnsi="Arial"/>
          <w:sz w:val="18"/>
          <w:szCs w:val="18"/>
          <w:color w:val="auto"/>
        </w:rPr>
        <w:t xml:space="preserve">During the third quarter of 2014, assumption updates and model refinements were made resulting in an unlocking of DAC and other actuarial balances that increased total company net income by $45.3 million for both the three and nine months ended September 30, 2014. </w:t>
      </w:r>
      <w:r>
        <w:rPr>
          <w:rFonts w:ascii="Arial" w:cs="Arial" w:eastAsia="Arial" w:hAnsi="Arial"/>
          <w:sz w:val="17"/>
          <w:szCs w:val="17"/>
          <w:color w:val="auto"/>
        </w:rPr>
        <w:t>The net positive segment</w:t>
      </w:r>
      <w:r>
        <w:rPr>
          <w:rFonts w:ascii="Arial" w:cs="Arial" w:eastAsia="Arial" w:hAnsi="Arial"/>
          <w:sz w:val="18"/>
          <w:szCs w:val="18"/>
          <w:color w:val="auto"/>
        </w:rPr>
        <w:t xml:space="preserve"> </w:t>
      </w:r>
      <w:r>
        <w:rPr>
          <w:rFonts w:ascii="Arial" w:cs="Arial" w:eastAsia="Arial" w:hAnsi="Arial"/>
          <w:sz w:val="17"/>
          <w:szCs w:val="17"/>
          <w:color w:val="auto"/>
        </w:rPr>
        <w:t>operating earnings impact was $40.7 million, which was comprised of $39.0 million for our U.S. Insurance Solutions segment and $1.7 million for our Retirement and Investor Services segment, for both the three and nine months ended September 30, 2014.</w:t>
      </w:r>
    </w:p>
    <w:p>
      <w:pPr>
        <w:spacing w:after="0" w:line="186" w:lineRule="exact"/>
        <w:rPr>
          <w:sz w:val="20"/>
          <w:szCs w:val="20"/>
          <w:color w:val="auto"/>
        </w:rPr>
      </w:pPr>
    </w:p>
    <w:p>
      <w:pPr>
        <w:ind w:right="340" w:firstLine="648"/>
        <w:spacing w:after="0" w:line="264" w:lineRule="auto"/>
        <w:rPr>
          <w:sz w:val="20"/>
          <w:szCs w:val="20"/>
          <w:color w:val="auto"/>
        </w:rPr>
      </w:pPr>
      <w:r>
        <w:rPr>
          <w:rFonts w:ascii="Arial" w:cs="Arial" w:eastAsia="Arial" w:hAnsi="Arial"/>
          <w:sz w:val="18"/>
          <w:szCs w:val="18"/>
          <w:color w:val="auto"/>
        </w:rPr>
        <w:t>The individual life insurance actuarial assumption updates and model refinements had the most significant impact and affected several line items within the income statement. The following table presents the impact on the individual life insurance income statement line items for the three and nine months ended September 30, 2015 and 2014.</w:t>
      </w:r>
    </w:p>
    <w:p>
      <w:pPr>
        <w:spacing w:after="0" w:line="173" w:lineRule="exact"/>
        <w:rPr>
          <w:sz w:val="20"/>
          <w:szCs w:val="20"/>
          <w:color w:val="auto"/>
        </w:rPr>
      </w:pPr>
    </w:p>
    <w:p>
      <w:pPr>
        <w:jc w:val="center"/>
        <w:ind w:left="7740"/>
        <w:spacing w:after="0"/>
        <w:rPr>
          <w:sz w:val="20"/>
          <w:szCs w:val="20"/>
          <w:color w:val="auto"/>
        </w:rPr>
      </w:pPr>
      <w:r>
        <w:rPr>
          <w:rFonts w:ascii="Arial" w:cs="Arial" w:eastAsia="Arial" w:hAnsi="Arial"/>
          <w:sz w:val="14"/>
          <w:szCs w:val="14"/>
          <w:b w:val="1"/>
          <w:bCs w:val="1"/>
          <w:color w:val="auto"/>
        </w:rPr>
        <w:t>For the three and nine months ended</w:t>
      </w:r>
    </w:p>
    <w:p>
      <w:pPr>
        <w:jc w:val="center"/>
        <w:ind w:left="7740"/>
        <w:spacing w:after="0" w:line="236" w:lineRule="auto"/>
        <w:rPr>
          <w:sz w:val="20"/>
          <w:szCs w:val="20"/>
          <w:color w:val="auto"/>
        </w:rPr>
      </w:pPr>
      <w:r>
        <w:rPr>
          <w:rFonts w:ascii="Arial" w:cs="Arial" w:eastAsia="Arial" w:hAnsi="Arial"/>
          <w:sz w:val="14"/>
          <w:szCs w:val="14"/>
          <w:b w:val="1"/>
          <w:bCs w:val="1"/>
          <w:color w:val="auto"/>
        </w:rPr>
        <w:t>September 30,</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7860" w:type="dxa"/>
            <w:vAlign w:val="bottom"/>
          </w:tcPr>
          <w:p>
            <w:pPr>
              <w:spacing w:after="0"/>
              <w:rPr>
                <w:sz w:val="12"/>
                <w:szCs w:val="12"/>
                <w:color w:val="auto"/>
              </w:rPr>
            </w:pPr>
          </w:p>
        </w:tc>
        <w:tc>
          <w:tcPr>
            <w:tcW w:w="1060" w:type="dxa"/>
            <w:vAlign w:val="bottom"/>
            <w:tcBorders>
              <w:top w:val="single" w:sz="8" w:color="auto"/>
              <w:bottom w:val="single" w:sz="8" w:color="auto"/>
            </w:tcBorders>
          </w:tcPr>
          <w:p>
            <w:pPr>
              <w:jc w:val="right"/>
              <w:ind w:right="67"/>
              <w:spacing w:after="0" w:line="142" w:lineRule="exact"/>
              <w:rPr>
                <w:sz w:val="20"/>
                <w:szCs w:val="20"/>
                <w:color w:val="auto"/>
              </w:rPr>
            </w:pPr>
            <w:r>
              <w:rPr>
                <w:rFonts w:ascii="Arial" w:cs="Arial" w:eastAsia="Arial" w:hAnsi="Arial"/>
                <w:sz w:val="14"/>
                <w:szCs w:val="14"/>
                <w:b w:val="1"/>
                <w:bCs w:val="1"/>
                <w:color w:val="auto"/>
              </w:rPr>
              <w:t>2015</w:t>
            </w:r>
          </w:p>
        </w:tc>
        <w:tc>
          <w:tcPr>
            <w:tcW w:w="68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spacing w:after="0"/>
              <w:rPr>
                <w:sz w:val="12"/>
                <w:szCs w:val="12"/>
                <w:color w:val="auto"/>
              </w:rPr>
            </w:pPr>
          </w:p>
        </w:tc>
        <w:tc>
          <w:tcPr>
            <w:tcW w:w="1160" w:type="dxa"/>
            <w:vAlign w:val="bottom"/>
            <w:tcBorders>
              <w:top w:val="single" w:sz="8" w:color="auto"/>
              <w:bottom w:val="single" w:sz="8" w:color="auto"/>
            </w:tcBorders>
          </w:tcPr>
          <w:p>
            <w:pPr>
              <w:jc w:val="right"/>
              <w:ind w:right="574"/>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r>
      <w:tr>
        <w:trPr>
          <w:trHeight w:val="142"/>
        </w:trPr>
        <w:tc>
          <w:tcPr>
            <w:tcW w:w="78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40" w:type="dxa"/>
            <w:vAlign w:val="bottom"/>
            <w:gridSpan w:val="2"/>
          </w:tcPr>
          <w:p>
            <w:pPr>
              <w:jc w:val="right"/>
              <w:ind w:right="110"/>
              <w:spacing w:after="0" w:line="142" w:lineRule="exact"/>
              <w:rPr>
                <w:sz w:val="20"/>
                <w:szCs w:val="20"/>
                <w:color w:val="auto"/>
              </w:rPr>
            </w:pPr>
            <w:r>
              <w:rPr>
                <w:rFonts w:ascii="Arial" w:cs="Arial" w:eastAsia="Arial" w:hAnsi="Arial"/>
                <w:sz w:val="14"/>
                <w:szCs w:val="14"/>
                <w:b w:val="1"/>
                <w:bCs w:val="1"/>
                <w:color w:val="auto"/>
              </w:rPr>
              <w:t>(in millions)</w:t>
            </w: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Operating earnings</w:t>
            </w:r>
          </w:p>
        </w:tc>
        <w:tc>
          <w:tcPr>
            <w:tcW w:w="1060" w:type="dxa"/>
            <w:vAlign w:val="bottom"/>
            <w:shd w:val="clear" w:color="auto" w:fill="CCEEFF"/>
          </w:tcPr>
          <w:p>
            <w:pPr>
              <w:jc w:val="right"/>
              <w:ind w:right="907"/>
              <w:spacing w:after="0"/>
              <w:rPr>
                <w:sz w:val="20"/>
                <w:szCs w:val="20"/>
                <w:color w:val="auto"/>
              </w:rPr>
            </w:pPr>
            <w:r>
              <w:rPr>
                <w:rFonts w:ascii="Arial" w:cs="Arial" w:eastAsia="Arial" w:hAnsi="Arial"/>
                <w:sz w:val="15"/>
                <w:szCs w:val="15"/>
                <w:b w:val="1"/>
                <w:bCs w:val="1"/>
                <w:color w:val="auto"/>
                <w:w w:val="71"/>
              </w:rPr>
              <w:t>$</w:t>
            </w:r>
          </w:p>
        </w:tc>
        <w:tc>
          <w:tcPr>
            <w:tcW w:w="680" w:type="dxa"/>
            <w:vAlign w:val="bottom"/>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42.0</w:t>
            </w:r>
          </w:p>
        </w:tc>
        <w:tc>
          <w:tcPr>
            <w:tcW w:w="5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39.0</w:t>
            </w:r>
          </w:p>
        </w:tc>
      </w:tr>
      <w:tr>
        <w:trPr>
          <w:trHeight w:val="216"/>
        </w:trPr>
        <w:tc>
          <w:tcPr>
            <w:tcW w:w="7860" w:type="dxa"/>
            <w:vAlign w:val="bottom"/>
          </w:tcPr>
          <w:p>
            <w:pPr>
              <w:spacing w:after="0"/>
              <w:rPr>
                <w:sz w:val="20"/>
                <w:szCs w:val="20"/>
                <w:color w:val="auto"/>
              </w:rPr>
            </w:pPr>
            <w:r>
              <w:rPr>
                <w:rFonts w:ascii="Arial" w:cs="Arial" w:eastAsia="Arial" w:hAnsi="Arial"/>
                <w:sz w:val="18"/>
                <w:szCs w:val="18"/>
                <w:color w:val="auto"/>
              </w:rPr>
              <w:t>Fee revenues</w:t>
            </w:r>
          </w:p>
        </w:tc>
        <w:tc>
          <w:tcPr>
            <w:tcW w:w="1060" w:type="dxa"/>
            <w:vAlign w:val="bottom"/>
          </w:tcPr>
          <w:p>
            <w:pPr>
              <w:spacing w:after="0"/>
              <w:rPr>
                <w:sz w:val="18"/>
                <w:szCs w:val="18"/>
                <w:color w:val="auto"/>
              </w:rPr>
            </w:pPr>
          </w:p>
        </w:tc>
        <w:tc>
          <w:tcPr>
            <w:tcW w:w="680" w:type="dxa"/>
            <w:vAlign w:val="bottom"/>
          </w:tcPr>
          <w:p>
            <w:pPr>
              <w:jc w:val="right"/>
              <w:ind w:right="14"/>
              <w:spacing w:after="0"/>
              <w:rPr>
                <w:sz w:val="20"/>
                <w:szCs w:val="20"/>
                <w:color w:val="auto"/>
              </w:rPr>
            </w:pPr>
            <w:r>
              <w:rPr>
                <w:rFonts w:ascii="Arial" w:cs="Arial" w:eastAsia="Arial" w:hAnsi="Arial"/>
                <w:sz w:val="18"/>
                <w:szCs w:val="18"/>
                <w:b w:val="1"/>
                <w:bCs w:val="1"/>
                <w:color w:val="auto"/>
              </w:rPr>
              <w:t>(3.0)</w:t>
            </w:r>
          </w:p>
        </w:tc>
        <w:tc>
          <w:tcPr>
            <w:tcW w:w="56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3.1</w:t>
            </w:r>
          </w:p>
        </w:tc>
      </w:tr>
      <w:tr>
        <w:trPr>
          <w:trHeight w:val="216"/>
        </w:trPr>
        <w:tc>
          <w:tcPr>
            <w:tcW w:w="7860" w:type="dxa"/>
            <w:vAlign w:val="bottom"/>
            <w:shd w:val="clear" w:color="auto" w:fill="CCEEFF"/>
          </w:tcPr>
          <w:p>
            <w:pPr>
              <w:spacing w:after="0"/>
              <w:rPr>
                <w:sz w:val="20"/>
                <w:szCs w:val="20"/>
                <w:color w:val="auto"/>
              </w:rPr>
            </w:pPr>
            <w:r>
              <w:rPr>
                <w:rFonts w:ascii="Arial" w:cs="Arial" w:eastAsia="Arial" w:hAnsi="Arial"/>
                <w:sz w:val="18"/>
                <w:szCs w:val="18"/>
                <w:color w:val="auto"/>
              </w:rPr>
              <w:t>Benefits, claims and settlement expenses</w:t>
            </w:r>
          </w:p>
        </w:tc>
        <w:tc>
          <w:tcPr>
            <w:tcW w:w="106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(43.5)</w:t>
            </w:r>
          </w:p>
        </w:tc>
        <w:tc>
          <w:tcPr>
            <w:tcW w:w="5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(131.6)</w:t>
            </w:r>
          </w:p>
        </w:tc>
      </w:tr>
      <w:tr>
        <w:trPr>
          <w:trHeight w:val="234"/>
        </w:trPr>
        <w:tc>
          <w:tcPr>
            <w:tcW w:w="7860" w:type="dxa"/>
            <w:vAlign w:val="bottom"/>
          </w:tcPr>
          <w:p>
            <w:pPr>
              <w:spacing w:after="0"/>
              <w:rPr>
                <w:sz w:val="20"/>
                <w:szCs w:val="20"/>
                <w:color w:val="auto"/>
              </w:rPr>
            </w:pPr>
            <w:r>
              <w:rPr>
                <w:rFonts w:ascii="Arial" w:cs="Arial" w:eastAsia="Arial" w:hAnsi="Arial"/>
                <w:sz w:val="18"/>
                <w:szCs w:val="18"/>
                <w:color w:val="auto"/>
              </w:rPr>
              <w:t>Operating expenses</w:t>
            </w:r>
          </w:p>
        </w:tc>
        <w:tc>
          <w:tcPr>
            <w:tcW w:w="1060" w:type="dxa"/>
            <w:vAlign w:val="bottom"/>
          </w:tcPr>
          <w:p>
            <w:pPr>
              <w:spacing w:after="0"/>
              <w:rPr>
                <w:sz w:val="20"/>
                <w:szCs w:val="20"/>
                <w:color w:val="auto"/>
              </w:rPr>
            </w:pPr>
          </w:p>
        </w:tc>
        <w:tc>
          <w:tcPr>
            <w:tcW w:w="680" w:type="dxa"/>
            <w:vAlign w:val="bottom"/>
          </w:tcPr>
          <w:p>
            <w:pPr>
              <w:jc w:val="right"/>
              <w:ind w:right="14"/>
              <w:spacing w:after="0"/>
              <w:rPr>
                <w:sz w:val="20"/>
                <w:szCs w:val="20"/>
                <w:color w:val="auto"/>
              </w:rPr>
            </w:pPr>
            <w:r>
              <w:rPr>
                <w:rFonts w:ascii="Arial" w:cs="Arial" w:eastAsia="Arial" w:hAnsi="Arial"/>
                <w:sz w:val="18"/>
                <w:szCs w:val="18"/>
                <w:b w:val="1"/>
                <w:bCs w:val="1"/>
                <w:color w:val="auto"/>
              </w:rPr>
              <w:t>(24.1)</w:t>
            </w:r>
          </w:p>
        </w:tc>
        <w:tc>
          <w:tcPr>
            <w:tcW w:w="560" w:type="dxa"/>
            <w:vAlign w:val="bottom"/>
          </w:tcPr>
          <w:p>
            <w:pPr>
              <w:spacing w:after="0"/>
              <w:rPr>
                <w:sz w:val="20"/>
                <w:szCs w:val="20"/>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74.7</w:t>
            </w:r>
          </w:p>
        </w:tc>
      </w:tr>
    </w:tbl>
    <w:p>
      <w:pPr>
        <w:spacing w:after="0" w:line="183" w:lineRule="exact"/>
        <w:rPr>
          <w:sz w:val="20"/>
          <w:szCs w:val="20"/>
          <w:color w:val="auto"/>
        </w:rPr>
      </w:pPr>
    </w:p>
    <w:p>
      <w:pPr>
        <w:ind w:right="300" w:firstLine="648"/>
        <w:spacing w:after="0" w:line="264" w:lineRule="auto"/>
        <w:rPr>
          <w:sz w:val="20"/>
          <w:szCs w:val="20"/>
          <w:color w:val="auto"/>
        </w:rPr>
      </w:pPr>
      <w:r>
        <w:rPr>
          <w:rFonts w:ascii="Arial" w:cs="Arial" w:eastAsia="Arial" w:hAnsi="Arial"/>
          <w:sz w:val="18"/>
          <w:szCs w:val="18"/>
          <w:b w:val="1"/>
          <w:bCs w:val="1"/>
          <w:i w:val="1"/>
          <w:iCs w:val="1"/>
          <w:color w:val="auto"/>
        </w:rPr>
        <w:t xml:space="preserve">Chilean Legal Entity Merger. </w:t>
      </w:r>
      <w:r>
        <w:rPr>
          <w:rFonts w:ascii="Arial" w:cs="Arial" w:eastAsia="Arial" w:hAnsi="Arial"/>
          <w:sz w:val="18"/>
          <w:szCs w:val="18"/>
          <w:color w:val="auto"/>
        </w:rPr>
        <w:t>In January 2015, we received regulatory approval and executed upon the merger of two of our Chilean legal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entities. As a result of the merger, we recognized a $105.2 million benefit in net income available to common stockholders in first quarter 2015 to reflect a change in deferred tax balances related to the merged entity.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Fluctuations in Foreign Currency to U.S. Dollar Exchange Rates</w:t>
      </w:r>
    </w:p>
    <w:p>
      <w:pPr>
        <w:spacing w:after="0" w:line="229" w:lineRule="exact"/>
        <w:rPr>
          <w:sz w:val="20"/>
          <w:szCs w:val="20"/>
          <w:color w:val="auto"/>
        </w:rPr>
      </w:pPr>
    </w:p>
    <w:p>
      <w:pPr>
        <w:ind w:right="20" w:firstLine="648"/>
        <w:spacing w:after="0" w:line="286" w:lineRule="auto"/>
        <w:rPr>
          <w:sz w:val="20"/>
          <w:szCs w:val="20"/>
          <w:color w:val="auto"/>
        </w:rPr>
      </w:pPr>
      <w:r>
        <w:rPr>
          <w:rFonts w:ascii="Arial" w:cs="Arial" w:eastAsia="Arial" w:hAnsi="Arial"/>
          <w:sz w:val="17"/>
          <w:szCs w:val="17"/>
          <w:color w:val="auto"/>
        </w:rPr>
        <w:t>Fluctuations in foreign currency to U.S. dollar exchange rates for countries in which we have operations can affect reported financial results. In years when foreign currencies weaken against the U.S. dollar, translating foreign currencies into U.S. dollars results in fewer U.S. dollars to be reported. When foreign currencies strengthen, translating foreign currencies into U.S. dollars results in more U.S. dollars to be reported.</w:t>
      </w:r>
    </w:p>
    <w:p>
      <w:pPr>
        <w:spacing w:after="0" w:line="166" w:lineRule="exact"/>
        <w:rPr>
          <w:sz w:val="20"/>
          <w:szCs w:val="20"/>
          <w:color w:val="auto"/>
        </w:rPr>
      </w:pPr>
    </w:p>
    <w:p>
      <w:pPr>
        <w:ind w:right="120" w:firstLine="648"/>
        <w:spacing w:after="0" w:line="302" w:lineRule="auto"/>
        <w:rPr>
          <w:sz w:val="20"/>
          <w:szCs w:val="20"/>
          <w:color w:val="auto"/>
        </w:rPr>
      </w:pPr>
      <w:r>
        <w:rPr>
          <w:rFonts w:ascii="Arial" w:cs="Arial" w:eastAsia="Arial" w:hAnsi="Arial"/>
          <w:sz w:val="16"/>
          <w:szCs w:val="16"/>
          <w:color w:val="auto"/>
        </w:rPr>
        <w:t>Foreign currency exchange rate fluctuations create variances in our financial statement line items but have not had a material impact on our consolidated financial results. Principal International segment operating earnings were negatively impacted $10.5 million and $33.2 million for the three and nine months ended September 30, 2015, as a result of fluctuations in foreign currency to U.S. dollar exchange rates. For a discussion of our approaches to managing foreign currency exchange rate risk, see Item 3. “Quantitative and Qualitative Disclosures About Market Risk — Foreign Currency Risk.”</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 Plans</w:t>
      </w:r>
    </w:p>
    <w:p>
      <w:pPr>
        <w:spacing w:after="0" w:line="229" w:lineRule="exact"/>
        <w:rPr>
          <w:sz w:val="20"/>
          <w:szCs w:val="20"/>
          <w:color w:val="auto"/>
        </w:rPr>
      </w:pPr>
    </w:p>
    <w:p>
      <w:pPr>
        <w:ind w:right="440" w:firstLine="648"/>
        <w:spacing w:after="0" w:line="277" w:lineRule="auto"/>
        <w:rPr>
          <w:sz w:val="20"/>
          <w:szCs w:val="20"/>
          <w:color w:val="auto"/>
        </w:rPr>
      </w:pPr>
      <w:r>
        <w:rPr>
          <w:rFonts w:ascii="Arial" w:cs="Arial" w:eastAsia="Arial" w:hAnsi="Arial"/>
          <w:sz w:val="18"/>
          <w:szCs w:val="18"/>
          <w:color w:val="auto"/>
        </w:rPr>
        <w:t>For information related to our Stock-Based Compensation Plans, see Item 1. “Financial Statements, Notes to Unaudited Consolidated Financial Statements, Note 12, Stock-Based Compensation Plans.”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and Agent Benefits Expense</w:t>
      </w:r>
    </w:p>
    <w:p>
      <w:pPr>
        <w:spacing w:after="0" w:line="229" w:lineRule="exact"/>
        <w:rPr>
          <w:sz w:val="20"/>
          <w:szCs w:val="20"/>
          <w:color w:val="auto"/>
        </w:rPr>
      </w:pPr>
    </w:p>
    <w:p>
      <w:pPr>
        <w:ind w:right="160" w:firstLine="648"/>
        <w:spacing w:after="0" w:line="297" w:lineRule="auto"/>
        <w:rPr>
          <w:sz w:val="20"/>
          <w:szCs w:val="20"/>
          <w:color w:val="auto"/>
        </w:rPr>
      </w:pPr>
      <w:r>
        <w:rPr>
          <w:rFonts w:ascii="Arial" w:cs="Arial" w:eastAsia="Arial" w:hAnsi="Arial"/>
          <w:sz w:val="16"/>
          <w:szCs w:val="16"/>
          <w:color w:val="auto"/>
        </w:rPr>
        <w:t>The 2015 annual defined benefit pension expense for substantially all of our employees and certain agents is expected to be $123.3 million pre-tax, which is a $38.3 million increase from the 2014 pre-tax pension expense of $85.0 million. This increase is due to a decrease in the discount rate from 4.90% for 2014 to 4.00% for 2015 and a change in the mortality assumption. Offsetting these increases were a better than expected asset return in 2014 and an increase in the expected long-term return on plan assets to 7.20% for 2015 from 6.75% used in 2014. Pre-tax pension expense of $30.8 million and $92.5 million was reflected in the determination of net income for the three and nine months ended September 30, 2015, respectively.</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firstLine="648"/>
        <w:spacing w:after="0" w:line="293" w:lineRule="auto"/>
        <w:rPr>
          <w:sz w:val="20"/>
          <w:szCs w:val="20"/>
          <w:color w:val="auto"/>
        </w:rPr>
      </w:pPr>
      <w:r>
        <w:rPr>
          <w:rFonts w:ascii="Arial" w:cs="Arial" w:eastAsia="Arial" w:hAnsi="Arial"/>
          <w:sz w:val="16"/>
          <w:szCs w:val="16"/>
          <w:color w:val="auto"/>
        </w:rPr>
        <w:t xml:space="preserve">The 2015 annual other postemployment benefit (“OPEB”) plan expense (income) for employees and certain agents is expected to be $(44.7) million pre-tax, which is a $3.6 million decrease from the 2014 pre-tax OPEB income of $(48.3) million. The weighted average expected long-term return on plan assets used to develop the expense (income) in 2015 was </w:t>
      </w:r>
      <w:r>
        <w:rPr>
          <w:rFonts w:ascii="Arial" w:cs="Arial" w:eastAsia="Arial" w:hAnsi="Arial"/>
          <w:sz w:val="15"/>
          <w:szCs w:val="15"/>
          <w:color w:val="auto"/>
        </w:rPr>
        <w:t>5.36</w:t>
      </w:r>
      <w:r>
        <w:rPr>
          <w:rFonts w:ascii="Arial" w:cs="Arial" w:eastAsia="Arial" w:hAnsi="Arial"/>
          <w:sz w:val="16"/>
          <w:szCs w:val="16"/>
          <w:color w:val="auto"/>
        </w:rPr>
        <w:t>% which was based on weighted average expected long-term asset returns for the medical, life and long-term care plan. The discount rate used to develop the 2015 expense (income) decreased to 4.00%, down from 4.90% used in 2014. The mortality table was changed for the calculation of the OPEB liabilities as well, but it had little impact. Pre-tax expense (income) of $(11.3) million and $(33.6) million was reflected in the determination of net income for the three and nine months ended September 30, 2015, respectively.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Changes</w:t>
      </w:r>
    </w:p>
    <w:p>
      <w:pPr>
        <w:spacing w:after="0" w:line="229"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For recent accounting changes, see Item 1. “Financial Statements, Notes to Unaudited Consolidated Financial Statements, Note 1, Nature of Operations and Significant Accounting Policies” under the caption, “Recent Accounting Pronouncements.”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summary consolidated financial information for the periods indicated: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400" w:type="dxa"/>
            <w:vAlign w:val="bottom"/>
            <w:gridSpan w:val="6"/>
          </w:tcPr>
          <w:p>
            <w:pPr>
              <w:jc w:val="right"/>
              <w:ind w:right="640"/>
              <w:spacing w:after="0"/>
              <w:rPr>
                <w:sz w:val="20"/>
                <w:szCs w:val="20"/>
                <w:color w:val="auto"/>
              </w:rPr>
            </w:pPr>
            <w:r>
              <w:rPr>
                <w:rFonts w:ascii="Arial" w:cs="Arial" w:eastAsia="Arial" w:hAnsi="Arial"/>
                <w:sz w:val="14"/>
                <w:szCs w:val="14"/>
                <w:b w:val="1"/>
                <w:bCs w:val="1"/>
                <w:color w:val="auto"/>
                <w:w w:val="96"/>
              </w:rPr>
              <w:t>For the three months ended September 30,</w:t>
            </w:r>
          </w:p>
        </w:tc>
        <w:tc>
          <w:tcPr>
            <w:tcW w:w="240" w:type="dxa"/>
            <w:vAlign w:val="bottom"/>
          </w:tcPr>
          <w:p>
            <w:pPr>
              <w:spacing w:after="0"/>
              <w:rPr>
                <w:sz w:val="14"/>
                <w:szCs w:val="14"/>
                <w:color w:val="auto"/>
              </w:rPr>
            </w:pPr>
          </w:p>
        </w:tc>
        <w:tc>
          <w:tcPr>
            <w:tcW w:w="3140" w:type="dxa"/>
            <w:vAlign w:val="bottom"/>
            <w:gridSpan w:val="6"/>
          </w:tcPr>
          <w:p>
            <w:pPr>
              <w:jc w:val="right"/>
              <w:ind w:right="480"/>
              <w:spacing w:after="0"/>
              <w:rPr>
                <w:sz w:val="20"/>
                <w:szCs w:val="20"/>
                <w:color w:val="auto"/>
              </w:rPr>
            </w:pPr>
            <w:r>
              <w:rPr>
                <w:rFonts w:ascii="Arial" w:cs="Arial" w:eastAsia="Arial" w:hAnsi="Arial"/>
                <w:sz w:val="14"/>
                <w:szCs w:val="14"/>
                <w:b w:val="1"/>
                <w:bCs w:val="1"/>
                <w:color w:val="auto"/>
                <w:w w:val="94"/>
              </w:rPr>
              <w:t>For the nine months ended September 30,</w:t>
            </w:r>
          </w:p>
        </w:tc>
        <w:tc>
          <w:tcPr>
            <w:tcW w:w="0" w:type="dxa"/>
            <w:vAlign w:val="bottom"/>
          </w:tcPr>
          <w:p>
            <w:pPr>
              <w:spacing w:after="0"/>
              <w:rPr>
                <w:sz w:val="1"/>
                <w:szCs w:val="1"/>
                <w:color w:val="auto"/>
              </w:rPr>
            </w:pPr>
          </w:p>
        </w:tc>
      </w:tr>
      <w:tr>
        <w:trPr>
          <w:trHeight w:val="119"/>
        </w:trPr>
        <w:tc>
          <w:tcPr>
            <w:tcW w:w="41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vMerge w:val="restart"/>
          </w:tcPr>
          <w:p>
            <w:pPr>
              <w:jc w:val="right"/>
              <w:ind w:right="415"/>
              <w:spacing w:after="0"/>
              <w:rPr>
                <w:sz w:val="20"/>
                <w:szCs w:val="20"/>
                <w:color w:val="auto"/>
              </w:rPr>
            </w:pPr>
            <w:r>
              <w:rPr>
                <w:rFonts w:ascii="Arial" w:cs="Arial" w:eastAsia="Arial" w:hAnsi="Arial"/>
                <w:sz w:val="14"/>
                <w:szCs w:val="14"/>
                <w:b w:val="1"/>
                <w:bCs w:val="1"/>
                <w:color w:val="auto"/>
              </w:rPr>
              <w:t>2015</w:t>
            </w:r>
          </w:p>
        </w:tc>
        <w:tc>
          <w:tcPr>
            <w:tcW w:w="32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vMerge w:val="restart"/>
          </w:tcPr>
          <w:p>
            <w:pPr>
              <w:jc w:val="right"/>
              <w:ind w:right="393"/>
              <w:spacing w:after="0"/>
              <w:rPr>
                <w:sz w:val="20"/>
                <w:szCs w:val="20"/>
                <w:color w:val="auto"/>
              </w:rPr>
            </w:pPr>
            <w:r>
              <w:rPr>
                <w:rFonts w:ascii="Arial" w:cs="Arial" w:eastAsia="Arial" w:hAnsi="Arial"/>
                <w:sz w:val="14"/>
                <w:szCs w:val="14"/>
                <w:b w:val="1"/>
                <w:bCs w:val="1"/>
                <w:color w:val="auto"/>
              </w:rPr>
              <w:t>2014</w:t>
            </w:r>
          </w:p>
        </w:tc>
        <w:tc>
          <w:tcPr>
            <w:tcW w:w="24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right"/>
              <w:ind w:right="97"/>
              <w:spacing w:after="0" w:line="119" w:lineRule="exact"/>
              <w:rPr>
                <w:sz w:val="20"/>
                <w:szCs w:val="20"/>
                <w:color w:val="auto"/>
              </w:rPr>
            </w:pPr>
            <w:r>
              <w:rPr>
                <w:rFonts w:ascii="Arial" w:cs="Arial" w:eastAsia="Arial" w:hAnsi="Arial"/>
                <w:sz w:val="13"/>
                <w:szCs w:val="13"/>
                <w:b w:val="1"/>
                <w:bCs w:val="1"/>
                <w:color w:val="auto"/>
              </w:rPr>
              <w:t>Increase</w:t>
            </w:r>
          </w:p>
        </w:tc>
        <w:tc>
          <w:tcPr>
            <w:tcW w:w="30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vMerge w:val="restart"/>
          </w:tcPr>
          <w:p>
            <w:pPr>
              <w:jc w:val="right"/>
              <w:ind w:right="375"/>
              <w:spacing w:after="0"/>
              <w:rPr>
                <w:sz w:val="20"/>
                <w:szCs w:val="20"/>
                <w:color w:val="auto"/>
              </w:rPr>
            </w:pPr>
            <w:r>
              <w:rPr>
                <w:rFonts w:ascii="Arial" w:cs="Arial" w:eastAsia="Arial" w:hAnsi="Arial"/>
                <w:sz w:val="14"/>
                <w:szCs w:val="14"/>
                <w:b w:val="1"/>
                <w:bCs w:val="1"/>
                <w:color w:val="auto"/>
              </w:rPr>
              <w:t>2015</w:t>
            </w:r>
          </w:p>
        </w:tc>
        <w:tc>
          <w:tcPr>
            <w:tcW w:w="3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vMerge w:val="restart"/>
          </w:tcPr>
          <w:p>
            <w:pPr>
              <w:jc w:val="right"/>
              <w:ind w:right="353"/>
              <w:spacing w:after="0"/>
              <w:rPr>
                <w:sz w:val="20"/>
                <w:szCs w:val="20"/>
                <w:color w:val="auto"/>
              </w:rPr>
            </w:pPr>
            <w:r>
              <w:rPr>
                <w:rFonts w:ascii="Arial" w:cs="Arial" w:eastAsia="Arial" w:hAnsi="Arial"/>
                <w:sz w:val="14"/>
                <w:szCs w:val="14"/>
                <w:b w:val="1"/>
                <w:bCs w:val="1"/>
                <w:color w:val="auto"/>
              </w:rPr>
              <w:t>2014</w:t>
            </w:r>
          </w:p>
        </w:tc>
        <w:tc>
          <w:tcPr>
            <w:tcW w:w="26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right"/>
              <w:ind w:right="116"/>
              <w:spacing w:after="0" w:line="119" w:lineRule="exact"/>
              <w:rPr>
                <w:sz w:val="20"/>
                <w:szCs w:val="20"/>
                <w:color w:val="auto"/>
              </w:rPr>
            </w:pPr>
            <w:r>
              <w:rPr>
                <w:rFonts w:ascii="Arial" w:cs="Arial" w:eastAsia="Arial" w:hAnsi="Arial"/>
                <w:sz w:val="13"/>
                <w:szCs w:val="13"/>
                <w:b w:val="1"/>
                <w:bCs w:val="1"/>
                <w:color w:val="auto"/>
              </w:rPr>
              <w:t>Increase</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88"/>
              </w:rPr>
              <w:t>(decrease)</w:t>
            </w:r>
          </w:p>
        </w:tc>
        <w:tc>
          <w:tcPr>
            <w:tcW w:w="2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34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42"/>
        </w:trPr>
        <w:tc>
          <w:tcPr>
            <w:tcW w:w="4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32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80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200"/>
              <w:spacing w:after="0"/>
              <w:rPr>
                <w:sz w:val="20"/>
                <w:szCs w:val="20"/>
                <w:color w:val="auto"/>
              </w:rPr>
            </w:pPr>
            <w:r>
              <w:rPr>
                <w:rFonts w:ascii="Arial" w:cs="Arial" w:eastAsia="Arial" w:hAnsi="Arial"/>
                <w:sz w:val="18"/>
                <w:szCs w:val="18"/>
                <w:color w:val="auto"/>
              </w:rPr>
              <w:t>Premiums and other considerations</w:t>
            </w:r>
          </w:p>
        </w:tc>
        <w:tc>
          <w:tcPr>
            <w:tcW w:w="46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900" w:type="dxa"/>
            <w:vAlign w:val="bottom"/>
          </w:tcPr>
          <w:p>
            <w:pPr>
              <w:jc w:val="right"/>
              <w:ind w:right="95"/>
              <w:spacing w:after="0"/>
              <w:rPr>
                <w:sz w:val="20"/>
                <w:szCs w:val="20"/>
                <w:color w:val="auto"/>
              </w:rPr>
            </w:pPr>
            <w:r>
              <w:rPr>
                <w:rFonts w:ascii="Arial" w:cs="Arial" w:eastAsia="Arial" w:hAnsi="Arial"/>
                <w:sz w:val="18"/>
                <w:szCs w:val="18"/>
                <w:b w:val="1"/>
                <w:bCs w:val="1"/>
                <w:color w:val="auto"/>
              </w:rPr>
              <w:t>1,557.1</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73"/>
              <w:spacing w:after="0"/>
              <w:rPr>
                <w:sz w:val="20"/>
                <w:szCs w:val="20"/>
                <w:color w:val="auto"/>
              </w:rPr>
            </w:pPr>
            <w:r>
              <w:rPr>
                <w:rFonts w:ascii="Arial" w:cs="Arial" w:eastAsia="Arial" w:hAnsi="Arial"/>
                <w:sz w:val="18"/>
                <w:szCs w:val="18"/>
                <w:color w:val="auto"/>
              </w:rPr>
              <w:t>875.8</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681.3</w:t>
            </w:r>
          </w:p>
        </w:tc>
        <w:tc>
          <w:tcPr>
            <w:tcW w:w="240" w:type="dxa"/>
            <w:vAlign w:val="bottom"/>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00" w:type="dxa"/>
            <w:vAlign w:val="bottom"/>
          </w:tcPr>
          <w:p>
            <w:pPr>
              <w:jc w:val="right"/>
              <w:ind w:right="55"/>
              <w:spacing w:after="0"/>
              <w:rPr>
                <w:sz w:val="20"/>
                <w:szCs w:val="20"/>
                <w:color w:val="auto"/>
              </w:rPr>
            </w:pPr>
            <w:r>
              <w:rPr>
                <w:rFonts w:ascii="Arial" w:cs="Arial" w:eastAsia="Arial" w:hAnsi="Arial"/>
                <w:sz w:val="18"/>
                <w:szCs w:val="18"/>
                <w:b w:val="1"/>
                <w:bCs w:val="1"/>
                <w:color w:val="auto"/>
              </w:rPr>
              <w:t>4,155.9</w:t>
            </w:r>
          </w:p>
        </w:tc>
        <w:tc>
          <w:tcPr>
            <w:tcW w:w="3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53"/>
              <w:spacing w:after="0"/>
              <w:rPr>
                <w:sz w:val="20"/>
                <w:szCs w:val="20"/>
                <w:color w:val="auto"/>
              </w:rPr>
            </w:pPr>
            <w:r>
              <w:rPr>
                <w:rFonts w:ascii="Arial" w:cs="Arial" w:eastAsia="Arial" w:hAnsi="Arial"/>
                <w:sz w:val="18"/>
                <w:szCs w:val="18"/>
                <w:color w:val="auto"/>
              </w:rPr>
              <w:t>2,514.8</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1,641.1</w:t>
            </w:r>
          </w:p>
        </w:tc>
        <w:tc>
          <w:tcPr>
            <w:tcW w:w="0" w:type="dxa"/>
            <w:vAlign w:val="bottom"/>
          </w:tcPr>
          <w:p>
            <w:pPr>
              <w:spacing w:after="0"/>
              <w:rPr>
                <w:sz w:val="1"/>
                <w:szCs w:val="1"/>
                <w:color w:val="auto"/>
              </w:rPr>
            </w:pPr>
          </w:p>
        </w:tc>
      </w:tr>
      <w:tr>
        <w:trPr>
          <w:trHeight w:val="216"/>
        </w:trPr>
        <w:tc>
          <w:tcPr>
            <w:tcW w:w="41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Fees and other revenues</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95"/>
              <w:spacing w:after="0"/>
              <w:rPr>
                <w:sz w:val="20"/>
                <w:szCs w:val="20"/>
                <w:color w:val="auto"/>
              </w:rPr>
            </w:pPr>
            <w:r>
              <w:rPr>
                <w:rFonts w:ascii="Arial" w:cs="Arial" w:eastAsia="Arial" w:hAnsi="Arial"/>
                <w:sz w:val="18"/>
                <w:szCs w:val="18"/>
                <w:b w:val="1"/>
                <w:bCs w:val="1"/>
                <w:color w:val="auto"/>
              </w:rPr>
              <w:t>891.9</w:t>
            </w:r>
          </w:p>
        </w:tc>
        <w:tc>
          <w:tcPr>
            <w:tcW w:w="32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73"/>
              <w:spacing w:after="0"/>
              <w:rPr>
                <w:sz w:val="20"/>
                <w:szCs w:val="20"/>
                <w:color w:val="auto"/>
              </w:rPr>
            </w:pPr>
            <w:r>
              <w:rPr>
                <w:rFonts w:ascii="Arial" w:cs="Arial" w:eastAsia="Arial" w:hAnsi="Arial"/>
                <w:sz w:val="18"/>
                <w:szCs w:val="18"/>
                <w:color w:val="auto"/>
              </w:rPr>
              <w:t>884.5</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7.4</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55"/>
              <w:spacing w:after="0"/>
              <w:rPr>
                <w:sz w:val="20"/>
                <w:szCs w:val="20"/>
                <w:color w:val="auto"/>
              </w:rPr>
            </w:pPr>
            <w:r>
              <w:rPr>
                <w:rFonts w:ascii="Arial" w:cs="Arial" w:eastAsia="Arial" w:hAnsi="Arial"/>
                <w:sz w:val="18"/>
                <w:szCs w:val="18"/>
                <w:b w:val="1"/>
                <w:bCs w:val="1"/>
                <w:color w:val="auto"/>
              </w:rPr>
              <w:t>2,744.2</w:t>
            </w: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53"/>
              <w:spacing w:after="0"/>
              <w:rPr>
                <w:sz w:val="20"/>
                <w:szCs w:val="20"/>
                <w:color w:val="auto"/>
              </w:rPr>
            </w:pPr>
            <w:r>
              <w:rPr>
                <w:rFonts w:ascii="Arial" w:cs="Arial" w:eastAsia="Arial" w:hAnsi="Arial"/>
                <w:sz w:val="18"/>
                <w:szCs w:val="18"/>
                <w:color w:val="auto"/>
              </w:rPr>
              <w:t>2,569.7</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174.5</w:t>
            </w:r>
          </w:p>
        </w:tc>
        <w:tc>
          <w:tcPr>
            <w:tcW w:w="0" w:type="dxa"/>
            <w:vAlign w:val="bottom"/>
          </w:tcPr>
          <w:p>
            <w:pPr>
              <w:spacing w:after="0"/>
              <w:rPr>
                <w:sz w:val="1"/>
                <w:szCs w:val="1"/>
                <w:color w:val="auto"/>
              </w:rPr>
            </w:pPr>
          </w:p>
        </w:tc>
      </w:tr>
      <w:tr>
        <w:trPr>
          <w:trHeight w:val="216"/>
        </w:trPr>
        <w:tc>
          <w:tcPr>
            <w:tcW w:w="4180" w:type="dxa"/>
            <w:vAlign w:val="bottom"/>
          </w:tcPr>
          <w:p>
            <w:pPr>
              <w:ind w:left="200"/>
              <w:spacing w:after="0"/>
              <w:rPr>
                <w:sz w:val="20"/>
                <w:szCs w:val="20"/>
                <w:color w:val="auto"/>
              </w:rPr>
            </w:pPr>
            <w:r>
              <w:rPr>
                <w:rFonts w:ascii="Arial" w:cs="Arial" w:eastAsia="Arial" w:hAnsi="Arial"/>
                <w:sz w:val="18"/>
                <w:szCs w:val="18"/>
                <w:color w:val="auto"/>
              </w:rPr>
              <w:t>Net investment income</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95"/>
              <w:spacing w:after="0"/>
              <w:rPr>
                <w:sz w:val="20"/>
                <w:szCs w:val="20"/>
                <w:color w:val="auto"/>
              </w:rPr>
            </w:pPr>
            <w:r>
              <w:rPr>
                <w:rFonts w:ascii="Arial" w:cs="Arial" w:eastAsia="Arial" w:hAnsi="Arial"/>
                <w:sz w:val="18"/>
                <w:szCs w:val="18"/>
                <w:b w:val="1"/>
                <w:bCs w:val="1"/>
                <w:color w:val="auto"/>
              </w:rPr>
              <w:t>753.5</w:t>
            </w:r>
          </w:p>
        </w:tc>
        <w:tc>
          <w:tcPr>
            <w:tcW w:w="320" w:type="dxa"/>
            <w:vAlign w:val="bottom"/>
          </w:tcPr>
          <w:p>
            <w:pPr>
              <w:spacing w:after="0"/>
              <w:rPr>
                <w:sz w:val="18"/>
                <w:szCs w:val="18"/>
                <w:color w:val="auto"/>
              </w:rPr>
            </w:pPr>
          </w:p>
        </w:tc>
        <w:tc>
          <w:tcPr>
            <w:tcW w:w="860" w:type="dxa"/>
            <w:vAlign w:val="bottom"/>
          </w:tcPr>
          <w:p>
            <w:pPr>
              <w:jc w:val="right"/>
              <w:ind w:right="73"/>
              <w:spacing w:after="0"/>
              <w:rPr>
                <w:sz w:val="20"/>
                <w:szCs w:val="20"/>
                <w:color w:val="auto"/>
              </w:rPr>
            </w:pPr>
            <w:r>
              <w:rPr>
                <w:rFonts w:ascii="Arial" w:cs="Arial" w:eastAsia="Arial" w:hAnsi="Arial"/>
                <w:sz w:val="18"/>
                <w:szCs w:val="18"/>
                <w:color w:val="auto"/>
              </w:rPr>
              <w:t>770.4</w:t>
            </w:r>
          </w:p>
        </w:tc>
        <w:tc>
          <w:tcPr>
            <w:tcW w:w="24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(16.9)</w:t>
            </w:r>
          </w:p>
        </w:tc>
        <w:tc>
          <w:tcPr>
            <w:tcW w:w="240" w:type="dxa"/>
            <w:vAlign w:val="bottom"/>
          </w:tcPr>
          <w:p>
            <w:pPr>
              <w:spacing w:after="0"/>
              <w:rPr>
                <w:sz w:val="18"/>
                <w:szCs w:val="18"/>
                <w:color w:val="auto"/>
              </w:rPr>
            </w:pPr>
          </w:p>
        </w:tc>
        <w:tc>
          <w:tcPr>
            <w:tcW w:w="800" w:type="dxa"/>
            <w:vAlign w:val="bottom"/>
          </w:tcPr>
          <w:p>
            <w:pPr>
              <w:jc w:val="right"/>
              <w:ind w:right="55"/>
              <w:spacing w:after="0"/>
              <w:rPr>
                <w:sz w:val="20"/>
                <w:szCs w:val="20"/>
                <w:color w:val="auto"/>
              </w:rPr>
            </w:pPr>
            <w:r>
              <w:rPr>
                <w:rFonts w:ascii="Arial" w:cs="Arial" w:eastAsia="Arial" w:hAnsi="Arial"/>
                <w:sz w:val="18"/>
                <w:szCs w:val="18"/>
                <w:b w:val="1"/>
                <w:bCs w:val="1"/>
                <w:color w:val="auto"/>
              </w:rPr>
              <w:t>2,267.3</w:t>
            </w:r>
          </w:p>
        </w:tc>
        <w:tc>
          <w:tcPr>
            <w:tcW w:w="340" w:type="dxa"/>
            <w:vAlign w:val="bottom"/>
          </w:tcPr>
          <w:p>
            <w:pPr>
              <w:spacing w:after="0"/>
              <w:rPr>
                <w:sz w:val="18"/>
                <w:szCs w:val="18"/>
                <w:color w:val="auto"/>
              </w:rPr>
            </w:pPr>
          </w:p>
        </w:tc>
        <w:tc>
          <w:tcPr>
            <w:tcW w:w="840" w:type="dxa"/>
            <w:vAlign w:val="bottom"/>
          </w:tcPr>
          <w:p>
            <w:pPr>
              <w:jc w:val="right"/>
              <w:ind w:right="53"/>
              <w:spacing w:after="0"/>
              <w:rPr>
                <w:sz w:val="20"/>
                <w:szCs w:val="20"/>
                <w:color w:val="auto"/>
              </w:rPr>
            </w:pPr>
            <w:r>
              <w:rPr>
                <w:rFonts w:ascii="Arial" w:cs="Arial" w:eastAsia="Arial" w:hAnsi="Arial"/>
                <w:sz w:val="18"/>
                <w:szCs w:val="18"/>
                <w:color w:val="auto"/>
              </w:rPr>
              <w:t>2,444.1</w:t>
            </w:r>
          </w:p>
        </w:tc>
        <w:tc>
          <w:tcPr>
            <w:tcW w:w="26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(176.8)</w:t>
            </w:r>
          </w:p>
        </w:tc>
        <w:tc>
          <w:tcPr>
            <w:tcW w:w="0" w:type="dxa"/>
            <w:vAlign w:val="bottom"/>
          </w:tcPr>
          <w:p>
            <w:pPr>
              <w:spacing w:after="0"/>
              <w:rPr>
                <w:sz w:val="1"/>
                <w:szCs w:val="1"/>
                <w:color w:val="auto"/>
              </w:rPr>
            </w:pPr>
          </w:p>
        </w:tc>
      </w:tr>
      <w:tr>
        <w:trPr>
          <w:trHeight w:val="202"/>
        </w:trPr>
        <w:tc>
          <w:tcPr>
            <w:tcW w:w="418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rPr>
              <w:t>Net realized capital gains (losses), excluding</w:t>
            </w: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ind w:right="95"/>
              <w:spacing w:after="0"/>
              <w:rPr>
                <w:sz w:val="20"/>
                <w:szCs w:val="20"/>
                <w:color w:val="auto"/>
              </w:rPr>
            </w:pPr>
            <w:r>
              <w:rPr>
                <w:rFonts w:ascii="Arial" w:cs="Arial" w:eastAsia="Arial" w:hAnsi="Arial"/>
                <w:sz w:val="18"/>
                <w:szCs w:val="18"/>
                <w:b w:val="1"/>
                <w:bCs w:val="1"/>
                <w:color w:val="auto"/>
              </w:rPr>
              <w:t>46.0</w:t>
            </w:r>
          </w:p>
        </w:tc>
        <w:tc>
          <w:tcPr>
            <w:tcW w:w="3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0" w:type="dxa"/>
            <w:vAlign w:val="bottom"/>
            <w:vMerge w:val="restart"/>
            <w:shd w:val="clear" w:color="auto" w:fill="CCEEFF"/>
          </w:tcPr>
          <w:p>
            <w:pPr>
              <w:jc w:val="right"/>
              <w:ind w:right="55"/>
              <w:spacing w:after="0"/>
              <w:rPr>
                <w:sz w:val="20"/>
                <w:szCs w:val="20"/>
                <w:color w:val="auto"/>
              </w:rPr>
            </w:pPr>
            <w:r>
              <w:rPr>
                <w:rFonts w:ascii="Arial" w:cs="Arial" w:eastAsia="Arial" w:hAnsi="Arial"/>
                <w:sz w:val="18"/>
                <w:szCs w:val="18"/>
                <w:b w:val="1"/>
                <w:bCs w:val="1"/>
                <w:color w:val="auto"/>
              </w:rPr>
              <w:t>11.1</w:t>
            </w:r>
          </w:p>
        </w:tc>
        <w:tc>
          <w:tcPr>
            <w:tcW w:w="3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8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6"/>
              </w:rPr>
              <w:t>impairment losses on available-for-sale securities</w:t>
            </w:r>
          </w:p>
        </w:tc>
        <w:tc>
          <w:tcPr>
            <w:tcW w:w="2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900" w:type="dxa"/>
            <w:vAlign w:val="bottom"/>
            <w:vMerge w:val="continue"/>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86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(24.5)</w:t>
            </w:r>
          </w:p>
        </w:tc>
        <w:tc>
          <w:tcPr>
            <w:tcW w:w="2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70.5</w:t>
            </w:r>
          </w:p>
        </w:tc>
        <w:tc>
          <w:tcPr>
            <w:tcW w:w="240" w:type="dxa"/>
            <w:vAlign w:val="bottom"/>
            <w:shd w:val="clear" w:color="auto" w:fill="CCEEFF"/>
          </w:tcPr>
          <w:p>
            <w:pPr>
              <w:spacing w:after="0"/>
              <w:rPr>
                <w:sz w:val="20"/>
                <w:szCs w:val="20"/>
                <w:color w:val="auto"/>
              </w:rPr>
            </w:pPr>
          </w:p>
        </w:tc>
        <w:tc>
          <w:tcPr>
            <w:tcW w:w="800" w:type="dxa"/>
            <w:vAlign w:val="bottom"/>
            <w:vMerge w:val="continue"/>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840" w:type="dxa"/>
            <w:vAlign w:val="bottom"/>
            <w:shd w:val="clear" w:color="auto" w:fill="CCEEFF"/>
          </w:tcPr>
          <w:p>
            <w:pPr>
              <w:jc w:val="right"/>
              <w:ind w:right="53"/>
              <w:spacing w:after="0"/>
              <w:rPr>
                <w:sz w:val="20"/>
                <w:szCs w:val="20"/>
                <w:color w:val="auto"/>
              </w:rPr>
            </w:pPr>
            <w:r>
              <w:rPr>
                <w:rFonts w:ascii="Arial" w:cs="Arial" w:eastAsia="Arial" w:hAnsi="Arial"/>
                <w:sz w:val="18"/>
                <w:szCs w:val="18"/>
                <w:color w:val="auto"/>
              </w:rPr>
              <w:t>105.0</w:t>
            </w:r>
          </w:p>
        </w:tc>
        <w:tc>
          <w:tcPr>
            <w:tcW w:w="26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(93.9)</w:t>
            </w:r>
          </w:p>
        </w:tc>
        <w:tc>
          <w:tcPr>
            <w:tcW w:w="0" w:type="dxa"/>
            <w:vAlign w:val="bottom"/>
          </w:tcPr>
          <w:p>
            <w:pPr>
              <w:spacing w:after="0"/>
              <w:rPr>
                <w:sz w:val="1"/>
                <w:szCs w:val="1"/>
                <w:color w:val="auto"/>
              </w:rPr>
            </w:pPr>
          </w:p>
        </w:tc>
      </w:tr>
      <w:tr>
        <w:trPr>
          <w:trHeight w:val="234"/>
        </w:trPr>
        <w:tc>
          <w:tcPr>
            <w:tcW w:w="4180" w:type="dxa"/>
            <w:vAlign w:val="bottom"/>
          </w:tcPr>
          <w:p>
            <w:pPr>
              <w:ind w:left="200"/>
              <w:spacing w:after="0"/>
              <w:rPr>
                <w:sz w:val="20"/>
                <w:szCs w:val="20"/>
                <w:color w:val="auto"/>
              </w:rPr>
            </w:pPr>
            <w:r>
              <w:rPr>
                <w:rFonts w:ascii="Arial" w:cs="Arial" w:eastAsia="Arial" w:hAnsi="Arial"/>
                <w:sz w:val="18"/>
                <w:szCs w:val="18"/>
                <w:color w:val="auto"/>
              </w:rPr>
              <w:t>Net other-than-temporary impairment (losses)</w:t>
            </w: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jc w:val="right"/>
              <w:ind w:right="35"/>
              <w:spacing w:after="0"/>
              <w:rPr>
                <w:sz w:val="20"/>
                <w:szCs w:val="20"/>
                <w:color w:val="auto"/>
              </w:rPr>
            </w:pPr>
            <w:r>
              <w:rPr>
                <w:rFonts w:ascii="Arial" w:cs="Arial" w:eastAsia="Arial" w:hAnsi="Arial"/>
                <w:sz w:val="18"/>
                <w:szCs w:val="18"/>
                <w:b w:val="1"/>
                <w:bCs w:val="1"/>
                <w:color w:val="auto"/>
              </w:rPr>
              <w:t>(6.5)</w:t>
            </w:r>
          </w:p>
        </w:tc>
        <w:tc>
          <w:tcPr>
            <w:tcW w:w="320" w:type="dxa"/>
            <w:vAlign w:val="bottom"/>
          </w:tcPr>
          <w:p>
            <w:pPr>
              <w:spacing w:after="0"/>
              <w:rPr>
                <w:sz w:val="20"/>
                <w:szCs w:val="20"/>
                <w:color w:val="auto"/>
              </w:rPr>
            </w:pPr>
          </w:p>
        </w:tc>
        <w:tc>
          <w:tcPr>
            <w:tcW w:w="860" w:type="dxa"/>
            <w:vAlign w:val="bottom"/>
          </w:tcPr>
          <w:p>
            <w:pPr>
              <w:jc w:val="right"/>
              <w:ind w:right="13"/>
              <w:spacing w:after="0"/>
              <w:rPr>
                <w:sz w:val="20"/>
                <w:szCs w:val="20"/>
                <w:color w:val="auto"/>
              </w:rPr>
            </w:pPr>
            <w:r>
              <w:rPr>
                <w:rFonts w:ascii="Arial" w:cs="Arial" w:eastAsia="Arial" w:hAnsi="Arial"/>
                <w:sz w:val="18"/>
                <w:szCs w:val="18"/>
                <w:color w:val="auto"/>
              </w:rPr>
              <w:t>(7.3)</w:t>
            </w:r>
          </w:p>
        </w:tc>
        <w:tc>
          <w:tcPr>
            <w:tcW w:w="240" w:type="dxa"/>
            <w:vAlign w:val="bottom"/>
          </w:tcPr>
          <w:p>
            <w:pPr>
              <w:spacing w:after="0"/>
              <w:rPr>
                <w:sz w:val="20"/>
                <w:szCs w:val="20"/>
                <w:color w:val="auto"/>
              </w:rPr>
            </w:pP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0.8</w:t>
            </w:r>
          </w:p>
        </w:tc>
        <w:tc>
          <w:tcPr>
            <w:tcW w:w="240" w:type="dxa"/>
            <w:vAlign w:val="bottom"/>
          </w:tcPr>
          <w:p>
            <w:pPr>
              <w:spacing w:after="0"/>
              <w:rPr>
                <w:sz w:val="20"/>
                <w:szCs w:val="20"/>
                <w:color w:val="auto"/>
              </w:rPr>
            </w:pPr>
          </w:p>
        </w:tc>
        <w:tc>
          <w:tcPr>
            <w:tcW w:w="800" w:type="dxa"/>
            <w:vAlign w:val="bottom"/>
          </w:tcPr>
          <w:p>
            <w:pPr>
              <w:jc w:val="right"/>
              <w:ind w:right="55"/>
              <w:spacing w:after="0"/>
              <w:rPr>
                <w:sz w:val="20"/>
                <w:szCs w:val="20"/>
                <w:color w:val="auto"/>
              </w:rPr>
            </w:pPr>
            <w:r>
              <w:rPr>
                <w:rFonts w:ascii="Arial" w:cs="Arial" w:eastAsia="Arial" w:hAnsi="Arial"/>
                <w:sz w:val="18"/>
                <w:szCs w:val="18"/>
                <w:b w:val="1"/>
                <w:bCs w:val="1"/>
                <w:color w:val="auto"/>
              </w:rPr>
              <w:t>6.9</w:t>
            </w:r>
          </w:p>
        </w:tc>
        <w:tc>
          <w:tcPr>
            <w:tcW w:w="340" w:type="dxa"/>
            <w:vAlign w:val="bottom"/>
          </w:tcPr>
          <w:p>
            <w:pPr>
              <w:spacing w:after="0"/>
              <w:rPr>
                <w:sz w:val="20"/>
                <w:szCs w:val="20"/>
                <w:color w:val="auto"/>
              </w:rPr>
            </w:pPr>
          </w:p>
        </w:tc>
        <w:tc>
          <w:tcPr>
            <w:tcW w:w="840" w:type="dxa"/>
            <w:vAlign w:val="bottom"/>
          </w:tcPr>
          <w:p>
            <w:pPr>
              <w:jc w:val="right"/>
              <w:ind w:right="53"/>
              <w:spacing w:after="0"/>
              <w:rPr>
                <w:sz w:val="20"/>
                <w:szCs w:val="20"/>
                <w:color w:val="auto"/>
              </w:rPr>
            </w:pPr>
            <w:r>
              <w:rPr>
                <w:rFonts w:ascii="Arial" w:cs="Arial" w:eastAsia="Arial" w:hAnsi="Arial"/>
                <w:sz w:val="18"/>
                <w:szCs w:val="18"/>
                <w:color w:val="auto"/>
              </w:rPr>
              <w:t>18.5</w:t>
            </w:r>
          </w:p>
        </w:tc>
        <w:tc>
          <w:tcPr>
            <w:tcW w:w="260" w:type="dxa"/>
            <w:vAlign w:val="bottom"/>
          </w:tcPr>
          <w:p>
            <w:pPr>
              <w:spacing w:after="0"/>
              <w:rPr>
                <w:sz w:val="20"/>
                <w:szCs w:val="20"/>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0" w:gutter="0" w:footer="0" w:header="0"/>
        </w:sectPr>
      </w:pPr>
    </w:p>
    <w:bookmarkStart w:id="66" w:name="page67"/>
    <w:bookmarkEnd w:id="6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60" w:type="dxa"/>
            <w:vAlign w:val="bottom"/>
          </w:tcPr>
          <w:p>
            <w:pPr>
              <w:ind w:left="380"/>
              <w:spacing w:after="0"/>
              <w:rPr>
                <w:sz w:val="20"/>
                <w:szCs w:val="20"/>
                <w:color w:val="auto"/>
              </w:rPr>
            </w:pPr>
            <w:r>
              <w:rPr>
                <w:rFonts w:ascii="Arial" w:cs="Arial" w:eastAsia="Arial" w:hAnsi="Arial"/>
                <w:sz w:val="18"/>
                <w:szCs w:val="18"/>
                <w:color w:val="auto"/>
              </w:rPr>
              <w:t>recoveries on available-for-sale securities</w:t>
            </w: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426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rPr>
              <w:t>Other-than-temporary impairment losses on fixed</w:t>
            </w:r>
          </w:p>
        </w:tc>
        <w:tc>
          <w:tcPr>
            <w:tcW w:w="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4"/>
              </w:rPr>
              <w:t>maturities, available-for-sale reclassified from other</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(28.0)</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2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comprehensive income</w:t>
            </w:r>
          </w:p>
        </w:tc>
        <w:tc>
          <w:tcPr>
            <w:tcW w:w="1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(14.6)</w:t>
            </w:r>
          </w:p>
        </w:tc>
        <w:tc>
          <w:tcPr>
            <w:tcW w:w="12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13.5</w:t>
            </w:r>
          </w:p>
        </w:tc>
        <w:tc>
          <w:tcPr>
            <w:tcW w:w="220" w:type="dxa"/>
            <w:vAlign w:val="bottom"/>
            <w:shd w:val="clear" w:color="auto" w:fill="CCEEFF"/>
          </w:tcPr>
          <w:p>
            <w:pPr>
              <w:spacing w:after="0"/>
              <w:rPr>
                <w:sz w:val="20"/>
                <w:szCs w:val="20"/>
                <w:color w:val="auto"/>
              </w:rPr>
            </w:pPr>
          </w:p>
        </w:tc>
        <w:tc>
          <w:tcPr>
            <w:tcW w:w="840" w:type="dxa"/>
            <w:vAlign w:val="bottom"/>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(82.5)</w:t>
            </w: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260" w:type="dxa"/>
            <w:vAlign w:val="bottom"/>
            <w:vMerge w:val="restart"/>
          </w:tcPr>
          <w:p>
            <w:pPr>
              <w:ind w:left="200"/>
              <w:spacing w:after="0"/>
              <w:rPr>
                <w:sz w:val="20"/>
                <w:szCs w:val="20"/>
                <w:color w:val="auto"/>
              </w:rPr>
            </w:pPr>
            <w:r>
              <w:rPr>
                <w:rFonts w:ascii="Arial" w:cs="Arial" w:eastAsia="Arial" w:hAnsi="Arial"/>
                <w:sz w:val="18"/>
                <w:szCs w:val="18"/>
                <w:color w:val="auto"/>
                <w:w w:val="94"/>
              </w:rPr>
              <w:t>Net impairment losses on available-for-sale securities</w:t>
            </w: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26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(7.6)</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(21.9)</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14.3</w:t>
            </w:r>
          </w:p>
        </w:tc>
        <w:tc>
          <w:tcPr>
            <w:tcW w:w="30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(21.1)</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(64.0)</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42.9</w:t>
            </w:r>
          </w:p>
        </w:tc>
        <w:tc>
          <w:tcPr>
            <w:tcW w:w="10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60" w:type="dxa"/>
            <w:vAlign w:val="bottom"/>
            <w:vMerge w:val="restart"/>
            <w:shd w:val="clear" w:color="auto" w:fill="CCEEFF"/>
          </w:tcPr>
          <w:p>
            <w:pPr>
              <w:ind w:left="200"/>
              <w:spacing w:after="0"/>
              <w:rPr>
                <w:sz w:val="20"/>
                <w:szCs w:val="20"/>
                <w:color w:val="auto"/>
              </w:rPr>
            </w:pPr>
            <w:r>
              <w:rPr>
                <w:rFonts w:ascii="Arial" w:cs="Arial" w:eastAsia="Arial" w:hAnsi="Arial"/>
                <w:sz w:val="18"/>
                <w:szCs w:val="18"/>
                <w:color w:val="auto"/>
              </w:rPr>
              <w:t>Net realized capital gains (losses)</w:t>
            </w:r>
          </w:p>
        </w:tc>
        <w:tc>
          <w:tcPr>
            <w:tcW w:w="16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00" w:type="dxa"/>
            <w:vAlign w:val="bottom"/>
            <w:vMerge w:val="restart"/>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26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38.4</w:t>
            </w:r>
          </w:p>
        </w:tc>
        <w:tc>
          <w:tcPr>
            <w:tcW w:w="16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(46.4)</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84.8</w:t>
            </w:r>
          </w:p>
        </w:tc>
        <w:tc>
          <w:tcPr>
            <w:tcW w:w="30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(10.0)</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41.0</w:t>
            </w:r>
          </w:p>
        </w:tc>
        <w:tc>
          <w:tcPr>
            <w:tcW w:w="1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60" w:type="dxa"/>
            <w:vAlign w:val="bottom"/>
          </w:tcPr>
          <w:p>
            <w:pPr>
              <w:ind w:left="380"/>
              <w:spacing w:after="0"/>
              <w:rPr>
                <w:sz w:val="20"/>
                <w:szCs w:val="20"/>
                <w:color w:val="auto"/>
              </w:rPr>
            </w:pPr>
            <w:r>
              <w:rPr>
                <w:rFonts w:ascii="Arial" w:cs="Arial" w:eastAsia="Arial" w:hAnsi="Arial"/>
                <w:sz w:val="18"/>
                <w:szCs w:val="18"/>
                <w:color w:val="auto"/>
              </w:rPr>
              <w:t>Total revenues</w:t>
            </w:r>
          </w:p>
        </w:tc>
        <w:tc>
          <w:tcPr>
            <w:tcW w:w="16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3,240.9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2,484.3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756.6</w:t>
            </w:r>
          </w:p>
        </w:tc>
        <w:tc>
          <w:tcPr>
            <w:tcW w:w="3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9,157.4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7,569.6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1,587.8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tcPr>
          <w:p>
            <w:pPr>
              <w:ind w:left="200"/>
              <w:spacing w:after="0"/>
              <w:rPr>
                <w:sz w:val="20"/>
                <w:szCs w:val="20"/>
                <w:color w:val="auto"/>
              </w:rPr>
            </w:pPr>
            <w:r>
              <w:rPr>
                <w:rFonts w:ascii="Arial" w:cs="Arial" w:eastAsia="Arial" w:hAnsi="Arial"/>
                <w:sz w:val="18"/>
                <w:szCs w:val="18"/>
                <w:color w:val="auto"/>
              </w:rPr>
              <w:t>Benefits, claims and settlement expenses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1,869.6</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1,113.8</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755.8</w:t>
            </w: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5,160.5</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3,609.7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1,550.8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Dividends to policyholders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40.7</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44.2</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(3.5)</w:t>
            </w: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123.5</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134.5</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tcPr>
          <w:p>
            <w:pPr>
              <w:ind w:left="200"/>
              <w:spacing w:after="0"/>
              <w:rPr>
                <w:sz w:val="20"/>
                <w:szCs w:val="20"/>
                <w:color w:val="auto"/>
              </w:rPr>
            </w:pPr>
            <w:r>
              <w:rPr>
                <w:rFonts w:ascii="Arial" w:cs="Arial" w:eastAsia="Arial" w:hAnsi="Arial"/>
                <w:sz w:val="18"/>
                <w:szCs w:val="18"/>
                <w:color w:val="auto"/>
              </w:rPr>
              <w:t>Operating expenses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961.4</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932.5</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28.9</w:t>
            </w: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2,751.6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2,647.7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103.9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60" w:type="dxa"/>
            <w:vAlign w:val="bottom"/>
            <w:tcBorders>
              <w:top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expenses</w:t>
            </w:r>
          </w:p>
        </w:tc>
        <w:tc>
          <w:tcPr>
            <w:tcW w:w="1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2,871.7</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2,090.5</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781.2</w:t>
            </w:r>
          </w:p>
        </w:tc>
        <w:tc>
          <w:tcPr>
            <w:tcW w:w="3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8,035.6</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6,391.9</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1,643.7</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60" w:type="dxa"/>
            <w:vAlign w:val="bottom"/>
          </w:tcPr>
          <w:p>
            <w:pPr>
              <w:spacing w:after="0"/>
              <w:rPr>
                <w:sz w:val="20"/>
                <w:szCs w:val="20"/>
                <w:color w:val="auto"/>
              </w:rPr>
            </w:pPr>
            <w:r>
              <w:rPr>
                <w:rFonts w:ascii="Arial" w:cs="Arial" w:eastAsia="Arial" w:hAnsi="Arial"/>
                <w:sz w:val="18"/>
                <w:szCs w:val="18"/>
                <w:color w:val="auto"/>
              </w:rPr>
              <w:t>Income before income taxes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369.2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393.8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(24.6)</w:t>
            </w: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1,121.8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1,177.7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(55.9)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68.3</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141.0</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(72.7)</w:t>
            </w: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126.9</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281.6</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60" w:type="dxa"/>
            <w:vAlign w:val="bottom"/>
          </w:tcPr>
          <w:p>
            <w:pPr>
              <w:spacing w:after="0"/>
              <w:rPr>
                <w:sz w:val="20"/>
                <w:szCs w:val="20"/>
                <w:color w:val="auto"/>
              </w:rPr>
            </w:pPr>
            <w:r>
              <w:rPr>
                <w:rFonts w:ascii="Arial" w:cs="Arial" w:eastAsia="Arial" w:hAnsi="Arial"/>
                <w:sz w:val="18"/>
                <w:szCs w:val="18"/>
                <w:color w:val="auto"/>
              </w:rPr>
              <w:t>Net income</w:t>
            </w:r>
          </w:p>
        </w:tc>
        <w:tc>
          <w:tcPr>
            <w:tcW w:w="16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300.9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252.8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48.1</w:t>
            </w:r>
          </w:p>
        </w:tc>
        <w:tc>
          <w:tcPr>
            <w:tcW w:w="3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994.9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896.1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98.8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Net income attributable to noncontrolling interest</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0.5</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(3.4)</w:t>
            </w: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14.5</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30.7</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260" w:type="dxa"/>
            <w:vAlign w:val="bottom"/>
          </w:tcPr>
          <w:p>
            <w:pPr>
              <w:spacing w:after="0" w:line="196" w:lineRule="exact"/>
              <w:rPr>
                <w:sz w:val="20"/>
                <w:szCs w:val="20"/>
                <w:color w:val="auto"/>
              </w:rPr>
            </w:pPr>
            <w:r>
              <w:rPr>
                <w:rFonts w:ascii="Arial" w:cs="Arial" w:eastAsia="Arial" w:hAnsi="Arial"/>
                <w:sz w:val="18"/>
                <w:szCs w:val="18"/>
                <w:color w:val="auto"/>
              </w:rPr>
              <w:t>Net income attributable to Principal</w:t>
            </w:r>
          </w:p>
        </w:tc>
        <w:tc>
          <w:tcPr>
            <w:tcW w:w="16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30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Financial Group, Inc.</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300.4</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248.9</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51.5</w:t>
            </w: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980.4</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865.4</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Preferred stock dividends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(8.2)</w:t>
            </w: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16.5</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24.7</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Excess of redemption value over carrying value of</w:t>
            </w:r>
          </w:p>
        </w:tc>
        <w:tc>
          <w:tcPr>
            <w:tcW w:w="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4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8.2</w:t>
            </w: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preferred shares redeemed</w:t>
            </w:r>
          </w:p>
        </w:tc>
        <w:tc>
          <w:tcPr>
            <w:tcW w:w="1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840" w:type="dxa"/>
            <w:vAlign w:val="bottom"/>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260" w:type="dxa"/>
            <w:vAlign w:val="bottom"/>
          </w:tcPr>
          <w:p>
            <w:pPr>
              <w:spacing w:after="0"/>
              <w:rPr>
                <w:sz w:val="20"/>
                <w:szCs w:val="20"/>
                <w:color w:val="auto"/>
              </w:rPr>
            </w:pPr>
            <w:r>
              <w:rPr>
                <w:rFonts w:ascii="Arial" w:cs="Arial" w:eastAsia="Arial" w:hAnsi="Arial"/>
                <w:sz w:val="18"/>
                <w:szCs w:val="18"/>
                <w:color w:val="auto"/>
              </w:rPr>
              <w:t>Net income available to common stockholders</w:t>
            </w:r>
          </w:p>
        </w:tc>
        <w:tc>
          <w:tcPr>
            <w:tcW w:w="16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300.4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240.7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59.7</w:t>
            </w:r>
          </w:p>
        </w:tc>
        <w:tc>
          <w:tcPr>
            <w:tcW w:w="30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955.7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840.7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115.0</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gridSpan w:val="2"/>
          </w:tcPr>
          <w:p>
            <w:pPr>
              <w:jc w:val="right"/>
              <w:ind w:right="45"/>
              <w:spacing w:after="0"/>
              <w:rPr>
                <w:sz w:val="20"/>
                <w:szCs w:val="20"/>
                <w:color w:val="auto"/>
              </w:rPr>
            </w:pPr>
            <w:r>
              <w:rPr>
                <w:rFonts w:ascii="Arial" w:cs="Arial" w:eastAsia="Arial" w:hAnsi="Arial"/>
                <w:sz w:val="18"/>
                <w:szCs w:val="18"/>
                <w:color w:val="auto"/>
              </w:rPr>
              <w:t>94</w:t>
            </w: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2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6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2015 Compared to Three Months Ended September 30, 2014</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Net Income Available to Common Stockholders</w:t>
      </w:r>
    </w:p>
    <w:p>
      <w:pPr>
        <w:spacing w:after="0" w:line="229" w:lineRule="exact"/>
        <w:rPr>
          <w:sz w:val="20"/>
          <w:szCs w:val="20"/>
          <w:color w:val="auto"/>
        </w:rPr>
      </w:pPr>
    </w:p>
    <w:p>
      <w:pPr>
        <w:ind w:right="440" w:firstLine="636"/>
        <w:spacing w:after="0" w:line="277" w:lineRule="auto"/>
        <w:rPr>
          <w:sz w:val="20"/>
          <w:szCs w:val="20"/>
          <w:color w:val="auto"/>
        </w:rPr>
      </w:pPr>
      <w:r>
        <w:rPr>
          <w:rFonts w:ascii="Arial" w:cs="Arial" w:eastAsia="Arial" w:hAnsi="Arial"/>
          <w:sz w:val="18"/>
          <w:szCs w:val="18"/>
          <w:color w:val="auto"/>
        </w:rPr>
        <w:t>Net income available to common stockholders increased primarily due to the 2014 increase in net deferred tax liabilities resulting from the third quarter 2014 enactment of tax legislation in Chile.</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Total Revenues</w:t>
      </w:r>
    </w:p>
    <w:p>
      <w:pPr>
        <w:spacing w:after="0" w:line="229" w:lineRule="exact"/>
        <w:rPr>
          <w:sz w:val="20"/>
          <w:szCs w:val="20"/>
          <w:color w:val="auto"/>
        </w:rPr>
      </w:pPr>
    </w:p>
    <w:p>
      <w:pPr>
        <w:ind w:right="400" w:firstLine="648"/>
        <w:spacing w:after="0" w:line="286" w:lineRule="auto"/>
        <w:rPr>
          <w:sz w:val="20"/>
          <w:szCs w:val="20"/>
          <w:color w:val="auto"/>
        </w:rPr>
      </w:pPr>
      <w:r>
        <w:rPr>
          <w:rFonts w:ascii="Arial" w:cs="Arial" w:eastAsia="Arial" w:hAnsi="Arial"/>
          <w:sz w:val="17"/>
          <w:szCs w:val="17"/>
          <w:color w:val="auto"/>
        </w:rPr>
        <w:t>Premiums increased $633.0 million for the Retirement and Investor Services segment primarily due to higher sales of single premium group and individual annuities with life contingencies. The single premium group product, which is typically used to fund defined benefit plan terminations, can generate large premiums from very few customers and therefore premiums tend to vary from period to period.</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ind w:right="200" w:firstLine="630"/>
        <w:spacing w:after="0" w:line="277" w:lineRule="auto"/>
        <w:rPr>
          <w:sz w:val="20"/>
          <w:szCs w:val="20"/>
          <w:color w:val="auto"/>
        </w:rPr>
      </w:pPr>
      <w:r>
        <w:rPr>
          <w:rFonts w:ascii="Arial" w:cs="Arial" w:eastAsia="Arial" w:hAnsi="Arial"/>
          <w:sz w:val="18"/>
          <w:szCs w:val="18"/>
          <w:color w:val="auto"/>
        </w:rPr>
        <w:t>Benefits, claims and settlement expenses increased $642.1 million for the Retirement and Investor Services segment primarily due to an increase in change in reserves resulting from higher sales of single premium group and individual annuities with life contingencies.</w:t>
      </w:r>
    </w:p>
    <w:p>
      <w:pPr>
        <w:spacing w:after="0" w:line="170" w:lineRule="exact"/>
        <w:rPr>
          <w:sz w:val="20"/>
          <w:szCs w:val="20"/>
          <w:color w:val="auto"/>
        </w:rPr>
      </w:pPr>
    </w:p>
    <w:p>
      <w:pPr>
        <w:ind w:right="60" w:firstLine="630"/>
        <w:spacing w:after="0" w:line="290" w:lineRule="auto"/>
        <w:rPr>
          <w:sz w:val="20"/>
          <w:szCs w:val="20"/>
          <w:color w:val="auto"/>
        </w:rPr>
      </w:pPr>
      <w:r>
        <w:rPr>
          <w:rFonts w:ascii="Arial" w:cs="Arial" w:eastAsia="Arial" w:hAnsi="Arial"/>
          <w:sz w:val="16"/>
          <w:szCs w:val="16"/>
          <w:color w:val="auto"/>
        </w:rPr>
        <w:t>Operating expenses increased $94.4 million for the Retirement and Investor Services segment primarily due to unfavorable DAC unlocking associated with the review and update of our actuarial assumptions in 2015 and an increase in DAC amortization resulting from a sharp equity market decline and a decrease in interest rates. Operating expenses increased $23.2 million for the Principal International segment primarily due to intangible asset impairments in our mutual fund company in Brazil in third quarter 2015 partially offset by the weakening of the Chilean and Mexican pesos against the U.S. dollar. Operating expenses decreased $78.0 million for the U.S. Insurance Solutions segment due to a more favorable unlocking associated with assumption updates and model refinements in 2015 than in 2014, which was partially offset by higher expenses related to growth in the business. Operating expenses decreased $14.7 million for the Corporate segment primarily due to a decline in amounts credited to employee accounts in a nonqualified defined contribution pension plan, which was offset by a corresponding reduction in net realized capital gains related to the assets backing this nonqualified plan.</w:t>
      </w:r>
    </w:p>
    <w:p>
      <w:pPr>
        <w:spacing w:after="0" w:line="162"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right="60" w:firstLine="630"/>
        <w:spacing w:after="0" w:line="290" w:lineRule="auto"/>
        <w:rPr>
          <w:sz w:val="20"/>
          <w:szCs w:val="20"/>
          <w:color w:val="auto"/>
        </w:rPr>
      </w:pPr>
      <w:r>
        <w:rPr>
          <w:rFonts w:ascii="Arial" w:cs="Arial" w:eastAsia="Arial" w:hAnsi="Arial"/>
          <w:sz w:val="16"/>
          <w:szCs w:val="16"/>
          <w:color w:val="auto"/>
        </w:rPr>
        <w:t>The effective income tax rates were 18% and 36% for the three months ended September 30, 2015 and 2014, respectively. The effective income tax rate for the three months ended September 30, 2015, was lower than the U.S. statutory rate primarily due to income tax deductions allowed for corporate dividends received and the presentation of taxes on our share of earnings generated from equity method investments reflected in net investment income. The effective income tax rate for the three months ended September 30, 2014, was higher than the U.S. statutory rate primarily due to an increase in net deferred tax liabilities resulting from the third quarter 2014 enactment of tax legislation in Chile, partially offset by income tax deductions allowed for corporate dividends received, the presentation of taxes on our share of earnings generated from equity method investments reflected in net investment income and lower tax rates of foreign jurisdictions. The effective income tax rate decreased to 18% from 36% for the three months ended September 30, 2015 and 2014, respectively, primarily due to the 2014 increase in net deferred tax liabilities resulting from the third quarter 2014 enactment of tax legislation in Chile.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2015 Compared to Nine Months Ended September 30, 2014</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Net Income Available to Common Stockholders</w:t>
      </w:r>
    </w:p>
    <w:p>
      <w:pPr>
        <w:spacing w:after="0" w:line="229" w:lineRule="exact"/>
        <w:rPr>
          <w:sz w:val="20"/>
          <w:szCs w:val="20"/>
          <w:color w:val="auto"/>
        </w:rPr>
      </w:pPr>
    </w:p>
    <w:p>
      <w:pPr>
        <w:ind w:right="160" w:firstLine="648"/>
        <w:spacing w:after="0" w:line="312" w:lineRule="auto"/>
        <w:rPr>
          <w:sz w:val="20"/>
          <w:szCs w:val="20"/>
          <w:color w:val="auto"/>
        </w:rPr>
      </w:pPr>
      <w:r>
        <w:rPr>
          <w:rFonts w:ascii="Arial" w:cs="Arial" w:eastAsia="Arial" w:hAnsi="Arial"/>
          <w:sz w:val="16"/>
          <w:szCs w:val="16"/>
          <w:color w:val="auto"/>
        </w:rPr>
        <w:t>Net income available to common stockholders increased primarily due to a change in deferred tax balances related to the merger of two of our Chilean legal entities, partially offset by net realized capital losses in 2015 as compared to net realized capital gains in 2014 primarily due to decreased gains on sales of real estate investments and joint venture real estate and a write-off of unamortized book value on corporate owned real estate in 2015.</w:t>
      </w:r>
    </w:p>
    <w:p>
      <w:pPr>
        <w:spacing w:after="0" w:line="143"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Total Revenues</w:t>
      </w:r>
    </w:p>
    <w:p>
      <w:pPr>
        <w:sectPr>
          <w:pgSz w:w="11900" w:h="16838" w:orient="portrait"/>
          <w:cols w:equalWidth="0" w:num="1">
            <w:col w:w="11460"/>
          </w:cols>
          <w:pgMar w:left="240" w:top="125" w:right="199" w:bottom="0" w:gutter="0" w:footer="0" w:header="0"/>
        </w:sectPr>
      </w:pPr>
    </w:p>
    <w:bookmarkStart w:id="67" w:name="page68"/>
    <w:bookmarkEnd w:id="67"/>
    <w:p>
      <w:pPr>
        <w:ind w:right="220" w:firstLine="648"/>
        <w:spacing w:after="0" w:line="264" w:lineRule="auto"/>
        <w:rPr>
          <w:sz w:val="20"/>
          <w:szCs w:val="20"/>
          <w:color w:val="auto"/>
        </w:rPr>
      </w:pPr>
      <w:r>
        <w:rPr>
          <w:rFonts w:ascii="Arial" w:cs="Arial" w:eastAsia="Arial" w:hAnsi="Arial"/>
          <w:sz w:val="18"/>
          <w:szCs w:val="18"/>
          <w:color w:val="auto"/>
        </w:rPr>
        <w:t>Premiums increased $1,526.2 million for the Retirement and Investor Services segment primarily due to higher sales of single premium group and individual annuities with life contingencies. The single premium group product, which is typically used to fund defined benefit plan terminations, can generate large premiums from very few customers and therefore premiums tend to vary from period to period.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firstLine="636"/>
        <w:spacing w:after="0" w:line="257" w:lineRule="auto"/>
        <w:rPr>
          <w:sz w:val="20"/>
          <w:szCs w:val="20"/>
          <w:color w:val="auto"/>
        </w:rPr>
      </w:pPr>
      <w:r>
        <w:rPr>
          <w:rFonts w:ascii="Arial" w:cs="Arial" w:eastAsia="Arial" w:hAnsi="Arial"/>
          <w:sz w:val="18"/>
          <w:szCs w:val="18"/>
          <w:color w:val="auto"/>
        </w:rPr>
        <w:t>Net realized capital gains (losses) can be volatile due to other-than-temporary impairments of invested assets, mark-to-market adjustments of certain invested assets and our decision to sell invested assets. We had net realized capital losses in 2015 as compared to net realized capital gains in 2014 primarily due to decreased gains on sales of real estate investments and joint venture real estate and a write-off of unamortized book value on corporate owned real estate in 2015. This was partially offset by gains versus losses attributable to derivatives not designated as hedging instruments. For additional information, see “Investments — Investment Results.”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ind w:right="20" w:firstLine="630"/>
        <w:spacing w:after="0" w:line="277" w:lineRule="auto"/>
        <w:rPr>
          <w:sz w:val="20"/>
          <w:szCs w:val="20"/>
          <w:color w:val="auto"/>
        </w:rPr>
      </w:pPr>
      <w:r>
        <w:rPr>
          <w:rFonts w:ascii="Arial" w:cs="Arial" w:eastAsia="Arial" w:hAnsi="Arial"/>
          <w:sz w:val="18"/>
          <w:szCs w:val="18"/>
          <w:color w:val="auto"/>
        </w:rPr>
        <w:t>Benefits, claims and settlement expenses increased $1,492.9 million for the Retirement and Investor Services segment primarily due to an increase in change in reserves resulting from higher sales of single premium group and individual annuities with life contingencies.</w:t>
      </w:r>
    </w:p>
    <w:p>
      <w:pPr>
        <w:spacing w:after="0" w:line="170" w:lineRule="exact"/>
        <w:rPr>
          <w:sz w:val="20"/>
          <w:szCs w:val="20"/>
          <w:color w:val="auto"/>
        </w:rPr>
      </w:pPr>
    </w:p>
    <w:p>
      <w:pPr>
        <w:ind w:right="120" w:firstLine="630"/>
        <w:spacing w:after="0" w:line="255" w:lineRule="auto"/>
        <w:rPr>
          <w:sz w:val="20"/>
          <w:szCs w:val="20"/>
          <w:color w:val="auto"/>
        </w:rPr>
      </w:pPr>
      <w:r>
        <w:rPr>
          <w:rFonts w:ascii="Arial" w:cs="Arial" w:eastAsia="Arial" w:hAnsi="Arial"/>
          <w:sz w:val="18"/>
          <w:szCs w:val="18"/>
          <w:color w:val="auto"/>
        </w:rPr>
        <w:t>Operating expenses increased $142.5 million for the Retirement and Investor Services segment primarily due to an increase in staff related costs including pension and other postretirement benefits, unfavorable DAC unlocking associated with the review and update of our actuarial assumptions in 2015 and an increase in sub-advisory fee costs and non-deferrable distribution costs stemming from an increase in average account values, which resulted from growth in the business and positive equity market performance in prior periods. In addition, operating expenses decreased $51.9 million for the Corporate segment primarily due to a decline in amounts credited to employee accounts in a nonqualified defined contribution pension plan, which was offset by a corresponding reduction in net realized capital gains related to the assets backing this nonqualified plan and lower expenses associated with court rulings on some uncertain tax positions.</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right="40" w:firstLine="630"/>
        <w:spacing w:after="0" w:line="269" w:lineRule="auto"/>
        <w:rPr>
          <w:sz w:val="20"/>
          <w:szCs w:val="20"/>
          <w:color w:val="auto"/>
        </w:rPr>
      </w:pPr>
      <w:r>
        <w:rPr>
          <w:rFonts w:ascii="Arial" w:cs="Arial" w:eastAsia="Arial" w:hAnsi="Arial"/>
          <w:sz w:val="17"/>
          <w:szCs w:val="17"/>
          <w:color w:val="auto"/>
        </w:rPr>
        <w:t>The effective income tax rates were 11% and 24% for the nine months ended September 30, 2015 and 2014, respectively. The effective income tax rate for the nine months ended September 30, 2015, was lower than the U.S. statutory rate primarily due to income tax deductions allowed for corporate dividends received, a change in deferred tax balances related to the merger of two of our Chilean legal entities and the presentation of taxes on our share of earnings generated from equity method investments reflected in net investment income, partially offset by the negative impact of a court ruling on some uncertain tax positions. The effective income tax rate for the nine months ended September 30, 2014, was lower than the U.S. statutory rate primarily due to income tax deductions allowed for corporate dividends received, the presentation of taxes on our share of earnings generated from equity method investments reflected in net investment income and tax credits, partially offset by an increase in net deferred tax liabilities resulting from the third quarter 2014 enactment of tax legislation in Chile. The effective income tax rate decreased to 11% from 24% for the nine months ended September 30, 2015 and 2014, respectively, primarily due to a change in deferred tax balances related to the merger of two of our Chilean legal entities, a change in net deferred tax liabilities resulting from the third quarter 2014 enactment of tax legislation in Chile not replicated in 2015, partially offset by the negative impact of a court ruling on some uncertain tax positions.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by Segment</w:t>
      </w:r>
    </w:p>
    <w:p>
      <w:pPr>
        <w:spacing w:after="0" w:line="229"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For results of operations by segment see Item 1. “Financial Statements, Notes to Unaudited Consolidated Financial Statements, Note 11, Segment Information.”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and Investor Services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and Investor Services Segment Summary Financial Data</w:t>
      </w:r>
    </w:p>
    <w:p>
      <w:pPr>
        <w:spacing w:after="0" w:line="225" w:lineRule="exact"/>
        <w:rPr>
          <w:sz w:val="20"/>
          <w:szCs w:val="20"/>
          <w:color w:val="auto"/>
        </w:rPr>
      </w:pPr>
    </w:p>
    <w:p>
      <w:pPr>
        <w:ind w:right="260" w:firstLine="648"/>
        <w:spacing w:after="0" w:line="257" w:lineRule="auto"/>
        <w:rPr>
          <w:sz w:val="20"/>
          <w:szCs w:val="20"/>
          <w:color w:val="auto"/>
        </w:rPr>
      </w:pPr>
      <w:r>
        <w:rPr>
          <w:rFonts w:ascii="Arial" w:cs="Arial" w:eastAsia="Arial" w:hAnsi="Arial"/>
          <w:sz w:val="18"/>
          <w:szCs w:val="18"/>
          <w:color w:val="auto"/>
        </w:rPr>
        <w:t>Net revenue is a key metric used to understand Retirement and Investor Services (“RIS”) earnings growth. Net revenue is defined as operating revenues less benefits, claims and settlement expenses less dividends to policyholders. Net revenue from our Accumulation products is primarily fee based and is impacted by changes in the equity markets. Net revenue from our Guaranteed products is driven by our ability to earn an investment spread. Accumulation net revenue has grown due to improvement in the equity markets as well as growth in the block of business. Guaranteed net revenue has decreased due to a decline in variable investment income.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RIS net revenue for the periods indicated:</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20" w:type="dxa"/>
            <w:vAlign w:val="bottom"/>
            <w:gridSpan w:val="8"/>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40" w:type="dxa"/>
            <w:vAlign w:val="bottom"/>
            <w:gridSpan w:val="8"/>
          </w:tcPr>
          <w:p>
            <w:pPr>
              <w:jc w:val="right"/>
              <w:spacing w:after="0"/>
              <w:rPr>
                <w:sz w:val="20"/>
                <w:szCs w:val="20"/>
                <w:color w:val="auto"/>
              </w:rPr>
            </w:pPr>
            <w:r>
              <w:rPr>
                <w:rFonts w:ascii="Arial" w:cs="Arial" w:eastAsia="Arial" w:hAnsi="Arial"/>
                <w:sz w:val="14"/>
                <w:szCs w:val="14"/>
                <w:b w:val="1"/>
                <w:bCs w:val="1"/>
                <w:color w:val="auto"/>
              </w:rPr>
              <w:t>For the nine months ended</w:t>
            </w:r>
          </w:p>
        </w:tc>
        <w:tc>
          <w:tcPr>
            <w:tcW w:w="8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September 30,</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7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20" w:type="dxa"/>
            <w:vAlign w:val="bottom"/>
            <w:vMerge w:val="restart"/>
          </w:tcPr>
          <w:p>
            <w:pPr>
              <w:jc w:val="right"/>
              <w:ind w:right="237"/>
              <w:spacing w:after="0"/>
              <w:rPr>
                <w:sz w:val="20"/>
                <w:szCs w:val="20"/>
                <w:color w:val="auto"/>
              </w:rPr>
            </w:pPr>
            <w:r>
              <w:rPr>
                <w:rFonts w:ascii="Arial" w:cs="Arial" w:eastAsia="Arial" w:hAnsi="Arial"/>
                <w:sz w:val="14"/>
                <w:szCs w:val="14"/>
                <w:b w:val="1"/>
                <w:bCs w:val="1"/>
                <w:color w:val="auto"/>
              </w:rPr>
              <w:t>2015</w:t>
            </w: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2014</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jc w:val="right"/>
              <w:ind w:right="100"/>
              <w:spacing w:after="0" w:line="119" w:lineRule="exact"/>
              <w:rPr>
                <w:sz w:val="20"/>
                <w:szCs w:val="20"/>
                <w:color w:val="auto"/>
              </w:rPr>
            </w:pPr>
            <w:r>
              <w:rPr>
                <w:rFonts w:ascii="Arial" w:cs="Arial" w:eastAsia="Arial" w:hAnsi="Arial"/>
                <w:sz w:val="13"/>
                <w:szCs w:val="13"/>
                <w:b w:val="1"/>
                <w:bCs w:val="1"/>
                <w:color w:val="auto"/>
              </w:rPr>
              <w:t>Increase</w:t>
            </w:r>
          </w:p>
        </w:tc>
        <w:tc>
          <w:tcPr>
            <w:tcW w:w="3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60" w:type="dxa"/>
            <w:vAlign w:val="bottom"/>
            <w:vMerge w:val="restart"/>
          </w:tcPr>
          <w:p>
            <w:pPr>
              <w:jc w:val="right"/>
              <w:ind w:right="237"/>
              <w:spacing w:after="0"/>
              <w:rPr>
                <w:sz w:val="20"/>
                <w:szCs w:val="20"/>
                <w:color w:val="auto"/>
              </w:rPr>
            </w:pPr>
            <w:r>
              <w:rPr>
                <w:rFonts w:ascii="Arial" w:cs="Arial" w:eastAsia="Arial" w:hAnsi="Arial"/>
                <w:sz w:val="14"/>
                <w:szCs w:val="14"/>
                <w:b w:val="1"/>
                <w:bCs w:val="1"/>
                <w:color w:val="auto"/>
              </w:rPr>
              <w:t>2015</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vMerge w:val="restart"/>
          </w:tcPr>
          <w:p>
            <w:pPr>
              <w:jc w:val="right"/>
              <w:ind w:right="214"/>
              <w:spacing w:after="0"/>
              <w:rPr>
                <w:sz w:val="20"/>
                <w:szCs w:val="20"/>
                <w:color w:val="auto"/>
              </w:rPr>
            </w:pPr>
            <w:r>
              <w:rPr>
                <w:rFonts w:ascii="Arial" w:cs="Arial" w:eastAsia="Arial" w:hAnsi="Arial"/>
                <w:sz w:val="14"/>
                <w:szCs w:val="14"/>
                <w:b w:val="1"/>
                <w:bCs w:val="1"/>
                <w:color w:val="auto"/>
              </w:rPr>
              <w:t>2014</w:t>
            </w: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right"/>
              <w:ind w:right="118"/>
              <w:spacing w:after="0" w:line="119" w:lineRule="exact"/>
              <w:rPr>
                <w:sz w:val="20"/>
                <w:szCs w:val="20"/>
                <w:color w:val="auto"/>
              </w:rPr>
            </w:pPr>
            <w:r>
              <w:rPr>
                <w:rFonts w:ascii="Arial" w:cs="Arial" w:eastAsia="Arial" w:hAnsi="Arial"/>
                <w:sz w:val="13"/>
                <w:szCs w:val="13"/>
                <w:b w:val="1"/>
                <w:bCs w:val="1"/>
                <w:color w:val="auto"/>
              </w:rPr>
              <w:t>Increase</w:t>
            </w:r>
          </w:p>
        </w:tc>
        <w:tc>
          <w:tcPr>
            <w:tcW w:w="10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88"/>
              </w:rPr>
              <w:t>(decrease)</w:t>
            </w:r>
          </w:p>
        </w:tc>
        <w:tc>
          <w:tcPr>
            <w:tcW w:w="24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42"/>
        </w:trPr>
        <w:tc>
          <w:tcPr>
            <w:tcW w:w="37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32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6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7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20" w:type="dxa"/>
            <w:vAlign w:val="bottom"/>
          </w:tcPr>
          <w:p>
            <w:pPr>
              <w:ind w:left="200"/>
              <w:spacing w:after="0"/>
              <w:rPr>
                <w:sz w:val="20"/>
                <w:szCs w:val="20"/>
                <w:color w:val="auto"/>
              </w:rPr>
            </w:pPr>
            <w:r>
              <w:rPr>
                <w:rFonts w:ascii="Arial" w:cs="Arial" w:eastAsia="Arial" w:hAnsi="Arial"/>
                <w:sz w:val="18"/>
                <w:szCs w:val="18"/>
                <w:color w:val="auto"/>
              </w:rPr>
              <w:t>Accumulation</w:t>
            </w:r>
          </w:p>
        </w:tc>
        <w:tc>
          <w:tcPr>
            <w:tcW w:w="92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650.2</w:t>
            </w:r>
          </w:p>
        </w:tc>
        <w:tc>
          <w:tcPr>
            <w:tcW w:w="36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642.9</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7.3</w:t>
            </w:r>
          </w:p>
        </w:tc>
        <w:tc>
          <w:tcPr>
            <w:tcW w:w="240" w:type="dxa"/>
            <w:vAlign w:val="bottom"/>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1,981.6</w:t>
            </w:r>
          </w:p>
        </w:tc>
        <w:tc>
          <w:tcPr>
            <w:tcW w:w="34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1,908.4</w:t>
            </w:r>
          </w:p>
        </w:tc>
        <w:tc>
          <w:tcPr>
            <w:tcW w:w="280" w:type="dxa"/>
            <w:vAlign w:val="bottom"/>
          </w:tcPr>
          <w:p>
            <w:pPr>
              <w:spacing w:after="0"/>
              <w:rPr>
                <w:sz w:val="18"/>
                <w:szCs w:val="18"/>
                <w:color w:val="auto"/>
              </w:rPr>
            </w:pP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73.2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Guaranteed</w:t>
            </w:r>
          </w:p>
        </w:tc>
        <w:tc>
          <w:tcPr>
            <w:tcW w:w="7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37.7</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43.7</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(6.0)</w:t>
            </w: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129.0</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151.2</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(22.2)</w:t>
            </w:r>
          </w:p>
        </w:tc>
        <w:tc>
          <w:tcPr>
            <w:tcW w:w="0" w:type="dxa"/>
            <w:vAlign w:val="bottom"/>
          </w:tcPr>
          <w:p>
            <w:pPr>
              <w:spacing w:after="0"/>
              <w:rPr>
                <w:sz w:val="1"/>
                <w:szCs w:val="1"/>
                <w:color w:val="auto"/>
              </w:rPr>
            </w:pPr>
          </w:p>
        </w:tc>
      </w:tr>
      <w:tr>
        <w:trPr>
          <w:trHeight w:val="210"/>
        </w:trPr>
        <w:tc>
          <w:tcPr>
            <w:tcW w:w="3720" w:type="dxa"/>
            <w:vAlign w:val="bottom"/>
          </w:tcPr>
          <w:p>
            <w:pPr>
              <w:ind w:left="200"/>
              <w:spacing w:after="0"/>
              <w:rPr>
                <w:sz w:val="20"/>
                <w:szCs w:val="20"/>
                <w:color w:val="auto"/>
              </w:rPr>
            </w:pPr>
            <w:r>
              <w:rPr>
                <w:rFonts w:ascii="Arial" w:cs="Arial" w:eastAsia="Arial" w:hAnsi="Arial"/>
                <w:sz w:val="18"/>
                <w:szCs w:val="18"/>
                <w:color w:val="auto"/>
              </w:rPr>
              <w:t>Total Retirement and Investor Services</w:t>
            </w:r>
          </w:p>
        </w:tc>
        <w:tc>
          <w:tcPr>
            <w:tcW w:w="70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687.9</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686.6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30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2,110.6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2,059.</w:t>
            </w:r>
            <w:r>
              <w:rPr>
                <w:rFonts w:ascii="Arial" w:cs="Arial" w:eastAsia="Arial" w:hAnsi="Arial"/>
                <w:sz w:val="18"/>
                <w:szCs w:val="18"/>
                <w:u w:val="single" w:color="auto"/>
                <w:color w:val="auto"/>
              </w:rPr>
              <w:t>6</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51.0</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certain summary financial data relating to the RIS segment for the periods indicated:</w:t>
      </w:r>
    </w:p>
    <w:p>
      <w:pPr>
        <w:sectPr>
          <w:pgSz w:w="11900" w:h="16838" w:orient="portrait"/>
          <w:cols w:equalWidth="0" w:num="1">
            <w:col w:w="11420"/>
          </w:cols>
          <w:pgMar w:left="240" w:top="341" w:right="239" w:bottom="0" w:gutter="0" w:footer="0" w:header="0"/>
        </w:sectPr>
      </w:pPr>
    </w:p>
    <w:bookmarkStart w:id="68" w:name="page69"/>
    <w:bookmarkEnd w:id="68"/>
    <w:tbl>
      <w:tblPr>
        <w:tblLayout w:type="fixed"/>
        <w:tblInd w:w="0" w:type="dxa"/>
        <w:tblCellMar>
          <w:top w:w="0" w:type="dxa"/>
          <w:left w:w="0" w:type="dxa"/>
          <w:bottom w:w="0" w:type="dxa"/>
          <w:right w:w="0" w:type="dxa"/>
        </w:tblCellMar>
      </w:tblPr>
      <w:tr>
        <w:trPr>
          <w:trHeight w:val="161"/>
        </w:trPr>
        <w:tc>
          <w:tcPr>
            <w:tcW w:w="4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20" w:type="dxa"/>
            <w:vAlign w:val="bottom"/>
            <w:gridSpan w:val="8"/>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40" w:type="dxa"/>
            <w:vAlign w:val="bottom"/>
            <w:gridSpan w:val="8"/>
          </w:tcPr>
          <w:p>
            <w:pPr>
              <w:jc w:val="right"/>
              <w:spacing w:after="0"/>
              <w:rPr>
                <w:sz w:val="20"/>
                <w:szCs w:val="20"/>
                <w:color w:val="auto"/>
              </w:rPr>
            </w:pPr>
            <w:r>
              <w:rPr>
                <w:rFonts w:ascii="Arial" w:cs="Arial" w:eastAsia="Arial" w:hAnsi="Arial"/>
                <w:sz w:val="14"/>
                <w:szCs w:val="14"/>
                <w:b w:val="1"/>
                <w:bCs w:val="1"/>
                <w:color w:val="auto"/>
              </w:rPr>
              <w:t>For the nine months ended</w:t>
            </w:r>
          </w:p>
        </w:tc>
        <w:tc>
          <w:tcPr>
            <w:tcW w:w="8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September 30,</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1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20" w:type="dxa"/>
            <w:vAlign w:val="bottom"/>
            <w:vMerge w:val="restart"/>
          </w:tcPr>
          <w:p>
            <w:pPr>
              <w:jc w:val="right"/>
              <w:ind w:right="233"/>
              <w:spacing w:after="0"/>
              <w:rPr>
                <w:sz w:val="20"/>
                <w:szCs w:val="20"/>
                <w:color w:val="auto"/>
              </w:rPr>
            </w:pPr>
            <w:r>
              <w:rPr>
                <w:rFonts w:ascii="Arial" w:cs="Arial" w:eastAsia="Arial" w:hAnsi="Arial"/>
                <w:sz w:val="14"/>
                <w:szCs w:val="14"/>
                <w:b w:val="1"/>
                <w:bCs w:val="1"/>
                <w:color w:val="auto"/>
              </w:rPr>
              <w:t>2015</w:t>
            </w: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vMerge w:val="restart"/>
          </w:tcPr>
          <w:p>
            <w:pPr>
              <w:jc w:val="right"/>
              <w:ind w:right="232"/>
              <w:spacing w:after="0"/>
              <w:rPr>
                <w:sz w:val="20"/>
                <w:szCs w:val="20"/>
                <w:color w:val="auto"/>
              </w:rPr>
            </w:pPr>
            <w:r>
              <w:rPr>
                <w:rFonts w:ascii="Arial" w:cs="Arial" w:eastAsia="Arial" w:hAnsi="Arial"/>
                <w:sz w:val="14"/>
                <w:szCs w:val="14"/>
                <w:b w:val="1"/>
                <w:bCs w:val="1"/>
                <w:color w:val="auto"/>
              </w:rPr>
              <w:t>2014</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jc w:val="right"/>
              <w:ind w:right="95"/>
              <w:spacing w:after="0" w:line="119" w:lineRule="exact"/>
              <w:rPr>
                <w:sz w:val="20"/>
                <w:szCs w:val="20"/>
                <w:color w:val="auto"/>
              </w:rPr>
            </w:pPr>
            <w:r>
              <w:rPr>
                <w:rFonts w:ascii="Arial" w:cs="Arial" w:eastAsia="Arial" w:hAnsi="Arial"/>
                <w:sz w:val="13"/>
                <w:szCs w:val="13"/>
                <w:b w:val="1"/>
                <w:bCs w:val="1"/>
                <w:color w:val="auto"/>
              </w:rPr>
              <w:t>Increase</w:t>
            </w:r>
          </w:p>
        </w:tc>
        <w:tc>
          <w:tcPr>
            <w:tcW w:w="3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60" w:type="dxa"/>
            <w:vAlign w:val="bottom"/>
            <w:vMerge w:val="restart"/>
          </w:tcPr>
          <w:p>
            <w:pPr>
              <w:jc w:val="right"/>
              <w:ind w:right="233"/>
              <w:spacing w:after="0"/>
              <w:rPr>
                <w:sz w:val="20"/>
                <w:szCs w:val="20"/>
                <w:color w:val="auto"/>
              </w:rPr>
            </w:pPr>
            <w:r>
              <w:rPr>
                <w:rFonts w:ascii="Arial" w:cs="Arial" w:eastAsia="Arial" w:hAnsi="Arial"/>
                <w:sz w:val="14"/>
                <w:szCs w:val="14"/>
                <w:b w:val="1"/>
                <w:bCs w:val="1"/>
                <w:color w:val="auto"/>
              </w:rPr>
              <w:t>2015</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vMerge w:val="restart"/>
          </w:tcPr>
          <w:p>
            <w:pPr>
              <w:jc w:val="right"/>
              <w:ind w:right="212"/>
              <w:spacing w:after="0"/>
              <w:rPr>
                <w:sz w:val="20"/>
                <w:szCs w:val="20"/>
                <w:color w:val="auto"/>
              </w:rPr>
            </w:pPr>
            <w:r>
              <w:rPr>
                <w:rFonts w:ascii="Arial" w:cs="Arial" w:eastAsia="Arial" w:hAnsi="Arial"/>
                <w:sz w:val="14"/>
                <w:szCs w:val="14"/>
                <w:b w:val="1"/>
                <w:bCs w:val="1"/>
                <w:color w:val="auto"/>
              </w:rPr>
              <w:t>2014</w:t>
            </w: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right"/>
              <w:ind w:right="113"/>
              <w:spacing w:after="0" w:line="119" w:lineRule="exact"/>
              <w:rPr>
                <w:sz w:val="20"/>
                <w:szCs w:val="20"/>
                <w:color w:val="auto"/>
              </w:rPr>
            </w:pPr>
            <w:r>
              <w:rPr>
                <w:rFonts w:ascii="Arial" w:cs="Arial" w:eastAsia="Arial" w:hAnsi="Arial"/>
                <w:sz w:val="13"/>
                <w:szCs w:val="13"/>
                <w:b w:val="1"/>
                <w:bCs w:val="1"/>
                <w:color w:val="auto"/>
              </w:rPr>
              <w:t>Increase</w:t>
            </w:r>
          </w:p>
        </w:tc>
        <w:tc>
          <w:tcPr>
            <w:tcW w:w="10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8"/>
              </w:rPr>
              <w:t>(decrease)</w:t>
            </w:r>
          </w:p>
        </w:tc>
        <w:tc>
          <w:tcPr>
            <w:tcW w:w="24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42"/>
        </w:trPr>
        <w:tc>
          <w:tcPr>
            <w:tcW w:w="4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32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6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tcPr>
          <w:p>
            <w:pPr>
              <w:ind w:left="200"/>
              <w:spacing w:after="0"/>
              <w:rPr>
                <w:sz w:val="20"/>
                <w:szCs w:val="20"/>
                <w:color w:val="auto"/>
              </w:rPr>
            </w:pPr>
            <w:r>
              <w:rPr>
                <w:rFonts w:ascii="Arial" w:cs="Arial" w:eastAsia="Arial" w:hAnsi="Arial"/>
                <w:sz w:val="18"/>
                <w:szCs w:val="18"/>
                <w:color w:val="auto"/>
              </w:rPr>
              <w:t>Premiums and other considerations</w:t>
            </w:r>
          </w:p>
        </w:tc>
        <w:tc>
          <w:tcPr>
            <w:tcW w:w="48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976.1</w:t>
            </w:r>
          </w:p>
        </w:tc>
        <w:tc>
          <w:tcPr>
            <w:tcW w:w="36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343.1</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633.0</w:t>
            </w:r>
          </w:p>
        </w:tc>
        <w:tc>
          <w:tcPr>
            <w:tcW w:w="240" w:type="dxa"/>
            <w:vAlign w:val="bottom"/>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2,429.1</w:t>
            </w:r>
          </w:p>
        </w:tc>
        <w:tc>
          <w:tcPr>
            <w:tcW w:w="34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902.9</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1,526.2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Fees and other revenues</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531.4</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519.3</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12.1</w:t>
            </w: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1,604.1</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1,509.6</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94.5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tcPr>
          <w:p>
            <w:pPr>
              <w:ind w:left="200"/>
              <w:spacing w:after="0"/>
              <w:rPr>
                <w:sz w:val="20"/>
                <w:szCs w:val="20"/>
                <w:color w:val="auto"/>
              </w:rPr>
            </w:pPr>
            <w:r>
              <w:rPr>
                <w:rFonts w:ascii="Arial" w:cs="Arial" w:eastAsia="Arial" w:hAnsi="Arial"/>
                <w:sz w:val="18"/>
                <w:szCs w:val="18"/>
                <w:color w:val="auto"/>
              </w:rPr>
              <w:t>Net investment income</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450.0</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462.3</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(12.3)</w:t>
            </w:r>
          </w:p>
        </w:tc>
        <w:tc>
          <w:tcPr>
            <w:tcW w:w="2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1,352.3</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1,438.5</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(86.2)</w:t>
            </w:r>
          </w:p>
        </w:tc>
        <w:tc>
          <w:tcPr>
            <w:tcW w:w="0" w:type="dxa"/>
            <w:vAlign w:val="bottom"/>
          </w:tcPr>
          <w:p>
            <w:pPr>
              <w:spacing w:after="0"/>
              <w:rPr>
                <w:sz w:val="1"/>
                <w:szCs w:val="1"/>
                <w:color w:val="auto"/>
              </w:rPr>
            </w:pPr>
          </w:p>
        </w:tc>
      </w:tr>
      <w:tr>
        <w:trPr>
          <w:trHeight w:val="210"/>
        </w:trPr>
        <w:tc>
          <w:tcPr>
            <w:tcW w:w="4160" w:type="dxa"/>
            <w:vAlign w:val="bottom"/>
            <w:tcBorders>
              <w:top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operating revenues</w:t>
            </w:r>
          </w:p>
        </w:tc>
        <w:tc>
          <w:tcPr>
            <w:tcW w:w="2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1,957.5</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1,324.7</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632.8</w:t>
            </w:r>
          </w:p>
        </w:tc>
        <w:tc>
          <w:tcPr>
            <w:tcW w:w="3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5,385.5</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3,851.0</w:t>
            </w:r>
          </w:p>
        </w:tc>
        <w:tc>
          <w:tcPr>
            <w:tcW w:w="2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1,534.5</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tcPr>
          <w:p>
            <w:pPr>
              <w:spacing w:after="0"/>
              <w:rPr>
                <w:sz w:val="20"/>
                <w:szCs w:val="20"/>
                <w:color w:val="auto"/>
              </w:rPr>
            </w:pPr>
            <w:r>
              <w:rPr>
                <w:rFonts w:ascii="Arial" w:cs="Arial" w:eastAsia="Arial" w:hAnsi="Arial"/>
                <w:sz w:val="18"/>
                <w:szCs w:val="18"/>
                <w:color w:val="auto"/>
              </w:rPr>
              <w:t>Expenses:</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16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w w:val="95"/>
              </w:rPr>
              <w:t>Benefits, claims and settlement expenses, including</w:t>
            </w: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1,269.6</w:t>
            </w: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3,274.9</w:t>
            </w: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dividends to policyholders</w:t>
            </w: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638.1</w:t>
            </w:r>
          </w:p>
        </w:tc>
        <w:tc>
          <w:tcPr>
            <w:tcW w:w="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631.5</w:t>
            </w:r>
          </w:p>
        </w:tc>
        <w:tc>
          <w:tcPr>
            <w:tcW w:w="240" w:type="dxa"/>
            <w:vAlign w:val="bottom"/>
            <w:shd w:val="clear" w:color="auto" w:fill="CCEEFF"/>
          </w:tcPr>
          <w:p>
            <w:pPr>
              <w:spacing w:after="0"/>
              <w:rPr>
                <w:sz w:val="20"/>
                <w:szCs w:val="20"/>
                <w:color w:val="auto"/>
              </w:rPr>
            </w:pPr>
          </w:p>
        </w:tc>
        <w:tc>
          <w:tcPr>
            <w:tcW w:w="800" w:type="dxa"/>
            <w:vAlign w:val="bottom"/>
            <w:gridSpan w:val="2"/>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1,791.4</w:t>
            </w:r>
          </w:p>
        </w:tc>
        <w:tc>
          <w:tcPr>
            <w:tcW w:w="2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1,483.5</w:t>
            </w: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160" w:type="dxa"/>
            <w:vAlign w:val="bottom"/>
          </w:tcPr>
          <w:p>
            <w:pPr>
              <w:ind w:left="200"/>
              <w:spacing w:after="0"/>
              <w:rPr>
                <w:sz w:val="20"/>
                <w:szCs w:val="20"/>
                <w:color w:val="auto"/>
              </w:rPr>
            </w:pPr>
            <w:r>
              <w:rPr>
                <w:rFonts w:ascii="Arial" w:cs="Arial" w:eastAsia="Arial" w:hAnsi="Arial"/>
                <w:sz w:val="18"/>
                <w:szCs w:val="18"/>
                <w:color w:val="auto"/>
              </w:rPr>
              <w:t>Operating expenses</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504.4</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431.5</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72.9</w:t>
            </w:r>
          </w:p>
        </w:tc>
        <w:tc>
          <w:tcPr>
            <w:tcW w:w="2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1,412.3</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1,273.8</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138.5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160" w:type="dxa"/>
            <w:vAlign w:val="bottom"/>
            <w:tcBorders>
              <w:top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expenses</w:t>
            </w:r>
          </w:p>
        </w:tc>
        <w:tc>
          <w:tcPr>
            <w:tcW w:w="2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1,774.0</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1,069.6</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704.4</w:t>
            </w:r>
          </w:p>
        </w:tc>
        <w:tc>
          <w:tcPr>
            <w:tcW w:w="3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4,687.2</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3,065.2</w:t>
            </w:r>
          </w:p>
        </w:tc>
        <w:tc>
          <w:tcPr>
            <w:tcW w:w="2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1,622.0</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160" w:type="dxa"/>
            <w:vAlign w:val="bottom"/>
          </w:tcPr>
          <w:p>
            <w:pPr>
              <w:spacing w:after="0"/>
              <w:rPr>
                <w:sz w:val="20"/>
                <w:szCs w:val="20"/>
                <w:color w:val="auto"/>
              </w:rPr>
            </w:pPr>
            <w:r>
              <w:rPr>
                <w:rFonts w:ascii="Arial" w:cs="Arial" w:eastAsia="Arial" w:hAnsi="Arial"/>
                <w:sz w:val="18"/>
                <w:szCs w:val="18"/>
                <w:color w:val="auto"/>
              </w:rPr>
              <w:t>Operating earnings before income taxes</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183.5</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255.1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(71.6)</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698.3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785.8</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(87.5)</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20.2</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50.8</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(30.6)</w:t>
            </w: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107.4</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152.9</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(45.5)</w:t>
            </w:r>
          </w:p>
        </w:tc>
        <w:tc>
          <w:tcPr>
            <w:tcW w:w="0" w:type="dxa"/>
            <w:vAlign w:val="bottom"/>
          </w:tcPr>
          <w:p>
            <w:pPr>
              <w:spacing w:after="0"/>
              <w:rPr>
                <w:sz w:val="1"/>
                <w:szCs w:val="1"/>
                <w:color w:val="auto"/>
              </w:rPr>
            </w:pPr>
          </w:p>
        </w:tc>
      </w:tr>
      <w:tr>
        <w:trPr>
          <w:trHeight w:val="223"/>
        </w:trPr>
        <w:tc>
          <w:tcPr>
            <w:tcW w:w="4160" w:type="dxa"/>
            <w:vAlign w:val="bottom"/>
          </w:tcPr>
          <w:p>
            <w:pPr>
              <w:spacing w:after="0"/>
              <w:rPr>
                <w:sz w:val="20"/>
                <w:szCs w:val="20"/>
                <w:color w:val="auto"/>
              </w:rPr>
            </w:pPr>
            <w:r>
              <w:rPr>
                <w:rFonts w:ascii="Arial" w:cs="Arial" w:eastAsia="Arial" w:hAnsi="Arial"/>
                <w:sz w:val="18"/>
                <w:szCs w:val="18"/>
                <w:color w:val="auto"/>
              </w:rPr>
              <w:t>Operating earnings</w:t>
            </w:r>
          </w:p>
        </w:tc>
        <w:tc>
          <w:tcPr>
            <w:tcW w:w="260" w:type="dxa"/>
            <w:vAlign w:val="bottom"/>
          </w:tcPr>
          <w:p>
            <w:pPr>
              <w:spacing w:after="0"/>
              <w:rPr>
                <w:sz w:val="19"/>
                <w:szCs w:val="19"/>
                <w:color w:val="auto"/>
              </w:rPr>
            </w:pP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163.3</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204.3</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(41.0</w:t>
            </w:r>
          </w:p>
        </w:tc>
        <w:tc>
          <w:tcPr>
            <w:tcW w:w="300" w:type="dxa"/>
            <w:vAlign w:val="bottom"/>
          </w:tcPr>
          <w:p>
            <w:pPr>
              <w:jc w:val="right"/>
              <w:ind w:right="160"/>
              <w:spacing w:after="0"/>
              <w:rPr>
                <w:sz w:val="20"/>
                <w:szCs w:val="20"/>
                <w:color w:val="auto"/>
              </w:rPr>
            </w:pPr>
            <w:r>
              <w:rPr>
                <w:rFonts w:ascii="Arial" w:cs="Arial" w:eastAsia="Arial" w:hAnsi="Arial"/>
                <w:sz w:val="16"/>
                <w:szCs w:val="16"/>
                <w:color w:val="auto"/>
                <w:w w:val="74"/>
              </w:rPr>
              <w:t>)</w:t>
            </w:r>
          </w:p>
        </w:tc>
        <w:tc>
          <w:tcPr>
            <w:tcW w:w="240" w:type="dxa"/>
            <w:vAlign w:val="bottom"/>
            <w:tcBorders>
              <w:top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590.9</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632.9</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(42.0</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4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2015 Compared to Three Months Ended September 30, 2014</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Earnings</w:t>
      </w:r>
    </w:p>
    <w:p>
      <w:pPr>
        <w:spacing w:after="0" w:line="229" w:lineRule="exact"/>
        <w:rPr>
          <w:sz w:val="20"/>
          <w:szCs w:val="20"/>
          <w:color w:val="auto"/>
        </w:rPr>
      </w:pPr>
    </w:p>
    <w:p>
      <w:pPr>
        <w:ind w:right="200" w:firstLine="630"/>
        <w:spacing w:after="0" w:line="277" w:lineRule="auto"/>
        <w:rPr>
          <w:sz w:val="20"/>
          <w:szCs w:val="20"/>
          <w:color w:val="auto"/>
        </w:rPr>
      </w:pPr>
      <w:r>
        <w:rPr>
          <w:rFonts w:ascii="Arial" w:cs="Arial" w:eastAsia="Arial" w:hAnsi="Arial"/>
          <w:sz w:val="18"/>
          <w:szCs w:val="18"/>
          <w:color w:val="auto"/>
        </w:rPr>
        <w:t>Operating earnings decreased $36.9 million in our Accumulation business primarily due to unfavorable DAC unlocking associated with the review and update of our actuarial assumptions in 2015.</w:t>
      </w:r>
    </w:p>
    <w:p>
      <w:pPr>
        <w:spacing w:after="0" w:line="166"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Net Revenue</w:t>
      </w:r>
    </w:p>
    <w:p>
      <w:pPr>
        <w:spacing w:after="0" w:line="229" w:lineRule="exact"/>
        <w:rPr>
          <w:sz w:val="20"/>
          <w:szCs w:val="20"/>
          <w:color w:val="auto"/>
        </w:rPr>
      </w:pPr>
    </w:p>
    <w:p>
      <w:pPr>
        <w:jc w:val="both"/>
        <w:ind w:right="60" w:firstLine="648"/>
        <w:spacing w:after="0" w:line="312" w:lineRule="auto"/>
        <w:rPr>
          <w:sz w:val="20"/>
          <w:szCs w:val="20"/>
          <w:color w:val="auto"/>
        </w:rPr>
      </w:pPr>
      <w:r>
        <w:rPr>
          <w:rFonts w:ascii="Arial" w:cs="Arial" w:eastAsia="Arial" w:hAnsi="Arial"/>
          <w:sz w:val="16"/>
          <w:szCs w:val="16"/>
          <w:color w:val="auto"/>
        </w:rPr>
        <w:t>Net revenue increased $7.3 million in our Accumulation business primarily due to higher fees stemming from an increase in average account values, which resulted from growth in the business, and to a lesser extent, positive equity market performance in prior periods. Net revenue decreased $6.0 million in our Guaranteed business primarily due to a decrease in variable investment income resulting from a decline in loan prepayment activity and associated fees.</w:t>
      </w:r>
    </w:p>
    <w:p>
      <w:pPr>
        <w:spacing w:after="0" w:line="143"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Expenses</w:t>
      </w:r>
    </w:p>
    <w:p>
      <w:pPr>
        <w:spacing w:after="0" w:line="229" w:lineRule="exact"/>
        <w:rPr>
          <w:sz w:val="20"/>
          <w:szCs w:val="20"/>
          <w:color w:val="auto"/>
        </w:rPr>
      </w:pPr>
    </w:p>
    <w:p>
      <w:pPr>
        <w:jc w:val="both"/>
        <w:ind w:right="160" w:firstLine="648"/>
        <w:spacing w:after="0" w:line="264" w:lineRule="auto"/>
        <w:rPr>
          <w:sz w:val="20"/>
          <w:szCs w:val="20"/>
          <w:color w:val="auto"/>
        </w:rPr>
      </w:pPr>
      <w:r>
        <w:rPr>
          <w:rFonts w:ascii="Arial" w:cs="Arial" w:eastAsia="Arial" w:hAnsi="Arial"/>
          <w:sz w:val="18"/>
          <w:szCs w:val="18"/>
          <w:color w:val="auto"/>
        </w:rPr>
        <w:t>Operating expenses increased $72.7 million in our Accumulation business primarily due to unfavorable DAC unlocking associated with the review and update of our actuarial assumptions in 2015 and an increase in DAC amortization resulting from a sharp equity market decline and a decrease in interest rates.</w:t>
      </w:r>
    </w:p>
    <w:p>
      <w:pPr>
        <w:spacing w:after="0" w:line="177"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right="60" w:firstLine="630"/>
        <w:spacing w:after="0" w:line="279" w:lineRule="auto"/>
        <w:rPr>
          <w:sz w:val="20"/>
          <w:szCs w:val="20"/>
          <w:color w:val="auto"/>
        </w:rPr>
      </w:pPr>
      <w:r>
        <w:rPr>
          <w:rFonts w:ascii="Arial" w:cs="Arial" w:eastAsia="Arial" w:hAnsi="Arial"/>
          <w:sz w:val="17"/>
          <w:szCs w:val="17"/>
          <w:color w:val="auto"/>
        </w:rPr>
        <w:t>The effective income tax rates for the segment were 11% and 20% for the three months ended September 30, 2015 and 2014, respectively. The effective income tax rates were lower than the U.S. statutory rate primarily due to income tax deductions allowed for corporate dividends received. The effective tax rate decreased to 11% from 20% for the three months ended September 30, 2015 and 2014, respectively, primarily due to a decrease in operating earnings before income taxes with no proportionate decrease in permanent tax adjustments.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2015 Compared to Nine Months Ended September 30, 2014</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Earnings</w:t>
      </w:r>
    </w:p>
    <w:p>
      <w:pPr>
        <w:spacing w:after="0" w:line="229" w:lineRule="exact"/>
        <w:rPr>
          <w:sz w:val="20"/>
          <w:szCs w:val="20"/>
          <w:color w:val="auto"/>
        </w:rPr>
      </w:pPr>
    </w:p>
    <w:p>
      <w:pPr>
        <w:ind w:right="200" w:firstLine="630"/>
        <w:spacing w:after="0" w:line="259" w:lineRule="auto"/>
        <w:rPr>
          <w:sz w:val="20"/>
          <w:szCs w:val="20"/>
          <w:color w:val="auto"/>
        </w:rPr>
      </w:pPr>
      <w:r>
        <w:rPr>
          <w:rFonts w:ascii="Arial" w:cs="Arial" w:eastAsia="Arial" w:hAnsi="Arial"/>
          <w:sz w:val="18"/>
          <w:szCs w:val="18"/>
          <w:color w:val="auto"/>
        </w:rPr>
        <w:t>Operating earnings decreased $27.1 million in our Accumulation business primarily due to unfavorable DAC unlocking associated with the review and update of our actuarial assumptions in 2015, which was partially offset by higher fees stemming from an increase in average account values resulting from growth in the business. Operating earnings decreased $14.9 million in our Guaranteed business primarily due to a decrease in variable investment income resulting from a decline in loan prepayment activity and associated fees.</w:t>
      </w:r>
    </w:p>
    <w:p>
      <w:pPr>
        <w:spacing w:after="0" w:line="183"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Net Revenue</w:t>
      </w:r>
    </w:p>
    <w:p>
      <w:pPr>
        <w:spacing w:after="0" w:line="229"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Net revenue increased $73.2 million in our Accumulation business primarily due to higher fees stemming from an increase in average account values, which resulted from growth in the business. Net revenue decreased $22.2 million in our Guaranteed business primarily due to a decrease in variable investment income resulting from a decline in loan prepayment activity and associated fees.</w:t>
      </w:r>
    </w:p>
    <w:p>
      <w:pPr>
        <w:spacing w:after="0" w:line="177"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Expenses</w:t>
      </w:r>
    </w:p>
    <w:p>
      <w:pPr>
        <w:spacing w:after="0" w:line="229"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Operating expenses increased $137.3 million in our Accumulation business primarily due to an increase in staff related costs including pension and other postretirement benefits, unfavorable DAC unlocking associated with the review and update of our actuarial assumptions in 2015 and an increase in sub-advisory fee costs stemming from an increase in average account values, which resulted from growth in the business and positive equity market performance in prior periods.</w:t>
      </w:r>
    </w:p>
    <w:p>
      <w:pPr>
        <w:spacing w:after="0" w:line="183"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right="500" w:firstLine="630"/>
        <w:spacing w:after="0" w:line="342" w:lineRule="auto"/>
        <w:rPr>
          <w:sz w:val="20"/>
          <w:szCs w:val="20"/>
          <w:color w:val="auto"/>
        </w:rPr>
      </w:pPr>
      <w:r>
        <w:rPr>
          <w:rFonts w:ascii="Arial" w:cs="Arial" w:eastAsia="Arial" w:hAnsi="Arial"/>
          <w:sz w:val="16"/>
          <w:szCs w:val="16"/>
          <w:color w:val="auto"/>
        </w:rPr>
        <w:t>The effective income tax rates for the segment were 15% and 19% for the nine months ended September 30, 2015 and 2014, respectively. The effective income tax rates were lower than the U.S. statutory rate primarily due to income tax deductions allowed for corporate dividends received. The</w:t>
      </w:r>
    </w:p>
    <w:p>
      <w:pPr>
        <w:sectPr>
          <w:pgSz w:w="11900" w:h="16838" w:orient="portrait"/>
          <w:cols w:equalWidth="0" w:num="1">
            <w:col w:w="11420"/>
          </w:cols>
          <w:pgMar w:left="240" w:top="104" w:right="239" w:bottom="0" w:gutter="0" w:footer="0" w:header="0"/>
        </w:sectPr>
      </w:pPr>
    </w:p>
    <w:bookmarkStart w:id="69" w:name="page70"/>
    <w:bookmarkEnd w:id="69"/>
    <w:p>
      <w:pPr>
        <w:ind w:right="200"/>
        <w:spacing w:after="0" w:line="277" w:lineRule="auto"/>
        <w:rPr>
          <w:sz w:val="20"/>
          <w:szCs w:val="20"/>
          <w:color w:val="auto"/>
        </w:rPr>
      </w:pPr>
      <w:r>
        <w:rPr>
          <w:rFonts w:ascii="Arial" w:cs="Arial" w:eastAsia="Arial" w:hAnsi="Arial"/>
          <w:sz w:val="18"/>
          <w:szCs w:val="18"/>
          <w:color w:val="auto"/>
        </w:rPr>
        <w:t>effective tax rate decreased to 15% from 19% for the nine months ended September 30, 2015 and 2014, respectively, primarily due to an increase in income tax deductions for corporate dividends received.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Global Investors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Global Investors Segment Summary Financial Data</w:t>
      </w:r>
    </w:p>
    <w:p>
      <w:pPr>
        <w:spacing w:after="0" w:line="225"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 xml:space="preserve">AUM is a key indicator of earnings growth for the Principal Global Investors segment, as AUM is the base by which we generate revenues. Net cash flow and market performance are the two main drivers of AUM growth. Net cash flow reflects our ability to attract and retain client deposits. Market performance reflects equity, fixed income, real estate and other alternative investment market performance. The percentage growth in revenues of the segment will generally track with the percentage growth in AUM. </w:t>
      </w:r>
      <w:r>
        <w:rPr>
          <w:rFonts w:ascii="Arial" w:cs="Arial" w:eastAsia="Arial" w:hAnsi="Arial"/>
          <w:sz w:val="16"/>
          <w:szCs w:val="16"/>
          <w:color w:val="auto"/>
        </w:rPr>
        <w:t>This trend may vary due to changes in business and/or product mix.</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AUM rollforward for assets managed by Principal Global Investors for the periods indicated: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3540" w:type="dxa"/>
            <w:vAlign w:val="bottom"/>
            <w:gridSpan w:val="7"/>
          </w:tcPr>
          <w:p>
            <w:pPr>
              <w:jc w:val="right"/>
              <w:ind w:right="600"/>
              <w:spacing w:after="0"/>
              <w:rPr>
                <w:sz w:val="20"/>
                <w:szCs w:val="20"/>
                <w:color w:val="auto"/>
              </w:rPr>
            </w:pPr>
            <w:r>
              <w:rPr>
                <w:rFonts w:ascii="Arial" w:cs="Arial" w:eastAsia="Arial" w:hAnsi="Arial"/>
                <w:sz w:val="14"/>
                <w:szCs w:val="14"/>
                <w:b w:val="1"/>
                <w:bCs w:val="1"/>
                <w:color w:val="auto"/>
              </w:rPr>
              <w:t>For the three months ended September 30,</w:t>
            </w:r>
          </w:p>
        </w:tc>
        <w:tc>
          <w:tcPr>
            <w:tcW w:w="260" w:type="dxa"/>
            <w:vAlign w:val="bottom"/>
          </w:tcPr>
          <w:p>
            <w:pPr>
              <w:spacing w:after="0"/>
              <w:rPr>
                <w:sz w:val="14"/>
                <w:szCs w:val="14"/>
                <w:color w:val="auto"/>
              </w:rPr>
            </w:pPr>
          </w:p>
        </w:tc>
        <w:tc>
          <w:tcPr>
            <w:tcW w:w="3080" w:type="dxa"/>
            <w:vAlign w:val="bottom"/>
            <w:gridSpan w:val="7"/>
          </w:tcPr>
          <w:p>
            <w:pPr>
              <w:ind w:left="80"/>
              <w:spacing w:after="0"/>
              <w:rPr>
                <w:sz w:val="20"/>
                <w:szCs w:val="20"/>
                <w:color w:val="auto"/>
              </w:rPr>
            </w:pPr>
            <w:r>
              <w:rPr>
                <w:rFonts w:ascii="Arial" w:cs="Arial" w:eastAsia="Arial" w:hAnsi="Arial"/>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980" w:type="dxa"/>
            <w:vAlign w:val="bottom"/>
            <w:tcBorders>
              <w:top w:val="single" w:sz="8" w:color="auto"/>
              <w:bottom w:val="single" w:sz="8" w:color="auto"/>
            </w:tcBorders>
          </w:tcPr>
          <w:p>
            <w:pPr>
              <w:jc w:val="right"/>
              <w:ind w:right="27"/>
              <w:spacing w:after="0" w:line="142" w:lineRule="exact"/>
              <w:rPr>
                <w:sz w:val="20"/>
                <w:szCs w:val="20"/>
                <w:color w:val="auto"/>
              </w:rPr>
            </w:pPr>
            <w:r>
              <w:rPr>
                <w:rFonts w:ascii="Arial" w:cs="Arial" w:eastAsia="Arial" w:hAnsi="Arial"/>
                <w:sz w:val="14"/>
                <w:szCs w:val="14"/>
                <w:b w:val="1"/>
                <w:bCs w:val="1"/>
                <w:color w:val="auto"/>
              </w:rPr>
              <w:t>2015</w:t>
            </w:r>
          </w:p>
        </w:tc>
        <w:tc>
          <w:tcPr>
            <w:tcW w:w="52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spacing w:after="0"/>
              <w:rPr>
                <w:sz w:val="12"/>
                <w:szCs w:val="12"/>
                <w:color w:val="auto"/>
              </w:rPr>
            </w:pPr>
          </w:p>
        </w:tc>
        <w:tc>
          <w:tcPr>
            <w:tcW w:w="1140" w:type="dxa"/>
            <w:vAlign w:val="bottom"/>
            <w:tcBorders>
              <w:top w:val="single" w:sz="8" w:color="auto"/>
              <w:bottom w:val="single" w:sz="8" w:color="auto"/>
            </w:tcBorders>
          </w:tcPr>
          <w:p>
            <w:pPr>
              <w:jc w:val="right"/>
              <w:ind w:right="514"/>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bottom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1220" w:type="dxa"/>
            <w:vAlign w:val="bottom"/>
            <w:tcBorders>
              <w:top w:val="single" w:sz="8" w:color="auto"/>
              <w:bottom w:val="single" w:sz="8" w:color="auto"/>
            </w:tcBorders>
          </w:tcPr>
          <w:p>
            <w:pPr>
              <w:jc w:val="right"/>
              <w:ind w:right="514"/>
              <w:spacing w:after="0" w:line="142" w:lineRule="exact"/>
              <w:rPr>
                <w:sz w:val="20"/>
                <w:szCs w:val="20"/>
                <w:color w:val="auto"/>
              </w:rPr>
            </w:pPr>
            <w:r>
              <w:rPr>
                <w:rFonts w:ascii="Arial" w:cs="Arial" w:eastAsia="Arial" w:hAnsi="Arial"/>
                <w:sz w:val="14"/>
                <w:szCs w:val="14"/>
                <w:b w:val="1"/>
                <w:bCs w:val="1"/>
                <w:color w:val="auto"/>
              </w:rPr>
              <w:t>2015</w:t>
            </w:r>
          </w:p>
        </w:tc>
        <w:tc>
          <w:tcPr>
            <w:tcW w:w="28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140" w:type="dxa"/>
            <w:vAlign w:val="bottom"/>
            <w:tcBorders>
              <w:top w:val="single" w:sz="8" w:color="auto"/>
              <w:bottom w:val="single" w:sz="8" w:color="auto"/>
            </w:tcBorders>
          </w:tcPr>
          <w:p>
            <w:pPr>
              <w:jc w:val="right"/>
              <w:ind w:right="513"/>
              <w:spacing w:after="0" w:line="142" w:lineRule="exact"/>
              <w:rPr>
                <w:sz w:val="20"/>
                <w:szCs w:val="20"/>
                <w:color w:val="auto"/>
              </w:rPr>
            </w:pPr>
            <w:r>
              <w:rPr>
                <w:rFonts w:ascii="Arial" w:cs="Arial" w:eastAsia="Arial" w:hAnsi="Arial"/>
                <w:sz w:val="14"/>
                <w:szCs w:val="14"/>
                <w:b w:val="1"/>
                <w:bCs w:val="1"/>
                <w:color w:val="auto"/>
              </w:rPr>
              <w:t>2014</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3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8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billions)</w:t>
            </w:r>
          </w:p>
        </w:tc>
        <w:tc>
          <w:tcPr>
            <w:tcW w:w="1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33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AUM, beginning of period</w:t>
            </w:r>
          </w:p>
        </w:tc>
        <w:tc>
          <w:tcPr>
            <w:tcW w:w="2160" w:type="dxa"/>
            <w:vAlign w:val="bottom"/>
            <w:gridSpan w:val="2"/>
            <w:shd w:val="clear" w:color="auto" w:fill="CCEEFF"/>
          </w:tcPr>
          <w:p>
            <w:pPr>
              <w:jc w:val="right"/>
              <w:ind w:right="827"/>
              <w:spacing w:after="0"/>
              <w:rPr>
                <w:sz w:val="20"/>
                <w:szCs w:val="20"/>
                <w:color w:val="auto"/>
              </w:rPr>
            </w:pPr>
            <w:r>
              <w:rPr>
                <w:rFonts w:ascii="Arial" w:cs="Arial" w:eastAsia="Arial" w:hAnsi="Arial"/>
                <w:sz w:val="18"/>
                <w:szCs w:val="18"/>
                <w:b w:val="1"/>
                <w:bCs w:val="1"/>
                <w:color w:val="auto"/>
              </w:rPr>
              <w:t>$</w:t>
            </w: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328.4</w:t>
            </w:r>
          </w:p>
        </w:tc>
        <w:tc>
          <w:tcPr>
            <w:tcW w:w="46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307.3</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5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314.0</w:t>
            </w:r>
          </w:p>
        </w:tc>
        <w:tc>
          <w:tcPr>
            <w:tcW w:w="340" w:type="dxa"/>
            <w:vAlign w:val="bottom"/>
            <w:gridSpan w:val="2"/>
            <w:shd w:val="clear" w:color="auto" w:fill="CCEEFF"/>
          </w:tcPr>
          <w:p>
            <w:pPr>
              <w:jc w:val="right"/>
              <w:ind w:right="210"/>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292.1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80"/>
              <w:spacing w:after="0"/>
              <w:rPr>
                <w:sz w:val="20"/>
                <w:szCs w:val="20"/>
                <w:color w:val="auto"/>
              </w:rPr>
            </w:pPr>
            <w:r>
              <w:rPr>
                <w:rFonts w:ascii="Arial" w:cs="Arial" w:eastAsia="Arial" w:hAnsi="Arial"/>
                <w:sz w:val="18"/>
                <w:szCs w:val="18"/>
                <w:color w:val="auto"/>
              </w:rPr>
              <w:t>Net cash flow</w:t>
            </w:r>
          </w:p>
        </w:tc>
        <w:tc>
          <w:tcPr>
            <w:tcW w:w="1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2.9</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0.3</w:t>
            </w:r>
          </w:p>
        </w:tc>
        <w:tc>
          <w:tcPr>
            <w:tcW w:w="260" w:type="dxa"/>
            <w:vAlign w:val="bottom"/>
          </w:tcPr>
          <w:p>
            <w:pPr>
              <w:spacing w:after="0"/>
              <w:rPr>
                <w:sz w:val="18"/>
                <w:szCs w:val="18"/>
                <w:color w:val="auto"/>
              </w:rPr>
            </w:pPr>
          </w:p>
        </w:tc>
        <w:tc>
          <w:tcPr>
            <w:tcW w:w="15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12.4</w:t>
            </w: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Investment performance (1)</w:t>
            </w:r>
          </w:p>
        </w:tc>
        <w:tc>
          <w:tcPr>
            <w:tcW w:w="11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(8.1)</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w:t>
            </w:r>
          </w:p>
        </w:tc>
        <w:tc>
          <w:tcPr>
            <w:tcW w:w="2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(3.0)</w:t>
            </w:r>
          </w:p>
        </w:tc>
        <w:tc>
          <w:tcPr>
            <w:tcW w:w="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80"/>
              <w:spacing w:after="0"/>
              <w:rPr>
                <w:sz w:val="20"/>
                <w:szCs w:val="20"/>
                <w:color w:val="auto"/>
              </w:rPr>
            </w:pPr>
            <w:r>
              <w:rPr>
                <w:rFonts w:ascii="Arial" w:cs="Arial" w:eastAsia="Arial" w:hAnsi="Arial"/>
                <w:sz w:val="18"/>
                <w:szCs w:val="18"/>
                <w:color w:val="auto"/>
              </w:rPr>
              <w:t>Operations acquired (2)</w:t>
            </w:r>
          </w:p>
        </w:tc>
        <w:tc>
          <w:tcPr>
            <w:tcW w:w="1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1.9</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18"/>
                <w:szCs w:val="18"/>
                <w:color w:val="auto"/>
              </w:rPr>
            </w:pPr>
          </w:p>
        </w:tc>
        <w:tc>
          <w:tcPr>
            <w:tcW w:w="15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1.9</w:t>
            </w: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11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(0.8)</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0.7</w:t>
            </w:r>
          </w:p>
        </w:tc>
        <w:tc>
          <w:tcPr>
            <w:tcW w:w="2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(1.0)</w:t>
            </w:r>
          </w:p>
        </w:tc>
        <w:tc>
          <w:tcPr>
            <w:tcW w:w="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AUM, end of period</w:t>
            </w:r>
          </w:p>
        </w:tc>
        <w:tc>
          <w:tcPr>
            <w:tcW w:w="1180" w:type="dxa"/>
            <w:vAlign w:val="bottom"/>
          </w:tcPr>
          <w:p>
            <w:pPr>
              <w:spacing w:after="0"/>
              <w:rPr>
                <w:sz w:val="18"/>
                <w:szCs w:val="18"/>
                <w:color w:val="auto"/>
              </w:rPr>
            </w:pPr>
          </w:p>
        </w:tc>
        <w:tc>
          <w:tcPr>
            <w:tcW w:w="980" w:type="dxa"/>
            <w:vAlign w:val="bottom"/>
            <w:tcBorders>
              <w:top w:val="single" w:sz="8" w:color="auto"/>
              <w:bottom w:val="single" w:sz="8" w:color="auto"/>
            </w:tcBorders>
          </w:tcPr>
          <w:p>
            <w:pPr>
              <w:jc w:val="right"/>
              <w:ind w:right="827"/>
              <w:spacing w:after="0"/>
              <w:rPr>
                <w:sz w:val="20"/>
                <w:szCs w:val="20"/>
                <w:color w:val="auto"/>
              </w:rPr>
            </w:pPr>
            <w:r>
              <w:rPr>
                <w:rFonts w:ascii="Arial" w:cs="Arial" w:eastAsia="Arial" w:hAnsi="Arial"/>
                <w:sz w:val="15"/>
                <w:szCs w:val="15"/>
                <w:b w:val="1"/>
                <w:bCs w:val="1"/>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324.3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307.0</w:t>
            </w:r>
          </w:p>
        </w:tc>
        <w:tc>
          <w:tcPr>
            <w:tcW w:w="280" w:type="dxa"/>
            <w:vAlign w:val="bottom"/>
          </w:tcPr>
          <w:p>
            <w:pPr>
              <w:spacing w:after="0"/>
              <w:rPr>
                <w:sz w:val="18"/>
                <w:szCs w:val="18"/>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324.3</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0"/>
                <w:szCs w:val="10"/>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307.0</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80" w:hanging="372"/>
        <w:spacing w:after="0"/>
        <w:tabs>
          <w:tab w:leader="none" w:pos="3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Variations in investment performance are primarily the result of fluctuations in market performance over time.</w:t>
      </w:r>
    </w:p>
    <w:p>
      <w:pPr>
        <w:spacing w:after="0" w:line="23" w:lineRule="exact"/>
        <w:rPr>
          <w:rFonts w:ascii="Arial" w:cs="Arial" w:eastAsia="Arial" w:hAnsi="Arial"/>
          <w:sz w:val="18"/>
          <w:szCs w:val="18"/>
          <w:color w:val="auto"/>
        </w:rPr>
      </w:pPr>
    </w:p>
    <w:p>
      <w:pPr>
        <w:ind w:left="380" w:hanging="372"/>
        <w:spacing w:after="0"/>
        <w:tabs>
          <w:tab w:leader="none" w:pos="3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Reflects assets managed by Principal Global Investors resulting from the acquisition of AXA’s MPF and ORSO pension business in September 2015.</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certain summary financial data relating to the Principal Global Investors segment for the periods indicated: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400" w:type="dxa"/>
            <w:vAlign w:val="bottom"/>
            <w:gridSpan w:val="10"/>
          </w:tcPr>
          <w:p>
            <w:pPr>
              <w:jc w:val="right"/>
              <w:ind w:right="640"/>
              <w:spacing w:after="0"/>
              <w:rPr>
                <w:sz w:val="20"/>
                <w:szCs w:val="20"/>
                <w:color w:val="auto"/>
              </w:rPr>
            </w:pPr>
            <w:r>
              <w:rPr>
                <w:rFonts w:ascii="Arial" w:cs="Arial" w:eastAsia="Arial" w:hAnsi="Arial"/>
                <w:sz w:val="14"/>
                <w:szCs w:val="14"/>
                <w:b w:val="1"/>
                <w:bCs w:val="1"/>
                <w:color w:val="auto"/>
                <w:w w:val="96"/>
              </w:rPr>
              <w:t>For the three months ended September 30,</w:t>
            </w:r>
          </w:p>
        </w:tc>
        <w:tc>
          <w:tcPr>
            <w:tcW w:w="240" w:type="dxa"/>
            <w:vAlign w:val="bottom"/>
          </w:tcPr>
          <w:p>
            <w:pPr>
              <w:spacing w:after="0"/>
              <w:rPr>
                <w:sz w:val="14"/>
                <w:szCs w:val="14"/>
                <w:color w:val="auto"/>
              </w:rPr>
            </w:pPr>
          </w:p>
        </w:tc>
        <w:tc>
          <w:tcPr>
            <w:tcW w:w="3140" w:type="dxa"/>
            <w:vAlign w:val="bottom"/>
            <w:gridSpan w:val="11"/>
          </w:tcPr>
          <w:p>
            <w:pPr>
              <w:jc w:val="right"/>
              <w:ind w:right="480"/>
              <w:spacing w:after="0"/>
              <w:rPr>
                <w:sz w:val="20"/>
                <w:szCs w:val="20"/>
                <w:color w:val="auto"/>
              </w:rPr>
            </w:pPr>
            <w:r>
              <w:rPr>
                <w:rFonts w:ascii="Arial" w:cs="Arial" w:eastAsia="Arial" w:hAnsi="Arial"/>
                <w:sz w:val="14"/>
                <w:szCs w:val="14"/>
                <w:b w:val="1"/>
                <w:bCs w:val="1"/>
                <w:color w:val="auto"/>
                <w:w w:val="94"/>
              </w:rPr>
              <w:t>For the nine months ended September 30,</w:t>
            </w:r>
          </w:p>
        </w:tc>
        <w:tc>
          <w:tcPr>
            <w:tcW w:w="0" w:type="dxa"/>
            <w:vAlign w:val="bottom"/>
          </w:tcPr>
          <w:p>
            <w:pPr>
              <w:spacing w:after="0"/>
              <w:rPr>
                <w:sz w:val="1"/>
                <w:szCs w:val="1"/>
                <w:color w:val="auto"/>
              </w:rPr>
            </w:pPr>
          </w:p>
        </w:tc>
      </w:tr>
      <w:tr>
        <w:trPr>
          <w:trHeight w:val="119"/>
        </w:trPr>
        <w:tc>
          <w:tcPr>
            <w:tcW w:w="4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34"/>
              <w:spacing w:after="0"/>
              <w:rPr>
                <w:sz w:val="20"/>
                <w:szCs w:val="20"/>
                <w:color w:val="auto"/>
              </w:rPr>
            </w:pPr>
            <w:r>
              <w:rPr>
                <w:rFonts w:ascii="Arial" w:cs="Arial" w:eastAsia="Arial" w:hAnsi="Arial"/>
                <w:sz w:val="14"/>
                <w:szCs w:val="14"/>
                <w:b w:val="1"/>
                <w:bCs w:val="1"/>
                <w:color w:val="auto"/>
              </w:rPr>
              <w:t>2015</w:t>
            </w: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vMerge w:val="restart"/>
          </w:tcPr>
          <w:p>
            <w:pPr>
              <w:jc w:val="right"/>
              <w:ind w:right="232"/>
              <w:spacing w:after="0"/>
              <w:rPr>
                <w:sz w:val="20"/>
                <w:szCs w:val="20"/>
                <w:color w:val="auto"/>
              </w:rPr>
            </w:pPr>
            <w:r>
              <w:rPr>
                <w:rFonts w:ascii="Arial" w:cs="Arial" w:eastAsia="Arial" w:hAnsi="Arial"/>
                <w:sz w:val="14"/>
                <w:szCs w:val="14"/>
                <w:b w:val="1"/>
                <w:bCs w:val="1"/>
                <w:color w:val="auto"/>
              </w:rPr>
              <w:t>2014</w:t>
            </w:r>
          </w:p>
        </w:tc>
        <w:tc>
          <w:tcPr>
            <w:tcW w:w="14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right"/>
              <w:ind w:right="95"/>
              <w:spacing w:after="0" w:line="119" w:lineRule="exact"/>
              <w:rPr>
                <w:sz w:val="20"/>
                <w:szCs w:val="20"/>
                <w:color w:val="auto"/>
              </w:rPr>
            </w:pPr>
            <w:r>
              <w:rPr>
                <w:rFonts w:ascii="Arial" w:cs="Arial" w:eastAsia="Arial" w:hAnsi="Arial"/>
                <w:sz w:val="13"/>
                <w:szCs w:val="13"/>
                <w:b w:val="1"/>
                <w:bCs w:val="1"/>
                <w:color w:val="auto"/>
              </w:rPr>
              <w:t>Increase</w:t>
            </w:r>
          </w:p>
        </w:tc>
        <w:tc>
          <w:tcPr>
            <w:tcW w:w="30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234"/>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vMerge w:val="restart"/>
          </w:tcPr>
          <w:p>
            <w:pPr>
              <w:jc w:val="right"/>
              <w:ind w:right="212"/>
              <w:spacing w:after="0"/>
              <w:rPr>
                <w:sz w:val="20"/>
                <w:szCs w:val="20"/>
                <w:color w:val="auto"/>
              </w:rPr>
            </w:pPr>
            <w:r>
              <w:rPr>
                <w:rFonts w:ascii="Arial" w:cs="Arial" w:eastAsia="Arial" w:hAnsi="Arial"/>
                <w:sz w:val="14"/>
                <w:szCs w:val="14"/>
                <w:b w:val="1"/>
                <w:bCs w:val="1"/>
                <w:color w:val="auto"/>
              </w:rPr>
              <w:t>2014</w:t>
            </w:r>
          </w:p>
        </w:tc>
        <w:tc>
          <w:tcPr>
            <w:tcW w:w="28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right"/>
              <w:ind w:right="114"/>
              <w:spacing w:after="0" w:line="119" w:lineRule="exact"/>
              <w:rPr>
                <w:sz w:val="20"/>
                <w:szCs w:val="20"/>
                <w:color w:val="auto"/>
              </w:rPr>
            </w:pPr>
            <w:r>
              <w:rPr>
                <w:rFonts w:ascii="Arial" w:cs="Arial" w:eastAsia="Arial" w:hAnsi="Arial"/>
                <w:sz w:val="13"/>
                <w:szCs w:val="13"/>
                <w:b w:val="1"/>
                <w:bCs w:val="1"/>
                <w:color w:val="auto"/>
              </w:rPr>
              <w:t>Increase</w:t>
            </w:r>
          </w:p>
        </w:tc>
        <w:tc>
          <w:tcPr>
            <w:tcW w:w="10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88"/>
              </w:rPr>
              <w:t>(decrease)</w:t>
            </w:r>
          </w:p>
        </w:tc>
        <w:tc>
          <w:tcPr>
            <w:tcW w:w="24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42"/>
        </w:trPr>
        <w:tc>
          <w:tcPr>
            <w:tcW w:w="4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32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6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tcPr>
          <w:p>
            <w:pPr>
              <w:ind w:left="200"/>
              <w:spacing w:after="0"/>
              <w:rPr>
                <w:sz w:val="20"/>
                <w:szCs w:val="20"/>
                <w:color w:val="auto"/>
              </w:rPr>
            </w:pPr>
            <w:r>
              <w:rPr>
                <w:rFonts w:ascii="Arial" w:cs="Arial" w:eastAsia="Arial" w:hAnsi="Arial"/>
                <w:sz w:val="18"/>
                <w:szCs w:val="18"/>
                <w:color w:val="auto"/>
              </w:rPr>
              <w:t>Fees and other revenues</w:t>
            </w:r>
          </w:p>
        </w:tc>
        <w:tc>
          <w:tcPr>
            <w:tcW w:w="38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183.8</w:t>
            </w:r>
          </w:p>
        </w:tc>
        <w:tc>
          <w:tcPr>
            <w:tcW w:w="32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173.3</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10.5</w:t>
            </w:r>
          </w:p>
        </w:tc>
        <w:tc>
          <w:tcPr>
            <w:tcW w:w="240" w:type="dxa"/>
            <w:vAlign w:val="bottom"/>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556.5</w:t>
            </w:r>
          </w:p>
        </w:tc>
        <w:tc>
          <w:tcPr>
            <w:tcW w:w="34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515.0</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41.5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investment income(loss)</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0.3</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w:t>
            </w: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1.3</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2.9</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0"/>
        </w:trPr>
        <w:tc>
          <w:tcPr>
            <w:tcW w:w="4260" w:type="dxa"/>
            <w:vAlign w:val="bottom"/>
          </w:tcPr>
          <w:p>
            <w:pPr>
              <w:ind w:left="380"/>
              <w:spacing w:after="0"/>
              <w:rPr>
                <w:sz w:val="20"/>
                <w:szCs w:val="20"/>
                <w:color w:val="auto"/>
              </w:rPr>
            </w:pPr>
            <w:r>
              <w:rPr>
                <w:rFonts w:ascii="Arial" w:cs="Arial" w:eastAsia="Arial" w:hAnsi="Arial"/>
                <w:sz w:val="18"/>
                <w:szCs w:val="18"/>
                <w:color w:val="auto"/>
              </w:rPr>
              <w:t>Total operating revenues</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182.8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173.6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w:t>
            </w:r>
          </w:p>
        </w:tc>
        <w:tc>
          <w:tcPr>
            <w:tcW w:w="3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557.8</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517.9</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39.9</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tcPr>
          <w:p>
            <w:pPr>
              <w:ind w:left="380"/>
              <w:spacing w:after="0"/>
              <w:rPr>
                <w:sz w:val="20"/>
                <w:szCs w:val="20"/>
                <w:color w:val="auto"/>
              </w:rPr>
            </w:pPr>
            <w:r>
              <w:rPr>
                <w:rFonts w:ascii="Arial" w:cs="Arial" w:eastAsia="Arial" w:hAnsi="Arial"/>
                <w:sz w:val="18"/>
                <w:szCs w:val="18"/>
                <w:color w:val="auto"/>
              </w:rPr>
              <w:t>Total expenses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134.8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129.7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5.1</w:t>
            </w:r>
          </w:p>
        </w:tc>
        <w:tc>
          <w:tcPr>
            <w:tcW w:w="2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408.9</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382.4</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26.5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4260" w:type="dxa"/>
            <w:vAlign w:val="bottom"/>
            <w:tcBorders>
              <w:top w:val="single" w:sz="8" w:color="CCEEFF"/>
            </w:tcBorders>
            <w:shd w:val="clear" w:color="auto" w:fill="CCEEFF"/>
          </w:tcPr>
          <w:p>
            <w:pPr>
              <w:spacing w:after="0" w:line="182" w:lineRule="exact"/>
              <w:rPr>
                <w:sz w:val="20"/>
                <w:szCs w:val="20"/>
                <w:color w:val="auto"/>
              </w:rPr>
            </w:pPr>
            <w:r>
              <w:rPr>
                <w:rFonts w:ascii="Arial" w:cs="Arial" w:eastAsia="Arial" w:hAnsi="Arial"/>
                <w:sz w:val="18"/>
                <w:szCs w:val="18"/>
                <w:color w:val="auto"/>
              </w:rPr>
              <w:t>Operating earnings before income taxes and</w:t>
            </w:r>
          </w:p>
        </w:tc>
        <w:tc>
          <w:tcPr>
            <w:tcW w:w="16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48.0</w:t>
            </w:r>
          </w:p>
        </w:tc>
        <w:tc>
          <w:tcPr>
            <w:tcW w:w="180" w:type="dxa"/>
            <w:vAlign w:val="bottom"/>
            <w:tcBorders>
              <w:top w:val="single" w:sz="8" w:color="CCEEFF"/>
            </w:tcBorders>
            <w:vMerge w:val="restart"/>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6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148.9</w:t>
            </w:r>
          </w:p>
        </w:tc>
        <w:tc>
          <w:tcPr>
            <w:tcW w:w="140" w:type="dxa"/>
            <w:vAlign w:val="bottom"/>
            <w:tcBorders>
              <w:top w:val="single" w:sz="8" w:color="CCEEFF"/>
            </w:tcBorders>
            <w:vMerge w:val="restart"/>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noncontrolling interest</w:t>
            </w:r>
          </w:p>
        </w:tc>
        <w:tc>
          <w:tcPr>
            <w:tcW w:w="1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vMerge w:val="continue"/>
            <w:shd w:val="clear" w:color="auto" w:fill="CCEEFF"/>
          </w:tcPr>
          <w:p>
            <w:pPr>
              <w:spacing w:after="0"/>
              <w:rPr>
                <w:sz w:val="20"/>
                <w:szCs w:val="20"/>
                <w:color w:val="auto"/>
              </w:rPr>
            </w:pPr>
          </w:p>
        </w:tc>
        <w:tc>
          <w:tcPr>
            <w:tcW w:w="180" w:type="dxa"/>
            <w:vAlign w:val="bottom"/>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43.9</w:t>
            </w:r>
          </w:p>
        </w:tc>
        <w:tc>
          <w:tcPr>
            <w:tcW w:w="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4.1</w:t>
            </w:r>
          </w:p>
        </w:tc>
        <w:tc>
          <w:tcPr>
            <w:tcW w:w="240" w:type="dxa"/>
            <w:vAlign w:val="bottom"/>
            <w:shd w:val="clear" w:color="auto" w:fill="CCEEFF"/>
          </w:tcPr>
          <w:p>
            <w:pPr>
              <w:spacing w:after="0"/>
              <w:rPr>
                <w:sz w:val="20"/>
                <w:szCs w:val="20"/>
                <w:color w:val="auto"/>
              </w:rPr>
            </w:pPr>
          </w:p>
        </w:tc>
        <w:tc>
          <w:tcPr>
            <w:tcW w:w="660" w:type="dxa"/>
            <w:vAlign w:val="bottom"/>
            <w:vMerge w:val="continue"/>
            <w:shd w:val="clear" w:color="auto" w:fill="CCEEFF"/>
          </w:tcPr>
          <w:p>
            <w:pPr>
              <w:spacing w:after="0"/>
              <w:rPr>
                <w:sz w:val="20"/>
                <w:szCs w:val="20"/>
                <w:color w:val="auto"/>
              </w:rPr>
            </w:pPr>
          </w:p>
        </w:tc>
        <w:tc>
          <w:tcPr>
            <w:tcW w:w="140" w:type="dxa"/>
            <w:vAlign w:val="bottom"/>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135.5</w:t>
            </w: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13.4</w:t>
            </w: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Income taxes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16.3</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14.6</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1.7</w:t>
            </w:r>
          </w:p>
        </w:tc>
        <w:tc>
          <w:tcPr>
            <w:tcW w:w="2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52.9</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44.5</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w w:val="94"/>
              </w:rPr>
              <w:t>Operating earnings attributable to noncontrolling interest</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1.3</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4.0</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(2.7)</w:t>
            </w: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3.4</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0"/>
        </w:trPr>
        <w:tc>
          <w:tcPr>
            <w:tcW w:w="4260" w:type="dxa"/>
            <w:vAlign w:val="bottom"/>
          </w:tcPr>
          <w:p>
            <w:pPr>
              <w:spacing w:after="0"/>
              <w:rPr>
                <w:sz w:val="20"/>
                <w:szCs w:val="20"/>
                <w:color w:val="auto"/>
              </w:rPr>
            </w:pPr>
            <w:r>
              <w:rPr>
                <w:rFonts w:ascii="Arial" w:cs="Arial" w:eastAsia="Arial" w:hAnsi="Arial"/>
                <w:sz w:val="18"/>
                <w:szCs w:val="18"/>
                <w:color w:val="auto"/>
              </w:rPr>
              <w:t>Operating earnings</w:t>
            </w: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30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92.6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79.6</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13.0</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2015 Compared to Three Months Ended September 30, 2014</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Operating Earnings</w:t>
      </w:r>
    </w:p>
    <w:p>
      <w:pPr>
        <w:spacing w:after="0" w:line="229" w:lineRule="exact"/>
        <w:rPr>
          <w:sz w:val="20"/>
          <w:szCs w:val="20"/>
          <w:color w:val="auto"/>
        </w:rPr>
      </w:pPr>
    </w:p>
    <w:p>
      <w:pPr>
        <w:ind w:right="740" w:firstLine="630"/>
        <w:spacing w:after="0" w:line="308" w:lineRule="auto"/>
        <w:rPr>
          <w:sz w:val="20"/>
          <w:szCs w:val="20"/>
          <w:color w:val="auto"/>
        </w:rPr>
      </w:pPr>
      <w:r>
        <w:rPr>
          <w:rFonts w:ascii="Arial" w:cs="Arial" w:eastAsia="Arial" w:hAnsi="Arial"/>
          <w:sz w:val="17"/>
          <w:szCs w:val="17"/>
          <w:color w:val="auto"/>
        </w:rPr>
        <w:t>Operating earnings increased primarily due to higher fee revenues, which were the result of an increase in average AUM, and our increased ownership in Columbus Circle Investors. These increases were partially offset by related expense growth to support our business.</w:t>
      </w:r>
    </w:p>
    <w:p>
      <w:pPr>
        <w:spacing w:after="0" w:line="143"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right="400" w:firstLine="630"/>
        <w:spacing w:after="0" w:line="297" w:lineRule="auto"/>
        <w:rPr>
          <w:sz w:val="20"/>
          <w:szCs w:val="20"/>
          <w:color w:val="auto"/>
        </w:rPr>
      </w:pPr>
      <w:r>
        <w:rPr>
          <w:rFonts w:ascii="Arial" w:cs="Arial" w:eastAsia="Arial" w:hAnsi="Arial"/>
          <w:sz w:val="16"/>
          <w:szCs w:val="16"/>
          <w:color w:val="auto"/>
        </w:rPr>
        <w:t>The effective income tax rates for the segment were 34% and 33% for the three months ended September 30, 2015 and 2014, respectively. The effective income tax rate for the three months ended September 30, 2015, was lower than the U.S. statutory rate primarily due to a foreign permanent tax adjustment partially offset by a valuation allowance on certain foreign deferred tax assets. The effective income tax rate for the three months ended September 30, 2014, was lower than the U.S. statutory rate primarily due to the inclusion of income attributable to noncontrolling interest in operating earnings before income taxes with no corresponding change in income taxes reported by us as the controlling interest.</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2015 Compared to Nine Months Ended September 30, 2014</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Operating Earnings</w:t>
      </w:r>
    </w:p>
    <w:p>
      <w:pPr>
        <w:spacing w:after="0" w:line="229" w:lineRule="exact"/>
        <w:rPr>
          <w:sz w:val="20"/>
          <w:szCs w:val="20"/>
          <w:color w:val="auto"/>
        </w:rPr>
      </w:pPr>
    </w:p>
    <w:p>
      <w:pPr>
        <w:ind w:right="20" w:firstLine="630"/>
        <w:spacing w:after="0" w:line="264" w:lineRule="auto"/>
        <w:rPr>
          <w:sz w:val="20"/>
          <w:szCs w:val="20"/>
          <w:color w:val="auto"/>
        </w:rPr>
      </w:pPr>
      <w:r>
        <w:rPr>
          <w:rFonts w:ascii="Arial" w:cs="Arial" w:eastAsia="Arial" w:hAnsi="Arial"/>
          <w:sz w:val="18"/>
          <w:szCs w:val="18"/>
          <w:color w:val="auto"/>
        </w:rPr>
        <w:t>Operating earnings increased primarily due to higher fee revenues, which were the result of an increase in average AUM, higher performance fees realized in our real estate business and our increased ownership in Columbus Circle Investors. These increases were partially offset by related expense growth to support our business.</w:t>
      </w:r>
    </w:p>
    <w:p>
      <w:pPr>
        <w:spacing w:after="0" w:line="177"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ectPr>
          <w:pgSz w:w="11900" w:h="16838" w:orient="portrait"/>
          <w:cols w:equalWidth="0" w:num="1">
            <w:col w:w="11420"/>
          </w:cols>
          <w:pgMar w:left="240" w:top="125" w:right="239" w:bottom="0" w:gutter="0" w:footer="0" w:header="0"/>
        </w:sectPr>
      </w:pPr>
    </w:p>
    <w:bookmarkStart w:id="70" w:name="page71"/>
    <w:bookmarkEnd w:id="70"/>
    <w:p>
      <w:pPr>
        <w:spacing w:after="0" w:line="62" w:lineRule="exact"/>
        <w:rPr>
          <w:sz w:val="20"/>
          <w:szCs w:val="20"/>
          <w:color w:val="auto"/>
        </w:rPr>
      </w:pPr>
    </w:p>
    <w:p>
      <w:pPr>
        <w:ind w:right="40" w:firstLine="630"/>
        <w:spacing w:after="0" w:line="271" w:lineRule="auto"/>
        <w:rPr>
          <w:sz w:val="20"/>
          <w:szCs w:val="20"/>
          <w:color w:val="auto"/>
        </w:rPr>
      </w:pPr>
      <w:r>
        <w:rPr>
          <w:rFonts w:ascii="Arial" w:cs="Arial" w:eastAsia="Arial" w:hAnsi="Arial"/>
          <w:sz w:val="17"/>
          <w:szCs w:val="17"/>
          <w:color w:val="auto"/>
        </w:rPr>
        <w:t>The effective income tax rates for the segment were 36% and 33% for the nine months ended September 30, 2015 and 2014, respectively. The effective income tax rate for the nine months ended September 30, 2015, was higher than the U.S. statutory rate primarily due to a valuation allowance on certain foreign deferred tax assets partially offset by the inclusion of income attributable to noncontrolling interest in operating earnings before income taxes with no corresponding change in income taxes reported by us as the controlling interest. The effective income tax rate for the nine months ended September 30, 2014, was lower than the U.S. statutory rate primarily due to the inclusion of income attributable to noncontrolling interest in operating earnings before income taxes with no corresponding change in income taxes reported by us as the controlling interest. The effective income tax rate increased to 36% from 33% for the nine months ended September 30, 2015 and 2014, respectively, primarily due to our increased ownership in Columbus Circle Investors lessening the impact of operating earnings attributable to noncontrolling interest.</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International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International Segment Summary Financial Data</w:t>
      </w:r>
    </w:p>
    <w:p>
      <w:pPr>
        <w:spacing w:after="0" w:line="225" w:lineRule="exact"/>
        <w:rPr>
          <w:sz w:val="20"/>
          <w:szCs w:val="20"/>
          <w:color w:val="auto"/>
        </w:rPr>
      </w:pPr>
    </w:p>
    <w:p>
      <w:pPr>
        <w:ind w:right="40" w:firstLine="630"/>
        <w:spacing w:after="0" w:line="291" w:lineRule="auto"/>
        <w:rPr>
          <w:sz w:val="20"/>
          <w:szCs w:val="20"/>
          <w:color w:val="auto"/>
        </w:rPr>
      </w:pPr>
      <w:r>
        <w:rPr>
          <w:rFonts w:ascii="Arial" w:cs="Arial" w:eastAsia="Arial" w:hAnsi="Arial"/>
          <w:sz w:val="16"/>
          <w:szCs w:val="16"/>
          <w:color w:val="auto"/>
        </w:rPr>
        <w:t>AUM is generally a key indicator of earnings growth for the segment, as AUM is the base by which we can generate local currency profits. The Cuprum business in Chile differs in that the majority of fees are collected with each deposit by the mandatory retirement customers, based on a capped salary level, as opposed to asset levels. Net customer cash flow and market performance are the two main drivers of local currency AUM growth. Net customer cash flow reflects our ability to attract and retain client deposits. Market performance reflects the investment returns on our underlying AUM. Our financial results are also impacted by fluctuations of the foreign currency to U.S. dollar exchange rates for the countries in which we have business. AUM of our foreign subsidiaries is translated into U.S. dollar equivalents at the end of the reporting period using the spot foreign exchange rates. Revenue and expenses for our foreign subsidiaries are translated into U.S. dollar equivalents at the average foreign exchange rates for the reporting period.</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Principal International segment AUM rollforward for the periods indicated: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3540" w:type="dxa"/>
            <w:vAlign w:val="bottom"/>
            <w:gridSpan w:val="7"/>
          </w:tcPr>
          <w:p>
            <w:pPr>
              <w:jc w:val="right"/>
              <w:ind w:right="600"/>
              <w:spacing w:after="0"/>
              <w:rPr>
                <w:sz w:val="20"/>
                <w:szCs w:val="20"/>
                <w:color w:val="auto"/>
              </w:rPr>
            </w:pPr>
            <w:r>
              <w:rPr>
                <w:rFonts w:ascii="Arial" w:cs="Arial" w:eastAsia="Arial" w:hAnsi="Arial"/>
                <w:sz w:val="14"/>
                <w:szCs w:val="14"/>
                <w:b w:val="1"/>
                <w:bCs w:val="1"/>
                <w:color w:val="auto"/>
              </w:rPr>
              <w:t>For the three months ended September 30,</w:t>
            </w:r>
          </w:p>
        </w:tc>
        <w:tc>
          <w:tcPr>
            <w:tcW w:w="260" w:type="dxa"/>
            <w:vAlign w:val="bottom"/>
          </w:tcPr>
          <w:p>
            <w:pPr>
              <w:spacing w:after="0"/>
              <w:rPr>
                <w:sz w:val="14"/>
                <w:szCs w:val="14"/>
                <w:color w:val="auto"/>
              </w:rPr>
            </w:pPr>
          </w:p>
        </w:tc>
        <w:tc>
          <w:tcPr>
            <w:tcW w:w="3080" w:type="dxa"/>
            <w:vAlign w:val="bottom"/>
            <w:gridSpan w:val="6"/>
          </w:tcPr>
          <w:p>
            <w:pPr>
              <w:jc w:val="right"/>
              <w:ind w:right="440"/>
              <w:spacing w:after="0"/>
              <w:rPr>
                <w:sz w:val="20"/>
                <w:szCs w:val="20"/>
                <w:color w:val="auto"/>
              </w:rPr>
            </w:pPr>
            <w:r>
              <w:rPr>
                <w:rFonts w:ascii="Arial" w:cs="Arial" w:eastAsia="Arial" w:hAnsi="Arial"/>
                <w:sz w:val="14"/>
                <w:szCs w:val="14"/>
                <w:b w:val="1"/>
                <w:bCs w:val="1"/>
                <w:color w:val="auto"/>
                <w:w w:val="93"/>
              </w:rPr>
              <w:t>For the nine months ended 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980" w:type="dxa"/>
            <w:vAlign w:val="bottom"/>
            <w:tcBorders>
              <w:top w:val="single" w:sz="8" w:color="auto"/>
              <w:bottom w:val="single" w:sz="8" w:color="auto"/>
            </w:tcBorders>
          </w:tcPr>
          <w:p>
            <w:pPr>
              <w:jc w:val="right"/>
              <w:ind w:right="27"/>
              <w:spacing w:after="0" w:line="142" w:lineRule="exact"/>
              <w:rPr>
                <w:sz w:val="20"/>
                <w:szCs w:val="20"/>
                <w:color w:val="auto"/>
              </w:rPr>
            </w:pPr>
            <w:r>
              <w:rPr>
                <w:rFonts w:ascii="Arial" w:cs="Arial" w:eastAsia="Arial" w:hAnsi="Arial"/>
                <w:sz w:val="14"/>
                <w:szCs w:val="14"/>
                <w:b w:val="1"/>
                <w:bCs w:val="1"/>
                <w:color w:val="auto"/>
              </w:rPr>
              <w:t>2015</w:t>
            </w:r>
          </w:p>
        </w:tc>
        <w:tc>
          <w:tcPr>
            <w:tcW w:w="52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spacing w:after="0"/>
              <w:rPr>
                <w:sz w:val="12"/>
                <w:szCs w:val="12"/>
                <w:color w:val="auto"/>
              </w:rPr>
            </w:pPr>
          </w:p>
        </w:tc>
        <w:tc>
          <w:tcPr>
            <w:tcW w:w="1140" w:type="dxa"/>
            <w:vAlign w:val="bottom"/>
            <w:tcBorders>
              <w:top w:val="single" w:sz="8" w:color="auto"/>
              <w:bottom w:val="single" w:sz="8" w:color="auto"/>
            </w:tcBorders>
          </w:tcPr>
          <w:p>
            <w:pPr>
              <w:jc w:val="right"/>
              <w:ind w:right="514"/>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bottom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1220" w:type="dxa"/>
            <w:vAlign w:val="bottom"/>
            <w:tcBorders>
              <w:top w:val="single" w:sz="8" w:color="auto"/>
              <w:bottom w:val="single" w:sz="8" w:color="auto"/>
            </w:tcBorders>
          </w:tcPr>
          <w:p>
            <w:pPr>
              <w:jc w:val="right"/>
              <w:ind w:right="514"/>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340" w:type="dxa"/>
            <w:vAlign w:val="bottom"/>
            <w:tcBorders>
              <w:top w:val="single" w:sz="8" w:color="auto"/>
              <w:bottom w:val="single" w:sz="8" w:color="auto"/>
            </w:tcBorders>
          </w:tcPr>
          <w:p>
            <w:pPr>
              <w:spacing w:after="0"/>
              <w:rPr>
                <w:sz w:val="12"/>
                <w:szCs w:val="12"/>
                <w:color w:val="auto"/>
              </w:rPr>
            </w:pPr>
          </w:p>
        </w:tc>
        <w:tc>
          <w:tcPr>
            <w:tcW w:w="1140" w:type="dxa"/>
            <w:vAlign w:val="bottom"/>
            <w:tcBorders>
              <w:top w:val="single" w:sz="8" w:color="auto"/>
              <w:bottom w:val="single" w:sz="8" w:color="auto"/>
            </w:tcBorders>
          </w:tcPr>
          <w:p>
            <w:pPr>
              <w:jc w:val="right"/>
              <w:ind w:right="512"/>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3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8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billions)</w:t>
            </w:r>
          </w:p>
        </w:tc>
        <w:tc>
          <w:tcPr>
            <w:tcW w:w="1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33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AUM, beginning of period</w:t>
            </w:r>
          </w:p>
        </w:tc>
        <w:tc>
          <w:tcPr>
            <w:tcW w:w="2160" w:type="dxa"/>
            <w:vAlign w:val="bottom"/>
            <w:gridSpan w:val="2"/>
            <w:shd w:val="clear" w:color="auto" w:fill="CCEEFF"/>
          </w:tcPr>
          <w:p>
            <w:pPr>
              <w:jc w:val="right"/>
              <w:ind w:right="827"/>
              <w:spacing w:after="0"/>
              <w:rPr>
                <w:sz w:val="20"/>
                <w:szCs w:val="20"/>
                <w:color w:val="auto"/>
              </w:rPr>
            </w:pPr>
            <w:r>
              <w:rPr>
                <w:rFonts w:ascii="Arial" w:cs="Arial" w:eastAsia="Arial" w:hAnsi="Arial"/>
                <w:sz w:val="18"/>
                <w:szCs w:val="18"/>
                <w:b w:val="1"/>
                <w:bCs w:val="1"/>
                <w:color w:val="auto"/>
              </w:rPr>
              <w:t>$</w:t>
            </w: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117.5</w:t>
            </w:r>
          </w:p>
        </w:tc>
        <w:tc>
          <w:tcPr>
            <w:tcW w:w="46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118.8</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114.6</w:t>
            </w:r>
          </w:p>
        </w:tc>
        <w:tc>
          <w:tcPr>
            <w:tcW w:w="16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85"/>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80"/>
              <w:spacing w:after="0"/>
              <w:rPr>
                <w:sz w:val="20"/>
                <w:szCs w:val="20"/>
                <w:color w:val="auto"/>
              </w:rPr>
            </w:pPr>
            <w:r>
              <w:rPr>
                <w:rFonts w:ascii="Arial" w:cs="Arial" w:eastAsia="Arial" w:hAnsi="Arial"/>
                <w:sz w:val="18"/>
                <w:szCs w:val="18"/>
                <w:color w:val="auto"/>
              </w:rPr>
              <w:t>Net cash flow (1)</w:t>
            </w:r>
          </w:p>
        </w:tc>
        <w:tc>
          <w:tcPr>
            <w:tcW w:w="1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1.6</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2.5</w:t>
            </w:r>
          </w:p>
        </w:tc>
        <w:tc>
          <w:tcPr>
            <w:tcW w:w="260" w:type="dxa"/>
            <w:vAlign w:val="bottom"/>
          </w:tcPr>
          <w:p>
            <w:pPr>
              <w:spacing w:after="0"/>
              <w:rPr>
                <w:sz w:val="18"/>
                <w:szCs w:val="18"/>
                <w:color w:val="auto"/>
              </w:rPr>
            </w:pPr>
          </w:p>
        </w:tc>
        <w:tc>
          <w:tcPr>
            <w:tcW w:w="13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7.5</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Investment performance (2)</w:t>
            </w:r>
          </w:p>
        </w:tc>
        <w:tc>
          <w:tcPr>
            <w:tcW w:w="11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0.3</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3.9</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5.2</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80"/>
              <w:spacing w:after="0"/>
              <w:rPr>
                <w:sz w:val="20"/>
                <w:szCs w:val="20"/>
                <w:color w:val="auto"/>
              </w:rPr>
            </w:pPr>
            <w:r>
              <w:rPr>
                <w:rFonts w:ascii="Arial" w:cs="Arial" w:eastAsia="Arial" w:hAnsi="Arial"/>
                <w:sz w:val="18"/>
                <w:szCs w:val="18"/>
                <w:color w:val="auto"/>
              </w:rPr>
              <w:t>Operations acquired (3)</w:t>
            </w:r>
          </w:p>
        </w:tc>
        <w:tc>
          <w:tcPr>
            <w:tcW w:w="1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3.1</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3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4.0</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Effect of exchange rates</w:t>
            </w:r>
          </w:p>
        </w:tc>
        <w:tc>
          <w:tcPr>
            <w:tcW w:w="11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(16.3)</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(8.6)</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(26.9)</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80"/>
              <w:spacing w:after="0"/>
              <w:rPr>
                <w:sz w:val="20"/>
                <w:szCs w:val="20"/>
                <w:color w:val="auto"/>
              </w:rPr>
            </w:pPr>
            <w:r>
              <w:rPr>
                <w:rFonts w:ascii="Arial" w:cs="Arial" w:eastAsia="Arial" w:hAnsi="Arial"/>
                <w:sz w:val="18"/>
                <w:szCs w:val="18"/>
                <w:color w:val="auto"/>
              </w:rPr>
              <w:t>Other (4)</w:t>
            </w:r>
          </w:p>
        </w:tc>
        <w:tc>
          <w:tcPr>
            <w:tcW w:w="1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(0.5)</w:t>
            </w:r>
          </w:p>
        </w:tc>
        <w:tc>
          <w:tcPr>
            <w:tcW w:w="260" w:type="dxa"/>
            <w:vAlign w:val="bottom"/>
          </w:tcPr>
          <w:p>
            <w:pPr>
              <w:spacing w:after="0"/>
              <w:rPr>
                <w:sz w:val="18"/>
                <w:szCs w:val="18"/>
                <w:color w:val="auto"/>
              </w:rPr>
            </w:pPr>
          </w:p>
        </w:tc>
        <w:tc>
          <w:tcPr>
            <w:tcW w:w="13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1.8</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40" w:type="dxa"/>
            <w:vAlign w:val="bottom"/>
            <w:gridSpan w:val="2"/>
          </w:tcPr>
          <w:p>
            <w:pPr>
              <w:jc w:val="right"/>
              <w:ind w:right="4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3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AUM, end of period</w:t>
            </w:r>
          </w:p>
        </w:tc>
        <w:tc>
          <w:tcPr>
            <w:tcW w:w="1180" w:type="dxa"/>
            <w:vAlign w:val="bottom"/>
            <w:tcBorders>
              <w:top w:val="single" w:sz="8" w:color="CCEEFF"/>
              <w:bottom w:val="single" w:sz="8" w:color="CCEEFF"/>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ind w:right="827"/>
              <w:spacing w:after="0"/>
              <w:rPr>
                <w:sz w:val="20"/>
                <w:szCs w:val="20"/>
                <w:color w:val="auto"/>
              </w:rPr>
            </w:pPr>
            <w:r>
              <w:rPr>
                <w:rFonts w:ascii="Arial" w:cs="Arial" w:eastAsia="Arial" w:hAnsi="Arial"/>
                <w:sz w:val="15"/>
                <w:szCs w:val="15"/>
                <w:b w:val="1"/>
                <w:bCs w:val="1"/>
                <w:color w:val="auto"/>
                <w:w w:val="71"/>
              </w:rPr>
              <w:t>$</w:t>
            </w: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106.2</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116.1</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106.2</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420" w:hanging="412"/>
        <w:spacing w:after="0"/>
        <w:tabs>
          <w:tab w:leader="none" w:pos="4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Positive net cash flows are primarily due to continued strong distribution results.</w:t>
      </w:r>
    </w:p>
    <w:p>
      <w:pPr>
        <w:spacing w:after="0" w:line="23" w:lineRule="exact"/>
        <w:rPr>
          <w:rFonts w:ascii="Arial" w:cs="Arial" w:eastAsia="Arial" w:hAnsi="Arial"/>
          <w:sz w:val="18"/>
          <w:szCs w:val="18"/>
          <w:color w:val="auto"/>
        </w:rPr>
      </w:pPr>
    </w:p>
    <w:p>
      <w:pPr>
        <w:ind w:left="420" w:hanging="412"/>
        <w:spacing w:after="0"/>
        <w:tabs>
          <w:tab w:leader="none" w:pos="4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Variations in investment performance are primarily the result of fluctuations in market performance over time.</w:t>
      </w:r>
    </w:p>
    <w:p>
      <w:pPr>
        <w:spacing w:after="0" w:line="9" w:lineRule="exact"/>
        <w:rPr>
          <w:rFonts w:ascii="Arial" w:cs="Arial" w:eastAsia="Arial" w:hAnsi="Arial"/>
          <w:sz w:val="18"/>
          <w:szCs w:val="18"/>
          <w:color w:val="auto"/>
        </w:rPr>
      </w:pPr>
    </w:p>
    <w:p>
      <w:pPr>
        <w:ind w:left="420" w:hanging="412"/>
        <w:spacing w:after="0"/>
        <w:tabs>
          <w:tab w:leader="none" w:pos="4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Reflects the acquisition of AXA’s MPF and ORSO pension business in September 2015 and Finansa Asset Management Limited in January 2015.</w:t>
      </w:r>
    </w:p>
    <w:p>
      <w:pPr>
        <w:spacing w:after="0" w:line="20" w:lineRule="exact"/>
        <w:rPr>
          <w:rFonts w:ascii="Arial" w:cs="Arial" w:eastAsia="Arial" w:hAnsi="Arial"/>
          <w:sz w:val="17"/>
          <w:szCs w:val="17"/>
          <w:color w:val="auto"/>
        </w:rPr>
      </w:pPr>
    </w:p>
    <w:p>
      <w:pPr>
        <w:ind w:left="420" w:hanging="412"/>
        <w:spacing w:after="0"/>
        <w:tabs>
          <w:tab w:leader="none" w:pos="4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Reflects $1.9 billion transfer of CIMB-Principal Islamic Asset Management Sdn. Bhd from Principal Global Investors in April 2015.</w:t>
      </w:r>
    </w:p>
    <w:p>
      <w:pPr>
        <w:spacing w:after="0" w:line="211" w:lineRule="exact"/>
        <w:rPr>
          <w:sz w:val="20"/>
          <w:szCs w:val="20"/>
          <w:color w:val="auto"/>
        </w:rPr>
      </w:pPr>
    </w:p>
    <w:p>
      <w:pPr>
        <w:ind w:right="440" w:firstLine="630"/>
        <w:spacing w:after="0" w:line="277" w:lineRule="auto"/>
        <w:rPr>
          <w:sz w:val="20"/>
          <w:szCs w:val="20"/>
          <w:color w:val="auto"/>
        </w:rPr>
      </w:pPr>
      <w:r>
        <w:rPr>
          <w:rFonts w:ascii="Arial" w:cs="Arial" w:eastAsia="Arial" w:hAnsi="Arial"/>
          <w:sz w:val="18"/>
          <w:szCs w:val="18"/>
          <w:color w:val="auto"/>
        </w:rPr>
        <w:t>Net revenue is a key metric used to understand the earnings growth for the Principal International segment. The following table presents the net revenue of the Principal International segment for the periods indicated.</w:t>
      </w:r>
    </w:p>
    <w:p>
      <w:pPr>
        <w:spacing w:after="0" w:line="200" w:lineRule="exact"/>
        <w:rPr>
          <w:sz w:val="20"/>
          <w:szCs w:val="20"/>
          <w:color w:val="auto"/>
        </w:rPr>
      </w:pP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0" w:type="dxa"/>
            <w:vAlign w:val="bottom"/>
            <w:gridSpan w:val="6"/>
          </w:tcPr>
          <w:p>
            <w:pPr>
              <w:jc w:val="center"/>
              <w:ind w:right="400"/>
              <w:spacing w:after="0"/>
              <w:rPr>
                <w:sz w:val="20"/>
                <w:szCs w:val="20"/>
                <w:color w:val="auto"/>
              </w:rPr>
            </w:pPr>
            <w:r>
              <w:rPr>
                <w:rFonts w:ascii="Arial" w:cs="Arial" w:eastAsia="Arial" w:hAnsi="Arial"/>
                <w:sz w:val="14"/>
                <w:szCs w:val="14"/>
                <w:b w:val="1"/>
                <w:bCs w:val="1"/>
                <w:color w:val="auto"/>
                <w:w w:val="91"/>
              </w:rPr>
              <w:t>For the three months ended September 30,</w:t>
            </w: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620" w:type="dxa"/>
            <w:vAlign w:val="bottom"/>
            <w:gridSpan w:val="6"/>
          </w:tcPr>
          <w:p>
            <w:pPr>
              <w:jc w:val="center"/>
              <w:ind w:right="420"/>
              <w:spacing w:after="0"/>
              <w:rPr>
                <w:sz w:val="20"/>
                <w:szCs w:val="20"/>
                <w:color w:val="auto"/>
              </w:rPr>
            </w:pPr>
            <w:r>
              <w:rPr>
                <w:rFonts w:ascii="Arial" w:cs="Arial" w:eastAsia="Arial" w:hAnsi="Arial"/>
                <w:sz w:val="14"/>
                <w:szCs w:val="14"/>
                <w:b w:val="1"/>
                <w:bCs w:val="1"/>
                <w:color w:val="auto"/>
                <w:w w:val="91"/>
              </w:rPr>
              <w:t>For the nine months ended September 30,</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320" w:type="dxa"/>
            <w:vAlign w:val="bottom"/>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vMerge w:val="restart"/>
          </w:tcPr>
          <w:p>
            <w:pPr>
              <w:jc w:val="right"/>
              <w:ind w:right="462"/>
              <w:spacing w:after="0"/>
              <w:rPr>
                <w:sz w:val="20"/>
                <w:szCs w:val="20"/>
                <w:color w:val="auto"/>
              </w:rPr>
            </w:pPr>
            <w:r>
              <w:rPr>
                <w:rFonts w:ascii="Arial" w:cs="Arial" w:eastAsia="Arial" w:hAnsi="Arial"/>
                <w:sz w:val="14"/>
                <w:szCs w:val="14"/>
                <w:b w:val="1"/>
                <w:bCs w:val="1"/>
                <w:color w:val="auto"/>
              </w:rPr>
              <w:t>2015</w:t>
            </w:r>
          </w:p>
        </w:tc>
        <w:tc>
          <w:tcPr>
            <w:tcW w:w="38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vMerge w:val="restart"/>
          </w:tcPr>
          <w:p>
            <w:pPr>
              <w:jc w:val="right"/>
              <w:ind w:right="479"/>
              <w:spacing w:after="0"/>
              <w:rPr>
                <w:sz w:val="20"/>
                <w:szCs w:val="20"/>
                <w:color w:val="auto"/>
              </w:rPr>
            </w:pPr>
            <w:r>
              <w:rPr>
                <w:rFonts w:ascii="Arial" w:cs="Arial" w:eastAsia="Arial" w:hAnsi="Arial"/>
                <w:sz w:val="14"/>
                <w:szCs w:val="14"/>
                <w:b w:val="1"/>
                <w:bCs w:val="1"/>
                <w:color w:val="auto"/>
              </w:rPr>
              <w:t>2014</w:t>
            </w:r>
          </w:p>
        </w:tc>
        <w:tc>
          <w:tcPr>
            <w:tcW w:w="28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tcPr>
          <w:p>
            <w:pPr>
              <w:jc w:val="center"/>
              <w:ind w:right="105"/>
              <w:spacing w:after="0" w:line="119" w:lineRule="exact"/>
              <w:rPr>
                <w:sz w:val="20"/>
                <w:szCs w:val="20"/>
                <w:color w:val="auto"/>
              </w:rPr>
            </w:pPr>
            <w:r>
              <w:rPr>
                <w:rFonts w:ascii="Arial" w:cs="Arial" w:eastAsia="Arial" w:hAnsi="Arial"/>
                <w:sz w:val="13"/>
                <w:szCs w:val="13"/>
                <w:b w:val="1"/>
                <w:bCs w:val="1"/>
                <w:color w:val="auto"/>
                <w:w w:val="98"/>
              </w:rPr>
              <w:t>Increase</w:t>
            </w: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vMerge w:val="restart"/>
          </w:tcPr>
          <w:p>
            <w:pPr>
              <w:jc w:val="right"/>
              <w:ind w:right="462"/>
              <w:spacing w:after="0"/>
              <w:rPr>
                <w:sz w:val="20"/>
                <w:szCs w:val="20"/>
                <w:color w:val="auto"/>
              </w:rPr>
            </w:pPr>
            <w:r>
              <w:rPr>
                <w:rFonts w:ascii="Arial" w:cs="Arial" w:eastAsia="Arial" w:hAnsi="Arial"/>
                <w:sz w:val="14"/>
                <w:szCs w:val="14"/>
                <w:b w:val="1"/>
                <w:bCs w:val="1"/>
                <w:color w:val="auto"/>
              </w:rPr>
              <w:t>2015</w:t>
            </w:r>
          </w:p>
        </w:tc>
        <w:tc>
          <w:tcPr>
            <w:tcW w:w="36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vMerge w:val="restart"/>
          </w:tcPr>
          <w:p>
            <w:pPr>
              <w:jc w:val="right"/>
              <w:ind w:right="439"/>
              <w:spacing w:after="0"/>
              <w:rPr>
                <w:sz w:val="20"/>
                <w:szCs w:val="20"/>
                <w:color w:val="auto"/>
              </w:rPr>
            </w:pPr>
            <w:r>
              <w:rPr>
                <w:rFonts w:ascii="Arial" w:cs="Arial" w:eastAsia="Arial" w:hAnsi="Arial"/>
                <w:sz w:val="14"/>
                <w:szCs w:val="14"/>
                <w:b w:val="1"/>
                <w:bCs w:val="1"/>
                <w:color w:val="auto"/>
              </w:rPr>
              <w:t>2014</w:t>
            </w:r>
          </w:p>
        </w:tc>
        <w:tc>
          <w:tcPr>
            <w:tcW w:w="300" w:type="dxa"/>
            <w:vAlign w:val="bottom"/>
            <w:tcBorders>
              <w:top w:val="single" w:sz="8" w:color="auto"/>
            </w:tcBorders>
          </w:tcPr>
          <w:p>
            <w:pPr>
              <w:spacing w:after="0"/>
              <w:rPr>
                <w:sz w:val="10"/>
                <w:szCs w:val="10"/>
                <w:color w:val="auto"/>
              </w:rPr>
            </w:pPr>
          </w:p>
        </w:tc>
        <w:tc>
          <w:tcPr>
            <w:tcW w:w="960" w:type="dxa"/>
            <w:vAlign w:val="bottom"/>
            <w:tcBorders>
              <w:top w:val="single" w:sz="8" w:color="auto"/>
            </w:tcBorders>
          </w:tcPr>
          <w:p>
            <w:pPr>
              <w:jc w:val="center"/>
              <w:ind w:right="124"/>
              <w:spacing w:after="0" w:line="119" w:lineRule="exact"/>
              <w:rPr>
                <w:sz w:val="20"/>
                <w:szCs w:val="20"/>
                <w:color w:val="auto"/>
              </w:rPr>
            </w:pPr>
            <w:r>
              <w:rPr>
                <w:rFonts w:ascii="Arial" w:cs="Arial" w:eastAsia="Arial" w:hAnsi="Arial"/>
                <w:sz w:val="13"/>
                <w:szCs w:val="13"/>
                <w:b w:val="1"/>
                <w:bCs w:val="1"/>
                <w:color w:val="auto"/>
                <w:w w:val="98"/>
              </w:rPr>
              <w:t>Increase</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38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(decrease)</w:t>
            </w: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2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320" w:type="dxa"/>
            <w:vAlign w:val="bottom"/>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380" w:type="dxa"/>
            <w:vAlign w:val="bottom"/>
            <w:tcBorders>
              <w:top w:val="single" w:sz="8" w:color="auto"/>
            </w:tcBorders>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520" w:type="dxa"/>
            <w:vAlign w:val="bottom"/>
            <w:tcBorders>
              <w:top w:val="single" w:sz="8" w:color="auto"/>
            </w:tcBorders>
            <w:gridSpan w:val="4"/>
          </w:tcPr>
          <w:p>
            <w:pPr>
              <w:jc w:val="right"/>
              <w:ind w:right="100"/>
              <w:spacing w:after="0"/>
              <w:rPr>
                <w:sz w:val="20"/>
                <w:szCs w:val="20"/>
                <w:color w:val="auto"/>
              </w:rPr>
            </w:pPr>
            <w:r>
              <w:rPr>
                <w:rFonts w:ascii="Arial" w:cs="Arial" w:eastAsia="Arial" w:hAnsi="Arial"/>
                <w:sz w:val="14"/>
                <w:szCs w:val="14"/>
                <w:b w:val="1"/>
                <w:bCs w:val="1"/>
                <w:color w:val="auto"/>
              </w:rPr>
              <w:t>(in millions)</w:t>
            </w:r>
          </w:p>
        </w:tc>
        <w:tc>
          <w:tcPr>
            <w:tcW w:w="920" w:type="dxa"/>
            <w:vAlign w:val="bottom"/>
            <w:tcBorders>
              <w:top w:val="single" w:sz="8" w:color="auto"/>
            </w:tcBorders>
          </w:tcPr>
          <w:p>
            <w:pPr>
              <w:spacing w:after="0"/>
              <w:rPr>
                <w:sz w:val="15"/>
                <w:szCs w:val="15"/>
                <w:color w:val="auto"/>
              </w:rPr>
            </w:pPr>
          </w:p>
        </w:tc>
        <w:tc>
          <w:tcPr>
            <w:tcW w:w="36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33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00" w:type="dxa"/>
            <w:vAlign w:val="bottom"/>
            <w:shd w:val="clear" w:color="auto" w:fill="CCEEFF"/>
          </w:tcPr>
          <w:p>
            <w:pPr>
              <w:jc w:val="right"/>
              <w:ind w:right="22"/>
              <w:spacing w:after="0"/>
              <w:rPr>
                <w:sz w:val="20"/>
                <w:szCs w:val="20"/>
                <w:color w:val="auto"/>
              </w:rPr>
            </w:pPr>
            <w:r>
              <w:rPr>
                <w:rFonts w:ascii="Arial" w:cs="Arial" w:eastAsia="Arial" w:hAnsi="Arial"/>
                <w:sz w:val="18"/>
                <w:szCs w:val="18"/>
                <w:b w:val="1"/>
                <w:bCs w:val="1"/>
                <w:color w:val="auto"/>
              </w:rPr>
              <w:t>146.3</w:t>
            </w:r>
          </w:p>
        </w:tc>
        <w:tc>
          <w:tcPr>
            <w:tcW w:w="3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179.4</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(33.1)</w:t>
            </w:r>
          </w:p>
        </w:tc>
        <w:tc>
          <w:tcPr>
            <w:tcW w:w="4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CEEFF"/>
          </w:tcPr>
          <w:p>
            <w:pPr>
              <w:jc w:val="right"/>
              <w:ind w:right="22"/>
              <w:spacing w:after="0"/>
              <w:rPr>
                <w:sz w:val="20"/>
                <w:szCs w:val="20"/>
                <w:color w:val="auto"/>
              </w:rPr>
            </w:pPr>
            <w:r>
              <w:rPr>
                <w:rFonts w:ascii="Arial" w:cs="Arial" w:eastAsia="Arial" w:hAnsi="Arial"/>
                <w:sz w:val="18"/>
                <w:szCs w:val="18"/>
                <w:b w:val="1"/>
                <w:bCs w:val="1"/>
                <w:color w:val="auto"/>
              </w:rPr>
              <w:t>445.8</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499.0</w:t>
            </w:r>
          </w:p>
        </w:tc>
        <w:tc>
          <w:tcPr>
            <w:tcW w:w="3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(53.2)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00" w:firstLine="648"/>
        <w:spacing w:after="0" w:line="255" w:lineRule="auto"/>
        <w:rPr>
          <w:sz w:val="20"/>
          <w:szCs w:val="20"/>
          <w:color w:val="auto"/>
        </w:rPr>
      </w:pPr>
      <w:r>
        <w:rPr>
          <w:rFonts w:ascii="Arial" w:cs="Arial" w:eastAsia="Arial" w:hAnsi="Arial"/>
          <w:sz w:val="18"/>
          <w:szCs w:val="18"/>
          <w:color w:val="auto"/>
        </w:rPr>
        <w:t>For the three months ended September 30, 2015 compared to September 30, 2014, net revenue decreased primarily due to the weakening of Latin American currencies against the U.S. dollar and unfavorable market changes on our regulatory required investment in the pension funds of our Chilean pension company. These were partially offset by higher earnings in our equity method investment in Brazil. For the nine months ended September 30, 2015 compared to September 30, 2014, net revenue decreased primarily due to unfavorable market changes on our regulatory required investment in the pension funds in Chile and the weakening of Latin American currencies against the U.S. dollar. These were partially offset by higher earnings in our equity method investment in Brazil.</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certain summary financial data of the Principal International segment for the periods indicated.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400" w:type="dxa"/>
            <w:vAlign w:val="bottom"/>
            <w:gridSpan w:val="6"/>
          </w:tcPr>
          <w:p>
            <w:pPr>
              <w:jc w:val="center"/>
              <w:ind w:right="500"/>
              <w:spacing w:after="0"/>
              <w:rPr>
                <w:sz w:val="20"/>
                <w:szCs w:val="20"/>
                <w:color w:val="auto"/>
              </w:rPr>
            </w:pPr>
            <w:r>
              <w:rPr>
                <w:rFonts w:ascii="Arial" w:cs="Arial" w:eastAsia="Arial" w:hAnsi="Arial"/>
                <w:sz w:val="14"/>
                <w:szCs w:val="14"/>
                <w:b w:val="1"/>
                <w:bCs w:val="1"/>
                <w:color w:val="auto"/>
                <w:w w:val="92"/>
              </w:rPr>
              <w:t>For the three months ended September 30,</w:t>
            </w:r>
          </w:p>
        </w:tc>
        <w:tc>
          <w:tcPr>
            <w:tcW w:w="240" w:type="dxa"/>
            <w:vAlign w:val="bottom"/>
          </w:tcPr>
          <w:p>
            <w:pPr>
              <w:spacing w:after="0"/>
              <w:rPr>
                <w:sz w:val="14"/>
                <w:szCs w:val="14"/>
                <w:color w:val="auto"/>
              </w:rPr>
            </w:pPr>
          </w:p>
        </w:tc>
        <w:tc>
          <w:tcPr>
            <w:tcW w:w="3140" w:type="dxa"/>
            <w:vAlign w:val="bottom"/>
            <w:gridSpan w:val="6"/>
          </w:tcPr>
          <w:p>
            <w:pPr>
              <w:jc w:val="center"/>
              <w:ind w:right="360"/>
              <w:spacing w:after="0"/>
              <w:rPr>
                <w:sz w:val="20"/>
                <w:szCs w:val="20"/>
                <w:color w:val="auto"/>
              </w:rPr>
            </w:pPr>
            <w:r>
              <w:rPr>
                <w:rFonts w:ascii="Arial" w:cs="Arial" w:eastAsia="Arial" w:hAnsi="Arial"/>
                <w:sz w:val="14"/>
                <w:szCs w:val="14"/>
                <w:b w:val="1"/>
                <w:bCs w:val="1"/>
                <w:color w:val="auto"/>
                <w:w w:val="90"/>
              </w:rPr>
              <w:t>For the nine months ended September 30,</w:t>
            </w:r>
          </w:p>
        </w:tc>
        <w:tc>
          <w:tcPr>
            <w:tcW w:w="0" w:type="dxa"/>
            <w:vAlign w:val="bottom"/>
          </w:tcPr>
          <w:p>
            <w:pPr>
              <w:spacing w:after="0"/>
              <w:rPr>
                <w:sz w:val="1"/>
                <w:szCs w:val="1"/>
                <w:color w:val="auto"/>
              </w:rPr>
            </w:pPr>
          </w:p>
        </w:tc>
      </w:tr>
      <w:tr>
        <w:trPr>
          <w:trHeight w:val="119"/>
        </w:trPr>
        <w:tc>
          <w:tcPr>
            <w:tcW w:w="35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vMerge w:val="restart"/>
          </w:tcPr>
          <w:p>
            <w:pPr>
              <w:jc w:val="right"/>
              <w:ind w:right="382"/>
              <w:spacing w:after="0"/>
              <w:rPr>
                <w:sz w:val="20"/>
                <w:szCs w:val="20"/>
                <w:color w:val="auto"/>
              </w:rPr>
            </w:pPr>
            <w:r>
              <w:rPr>
                <w:rFonts w:ascii="Arial" w:cs="Arial" w:eastAsia="Arial" w:hAnsi="Arial"/>
                <w:sz w:val="14"/>
                <w:szCs w:val="14"/>
                <w:b w:val="1"/>
                <w:bCs w:val="1"/>
                <w:color w:val="auto"/>
              </w:rPr>
              <w:t>2015</w:t>
            </w:r>
          </w:p>
        </w:tc>
        <w:tc>
          <w:tcPr>
            <w:tcW w:w="36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vMerge w:val="restart"/>
          </w:tcPr>
          <w:p>
            <w:pPr>
              <w:jc w:val="right"/>
              <w:ind w:right="379"/>
              <w:spacing w:after="0"/>
              <w:rPr>
                <w:sz w:val="20"/>
                <w:szCs w:val="20"/>
                <w:color w:val="auto"/>
              </w:rPr>
            </w:pPr>
            <w:r>
              <w:rPr>
                <w:rFonts w:ascii="Arial" w:cs="Arial" w:eastAsia="Arial" w:hAnsi="Arial"/>
                <w:sz w:val="14"/>
                <w:szCs w:val="14"/>
                <w:b w:val="1"/>
                <w:bCs w:val="1"/>
                <w:color w:val="auto"/>
              </w:rPr>
              <w:t>2014</w:t>
            </w:r>
          </w:p>
        </w:tc>
        <w:tc>
          <w:tcPr>
            <w:tcW w:w="26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center"/>
              <w:ind w:right="25"/>
              <w:spacing w:after="0" w:line="119" w:lineRule="exact"/>
              <w:rPr>
                <w:sz w:val="20"/>
                <w:szCs w:val="20"/>
                <w:color w:val="auto"/>
              </w:rPr>
            </w:pPr>
            <w:r>
              <w:rPr>
                <w:rFonts w:ascii="Arial" w:cs="Arial" w:eastAsia="Arial" w:hAnsi="Arial"/>
                <w:sz w:val="13"/>
                <w:szCs w:val="13"/>
                <w:b w:val="1"/>
                <w:bCs w:val="1"/>
                <w:color w:val="auto"/>
                <w:w w:val="98"/>
              </w:rPr>
              <w:t>Increase</w:t>
            </w:r>
          </w:p>
        </w:tc>
        <w:tc>
          <w:tcPr>
            <w:tcW w:w="30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vMerge w:val="restart"/>
          </w:tcPr>
          <w:p>
            <w:pPr>
              <w:jc w:val="right"/>
              <w:ind w:right="382"/>
              <w:spacing w:after="0"/>
              <w:rPr>
                <w:sz w:val="20"/>
                <w:szCs w:val="20"/>
                <w:color w:val="auto"/>
              </w:rPr>
            </w:pPr>
            <w:r>
              <w:rPr>
                <w:rFonts w:ascii="Arial" w:cs="Arial" w:eastAsia="Arial" w:hAnsi="Arial"/>
                <w:sz w:val="14"/>
                <w:szCs w:val="14"/>
                <w:b w:val="1"/>
                <w:bCs w:val="1"/>
                <w:color w:val="auto"/>
              </w:rPr>
              <w:t>2015</w:t>
            </w:r>
          </w:p>
        </w:tc>
        <w:tc>
          <w:tcPr>
            <w:tcW w:w="3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vMerge w:val="restart"/>
          </w:tcPr>
          <w:p>
            <w:pPr>
              <w:jc w:val="right"/>
              <w:ind w:right="359"/>
              <w:spacing w:after="0"/>
              <w:rPr>
                <w:sz w:val="20"/>
                <w:szCs w:val="20"/>
                <w:color w:val="auto"/>
              </w:rPr>
            </w:pPr>
            <w:r>
              <w:rPr>
                <w:rFonts w:ascii="Arial" w:cs="Arial" w:eastAsia="Arial" w:hAnsi="Arial"/>
                <w:sz w:val="14"/>
                <w:szCs w:val="14"/>
                <w:b w:val="1"/>
                <w:bCs w:val="1"/>
                <w:color w:val="auto"/>
              </w:rPr>
              <w:t>2014</w:t>
            </w:r>
          </w:p>
        </w:tc>
        <w:tc>
          <w:tcPr>
            <w:tcW w:w="26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44"/>
              <w:spacing w:after="0" w:line="119" w:lineRule="exact"/>
              <w:rPr>
                <w:sz w:val="20"/>
                <w:szCs w:val="20"/>
                <w:color w:val="auto"/>
              </w:rPr>
            </w:pPr>
            <w:r>
              <w:rPr>
                <w:rFonts w:ascii="Arial" w:cs="Arial" w:eastAsia="Arial" w:hAnsi="Arial"/>
                <w:sz w:val="13"/>
                <w:szCs w:val="13"/>
                <w:b w:val="1"/>
                <w:bCs w:val="1"/>
                <w:color w:val="auto"/>
                <w:w w:val="98"/>
              </w:rPr>
              <w:t>Increase</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8"/>
              </w:rPr>
              <w:t>(decrease)</w:t>
            </w:r>
          </w:p>
        </w:tc>
        <w:tc>
          <w:tcPr>
            <w:tcW w:w="2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34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9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42"/>
        </w:trPr>
        <w:tc>
          <w:tcPr>
            <w:tcW w:w="35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2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80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58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8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tcPr>
          <w:p>
            <w:pPr>
              <w:ind w:left="200"/>
              <w:spacing w:after="0"/>
              <w:rPr>
                <w:sz w:val="20"/>
                <w:szCs w:val="20"/>
                <w:color w:val="auto"/>
              </w:rPr>
            </w:pPr>
            <w:r>
              <w:rPr>
                <w:rFonts w:ascii="Arial" w:cs="Arial" w:eastAsia="Arial" w:hAnsi="Arial"/>
                <w:sz w:val="18"/>
                <w:szCs w:val="18"/>
                <w:color w:val="auto"/>
              </w:rPr>
              <w:t>Premiums and other considerations</w:t>
            </w:r>
          </w:p>
        </w:tc>
        <w:tc>
          <w:tcPr>
            <w:tcW w:w="106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ind w:right="62"/>
              <w:spacing w:after="0"/>
              <w:rPr>
                <w:sz w:val="20"/>
                <w:szCs w:val="20"/>
                <w:color w:val="auto"/>
              </w:rPr>
            </w:pPr>
            <w:r>
              <w:rPr>
                <w:rFonts w:ascii="Arial" w:cs="Arial" w:eastAsia="Arial" w:hAnsi="Arial"/>
                <w:sz w:val="18"/>
                <w:szCs w:val="18"/>
                <w:b w:val="1"/>
                <w:bCs w:val="1"/>
                <w:color w:val="auto"/>
              </w:rPr>
              <w:t>74.7</w:t>
            </w:r>
          </w:p>
        </w:tc>
        <w:tc>
          <w:tcPr>
            <w:tcW w:w="3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59"/>
              <w:spacing w:after="0"/>
              <w:rPr>
                <w:sz w:val="20"/>
                <w:szCs w:val="20"/>
                <w:color w:val="auto"/>
              </w:rPr>
            </w:pPr>
            <w:r>
              <w:rPr>
                <w:rFonts w:ascii="Arial" w:cs="Arial" w:eastAsia="Arial" w:hAnsi="Arial"/>
                <w:sz w:val="18"/>
                <w:szCs w:val="18"/>
                <w:color w:val="auto"/>
              </w:rPr>
              <w:t>47.9</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26.8</w:t>
            </w:r>
          </w:p>
        </w:tc>
        <w:tc>
          <w:tcPr>
            <w:tcW w:w="240" w:type="dxa"/>
            <w:vAlign w:val="bottom"/>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00" w:type="dxa"/>
            <w:vAlign w:val="bottom"/>
          </w:tcPr>
          <w:p>
            <w:pPr>
              <w:jc w:val="right"/>
              <w:ind w:right="62"/>
              <w:spacing w:after="0"/>
              <w:rPr>
                <w:sz w:val="20"/>
                <w:szCs w:val="20"/>
                <w:color w:val="auto"/>
              </w:rPr>
            </w:pPr>
            <w:r>
              <w:rPr>
                <w:rFonts w:ascii="Arial" w:cs="Arial" w:eastAsia="Arial" w:hAnsi="Arial"/>
                <w:sz w:val="18"/>
                <w:szCs w:val="18"/>
                <w:b w:val="1"/>
                <w:bCs w:val="1"/>
                <w:color w:val="auto"/>
              </w:rPr>
              <w:t>191.4</w:t>
            </w:r>
          </w:p>
        </w:tc>
        <w:tc>
          <w:tcPr>
            <w:tcW w:w="3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59"/>
              <w:spacing w:after="0"/>
              <w:rPr>
                <w:sz w:val="20"/>
                <w:szCs w:val="20"/>
                <w:color w:val="auto"/>
              </w:rPr>
            </w:pPr>
            <w:r>
              <w:rPr>
                <w:rFonts w:ascii="Arial" w:cs="Arial" w:eastAsia="Arial" w:hAnsi="Arial"/>
                <w:sz w:val="18"/>
                <w:szCs w:val="18"/>
                <w:color w:val="auto"/>
              </w:rPr>
              <w:t>181.4</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65"/>
        </w:trPr>
        <w:tc>
          <w:tcPr>
            <w:tcW w:w="35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ectPr>
          <w:pgSz w:w="11900" w:h="16900" w:orient="portrait"/>
          <w:cols w:equalWidth="0" w:num="1">
            <w:col w:w="11420"/>
          </w:cols>
          <w:pgMar w:left="240" w:top="125" w:right="239" w:bottom="0" w:gutter="0" w:footer="0" w:header="0"/>
        </w:sectPr>
      </w:pPr>
    </w:p>
    <w:bookmarkStart w:id="71" w:name="page72"/>
    <w:bookmarkEnd w:id="7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Fees and other revenues</w:t>
            </w:r>
          </w:p>
        </w:tc>
        <w:tc>
          <w:tcPr>
            <w:tcW w:w="6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98.0</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113.5</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(15.5)</w:t>
            </w:r>
          </w:p>
        </w:tc>
        <w:tc>
          <w:tcPr>
            <w:tcW w:w="2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300.2</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323.5</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Net investment income</w:t>
            </w:r>
          </w:p>
        </w:tc>
        <w:tc>
          <w:tcPr>
            <w:tcW w:w="6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138.5</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133.1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5.4</w:t>
            </w:r>
          </w:p>
        </w:tc>
        <w:tc>
          <w:tcPr>
            <w:tcW w:w="28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370.8</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447.3</w:t>
            </w: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(76.5)</w:t>
            </w:r>
          </w:p>
        </w:tc>
        <w:tc>
          <w:tcPr>
            <w:tcW w:w="0" w:type="dxa"/>
            <w:vAlign w:val="bottom"/>
          </w:tcPr>
          <w:p>
            <w:pPr>
              <w:spacing w:after="0"/>
              <w:rPr>
                <w:sz w:val="1"/>
                <w:szCs w:val="1"/>
                <w:color w:val="auto"/>
              </w:rPr>
            </w:pPr>
          </w:p>
        </w:tc>
      </w:tr>
      <w:tr>
        <w:trPr>
          <w:trHeight w:val="20"/>
        </w:trPr>
        <w:tc>
          <w:tcPr>
            <w:tcW w:w="3800" w:type="dxa"/>
            <w:vAlign w:val="bottom"/>
            <w:vMerge w:val="restart"/>
            <w:shd w:val="clear" w:color="auto" w:fill="CCEEFF"/>
          </w:tcPr>
          <w:p>
            <w:pPr>
              <w:ind w:left="380"/>
              <w:spacing w:after="0"/>
              <w:rPr>
                <w:sz w:val="20"/>
                <w:szCs w:val="20"/>
                <w:color w:val="auto"/>
              </w:rPr>
            </w:pPr>
            <w:r>
              <w:rPr>
                <w:rFonts w:ascii="Arial" w:cs="Arial" w:eastAsia="Arial" w:hAnsi="Arial"/>
                <w:sz w:val="18"/>
                <w:szCs w:val="18"/>
                <w:color w:val="auto"/>
              </w:rPr>
              <w:t>Total operating revenues</w:t>
            </w:r>
          </w:p>
        </w:tc>
        <w:tc>
          <w:tcPr>
            <w:tcW w:w="6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vMerge w:val="restart"/>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800" w:type="dxa"/>
            <w:vAlign w:val="bottom"/>
            <w:vMerge w:val="continue"/>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311.2</w:t>
            </w:r>
          </w:p>
        </w:tc>
        <w:tc>
          <w:tcPr>
            <w:tcW w:w="18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294.5</w:t>
            </w:r>
          </w:p>
        </w:tc>
        <w:tc>
          <w:tcPr>
            <w:tcW w:w="14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w:t>
            </w:r>
          </w:p>
        </w:tc>
        <w:tc>
          <w:tcPr>
            <w:tcW w:w="300" w:type="dxa"/>
            <w:vAlign w:val="bottom"/>
            <w:vMerge w:val="continue"/>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862.4</w:t>
            </w:r>
          </w:p>
        </w:tc>
        <w:tc>
          <w:tcPr>
            <w:tcW w:w="16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952.2</w:t>
            </w:r>
          </w:p>
        </w:tc>
        <w:tc>
          <w:tcPr>
            <w:tcW w:w="14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(89.8)</w:t>
            </w: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Expenses:</w:t>
            </w:r>
          </w:p>
        </w:tc>
        <w:tc>
          <w:tcPr>
            <w:tcW w:w="6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Benefits, claims and settlement expenses</w:t>
            </w:r>
          </w:p>
        </w:tc>
        <w:tc>
          <w:tcPr>
            <w:tcW w:w="6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164.9</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115.1</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49.8</w:t>
            </w:r>
          </w:p>
        </w:tc>
        <w:tc>
          <w:tcPr>
            <w:tcW w:w="2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416.6</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453.2</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(36.6)</w:t>
            </w:r>
          </w:p>
        </w:tc>
        <w:tc>
          <w:tcPr>
            <w:tcW w:w="0" w:type="dxa"/>
            <w:vAlign w:val="bottom"/>
          </w:tcPr>
          <w:p>
            <w:pPr>
              <w:spacing w:after="0"/>
              <w:rPr>
                <w:sz w:val="1"/>
                <w:szCs w:val="1"/>
                <w:color w:val="auto"/>
              </w:rPr>
            </w:pPr>
          </w:p>
        </w:tc>
      </w:tr>
      <w:tr>
        <w:trPr>
          <w:trHeight w:val="216"/>
        </w:trPr>
        <w:tc>
          <w:tcPr>
            <w:tcW w:w="3800" w:type="dxa"/>
            <w:vAlign w:val="bottom"/>
          </w:tcPr>
          <w:p>
            <w:pPr>
              <w:ind w:left="200"/>
              <w:spacing w:after="0"/>
              <w:rPr>
                <w:sz w:val="20"/>
                <w:szCs w:val="20"/>
                <w:color w:val="auto"/>
              </w:rPr>
            </w:pPr>
            <w:r>
              <w:rPr>
                <w:rFonts w:ascii="Arial" w:cs="Arial" w:eastAsia="Arial" w:hAnsi="Arial"/>
                <w:sz w:val="18"/>
                <w:szCs w:val="18"/>
                <w:color w:val="auto"/>
              </w:rPr>
              <w:t>Operating expenses</w:t>
            </w:r>
          </w:p>
        </w:tc>
        <w:tc>
          <w:tcPr>
            <w:tcW w:w="6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rPr>
              <w:t>114.0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91.1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22.9</w:t>
            </w:r>
          </w:p>
        </w:tc>
        <w:tc>
          <w:tcPr>
            <w:tcW w:w="28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287.8</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262.3</w:t>
            </w: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25.5</w:t>
            </w:r>
          </w:p>
        </w:tc>
        <w:tc>
          <w:tcPr>
            <w:tcW w:w="0" w:type="dxa"/>
            <w:vAlign w:val="bottom"/>
          </w:tcPr>
          <w:p>
            <w:pPr>
              <w:spacing w:after="0"/>
              <w:rPr>
                <w:sz w:val="1"/>
                <w:szCs w:val="1"/>
                <w:color w:val="auto"/>
              </w:rPr>
            </w:pPr>
          </w:p>
        </w:tc>
      </w:tr>
      <w:tr>
        <w:trPr>
          <w:trHeight w:val="20"/>
        </w:trPr>
        <w:tc>
          <w:tcPr>
            <w:tcW w:w="3800" w:type="dxa"/>
            <w:vAlign w:val="bottom"/>
            <w:vMerge w:val="restart"/>
            <w:shd w:val="clear" w:color="auto" w:fill="CCEEFF"/>
          </w:tcPr>
          <w:p>
            <w:pPr>
              <w:ind w:left="380"/>
              <w:spacing w:after="0"/>
              <w:rPr>
                <w:sz w:val="20"/>
                <w:szCs w:val="20"/>
                <w:color w:val="auto"/>
              </w:rPr>
            </w:pPr>
            <w:r>
              <w:rPr>
                <w:rFonts w:ascii="Arial" w:cs="Arial" w:eastAsia="Arial" w:hAnsi="Arial"/>
                <w:sz w:val="18"/>
                <w:szCs w:val="18"/>
                <w:color w:val="auto"/>
              </w:rPr>
              <w:t>Total expenses</w:t>
            </w:r>
          </w:p>
        </w:tc>
        <w:tc>
          <w:tcPr>
            <w:tcW w:w="6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vMerge w:val="restart"/>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800" w:type="dxa"/>
            <w:vAlign w:val="bottom"/>
            <w:vMerge w:val="continue"/>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278.9</w:t>
            </w:r>
          </w:p>
        </w:tc>
        <w:tc>
          <w:tcPr>
            <w:tcW w:w="18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206.2</w:t>
            </w:r>
          </w:p>
        </w:tc>
        <w:tc>
          <w:tcPr>
            <w:tcW w:w="14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72.7</w:t>
            </w:r>
          </w:p>
        </w:tc>
        <w:tc>
          <w:tcPr>
            <w:tcW w:w="300" w:type="dxa"/>
            <w:vAlign w:val="bottom"/>
            <w:vMerge w:val="continue"/>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704.4</w:t>
            </w:r>
          </w:p>
        </w:tc>
        <w:tc>
          <w:tcPr>
            <w:tcW w:w="16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715.5</w:t>
            </w:r>
          </w:p>
        </w:tc>
        <w:tc>
          <w:tcPr>
            <w:tcW w:w="14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182"/>
        </w:trPr>
        <w:tc>
          <w:tcPr>
            <w:tcW w:w="3800" w:type="dxa"/>
            <w:vAlign w:val="bottom"/>
          </w:tcPr>
          <w:p>
            <w:pPr>
              <w:spacing w:after="0" w:line="182" w:lineRule="exact"/>
              <w:rPr>
                <w:sz w:val="20"/>
                <w:szCs w:val="20"/>
                <w:color w:val="auto"/>
              </w:rPr>
            </w:pPr>
            <w:r>
              <w:rPr>
                <w:rFonts w:ascii="Arial" w:cs="Arial" w:eastAsia="Arial" w:hAnsi="Arial"/>
                <w:sz w:val="18"/>
                <w:szCs w:val="18"/>
                <w:color w:val="auto"/>
              </w:rPr>
              <w:t>Operating earnings before income taxes and</w:t>
            </w:r>
          </w:p>
        </w:tc>
        <w:tc>
          <w:tcPr>
            <w:tcW w:w="620" w:type="dxa"/>
            <w:vAlign w:val="bottom"/>
          </w:tcPr>
          <w:p>
            <w:pPr>
              <w:spacing w:after="0"/>
              <w:rPr>
                <w:sz w:val="15"/>
                <w:szCs w:val="15"/>
                <w:color w:val="auto"/>
              </w:rPr>
            </w:pPr>
          </w:p>
        </w:tc>
        <w:tc>
          <w:tcPr>
            <w:tcW w:w="32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b w:val="1"/>
                <w:bCs w:val="1"/>
                <w:color w:val="auto"/>
              </w:rPr>
              <w:t>32.3</w:t>
            </w:r>
          </w:p>
        </w:tc>
        <w:tc>
          <w:tcPr>
            <w:tcW w:w="180" w:type="dxa"/>
            <w:vAlign w:val="bottom"/>
            <w:vMerge w:val="restart"/>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Borders>
              <w:top w:val="single" w:sz="8" w:color="auto"/>
            </w:tcBorders>
          </w:tcPr>
          <w:p>
            <w:pPr>
              <w:spacing w:after="0"/>
              <w:rPr>
                <w:sz w:val="15"/>
                <w:szCs w:val="15"/>
                <w:color w:val="auto"/>
              </w:rPr>
            </w:pPr>
          </w:p>
        </w:tc>
        <w:tc>
          <w:tcPr>
            <w:tcW w:w="580" w:type="dxa"/>
            <w:vAlign w:val="bottom"/>
            <w:tcBorders>
              <w:top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b w:val="1"/>
                <w:bCs w:val="1"/>
                <w:color w:val="auto"/>
              </w:rPr>
              <w:t>158.0</w:t>
            </w:r>
          </w:p>
        </w:tc>
        <w:tc>
          <w:tcPr>
            <w:tcW w:w="160" w:type="dxa"/>
            <w:vAlign w:val="bottom"/>
            <w:vMerge w:val="restart"/>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60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Borders>
              <w:top w:val="single" w:sz="8" w:color="auto"/>
            </w:tcBorders>
          </w:tcPr>
          <w:p>
            <w:pPr>
              <w:spacing w:after="0"/>
              <w:rPr>
                <w:sz w:val="15"/>
                <w:szCs w:val="15"/>
                <w:color w:val="auto"/>
              </w:rPr>
            </w:pPr>
          </w:p>
        </w:tc>
        <w:tc>
          <w:tcPr>
            <w:tcW w:w="60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800" w:type="dxa"/>
            <w:vAlign w:val="bottom"/>
          </w:tcPr>
          <w:p>
            <w:pPr>
              <w:ind w:left="180"/>
              <w:spacing w:after="0"/>
              <w:rPr>
                <w:sz w:val="20"/>
                <w:szCs w:val="20"/>
                <w:color w:val="auto"/>
              </w:rPr>
            </w:pPr>
            <w:r>
              <w:rPr>
                <w:rFonts w:ascii="Arial" w:cs="Arial" w:eastAsia="Arial" w:hAnsi="Arial"/>
                <w:sz w:val="18"/>
                <w:szCs w:val="18"/>
                <w:color w:val="auto"/>
              </w:rPr>
              <w:t>noncontrolling interest</w:t>
            </w:r>
          </w:p>
        </w:tc>
        <w:tc>
          <w:tcPr>
            <w:tcW w:w="6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20" w:type="dxa"/>
            <w:vAlign w:val="bottom"/>
            <w:vMerge w:val="continue"/>
          </w:tcPr>
          <w:p>
            <w:pPr>
              <w:spacing w:after="0"/>
              <w:rPr>
                <w:sz w:val="20"/>
                <w:szCs w:val="20"/>
                <w:color w:val="auto"/>
              </w:rPr>
            </w:pPr>
          </w:p>
        </w:tc>
        <w:tc>
          <w:tcPr>
            <w:tcW w:w="180" w:type="dxa"/>
            <w:vAlign w:val="bottom"/>
            <w:vMerge w:val="continue"/>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88.3</w:t>
            </w: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(56.0)</w:t>
            </w:r>
          </w:p>
        </w:tc>
        <w:tc>
          <w:tcPr>
            <w:tcW w:w="280" w:type="dxa"/>
            <w:vAlign w:val="bottom"/>
          </w:tcPr>
          <w:p>
            <w:pPr>
              <w:spacing w:after="0"/>
              <w:rPr>
                <w:sz w:val="20"/>
                <w:szCs w:val="20"/>
                <w:color w:val="auto"/>
              </w:rPr>
            </w:pPr>
          </w:p>
        </w:tc>
        <w:tc>
          <w:tcPr>
            <w:tcW w:w="620" w:type="dxa"/>
            <w:vAlign w:val="bottom"/>
            <w:vMerge w:val="continue"/>
          </w:tcPr>
          <w:p>
            <w:pPr>
              <w:spacing w:after="0"/>
              <w:rPr>
                <w:sz w:val="20"/>
                <w:szCs w:val="20"/>
                <w:color w:val="auto"/>
              </w:rPr>
            </w:pPr>
          </w:p>
        </w:tc>
        <w:tc>
          <w:tcPr>
            <w:tcW w:w="160" w:type="dxa"/>
            <w:vAlign w:val="bottom"/>
            <w:vMerge w:val="continue"/>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236.7</w:t>
            </w: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(78.7)</w:t>
            </w: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Income taxes (benefits)</w:t>
            </w:r>
          </w:p>
        </w:tc>
        <w:tc>
          <w:tcPr>
            <w:tcW w:w="6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(9.1)</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14.1</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(23.2)</w:t>
            </w:r>
          </w:p>
        </w:tc>
        <w:tc>
          <w:tcPr>
            <w:tcW w:w="2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(3.2)</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29.3</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(32.5)</w:t>
            </w:r>
          </w:p>
        </w:tc>
        <w:tc>
          <w:tcPr>
            <w:tcW w:w="0" w:type="dxa"/>
            <w:vAlign w:val="bottom"/>
          </w:tcPr>
          <w:p>
            <w:pPr>
              <w:spacing w:after="0"/>
              <w:rPr>
                <w:sz w:val="1"/>
                <w:szCs w:val="1"/>
                <w:color w:val="auto"/>
              </w:rPr>
            </w:pPr>
          </w:p>
        </w:tc>
      </w:tr>
      <w:tr>
        <w:trPr>
          <w:trHeight w:val="202"/>
        </w:trPr>
        <w:tc>
          <w:tcPr>
            <w:tcW w:w="3800" w:type="dxa"/>
            <w:vAlign w:val="bottom"/>
          </w:tcPr>
          <w:p>
            <w:pPr>
              <w:spacing w:after="0" w:line="201" w:lineRule="exact"/>
              <w:rPr>
                <w:sz w:val="20"/>
                <w:szCs w:val="20"/>
                <w:color w:val="auto"/>
              </w:rPr>
            </w:pPr>
            <w:r>
              <w:rPr>
                <w:rFonts w:ascii="Arial" w:cs="Arial" w:eastAsia="Arial" w:hAnsi="Arial"/>
                <w:sz w:val="18"/>
                <w:szCs w:val="18"/>
                <w:color w:val="auto"/>
              </w:rPr>
              <w:t>Operating earnings (losses) attributable to</w:t>
            </w:r>
          </w:p>
        </w:tc>
        <w:tc>
          <w:tcPr>
            <w:tcW w:w="6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gridSpan w:val="2"/>
            <w:vMerge w:val="restart"/>
          </w:tcPr>
          <w:p>
            <w:pPr>
              <w:jc w:val="right"/>
              <w:ind w:right="120"/>
              <w:spacing w:after="0"/>
              <w:rPr>
                <w:sz w:val="20"/>
                <w:szCs w:val="20"/>
                <w:color w:val="auto"/>
              </w:rPr>
            </w:pPr>
            <w:r>
              <w:rPr>
                <w:rFonts w:ascii="Arial" w:cs="Arial" w:eastAsia="Arial" w:hAnsi="Arial"/>
                <w:sz w:val="18"/>
                <w:szCs w:val="18"/>
                <w:b w:val="1"/>
                <w:bCs w:val="1"/>
                <w:color w:val="auto"/>
              </w:rPr>
              <w:t>(4.4)</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(3.8)</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800" w:type="dxa"/>
            <w:vAlign w:val="bottom"/>
          </w:tcPr>
          <w:p>
            <w:pPr>
              <w:ind w:left="180"/>
              <w:spacing w:after="0"/>
              <w:rPr>
                <w:sz w:val="20"/>
                <w:szCs w:val="20"/>
                <w:color w:val="auto"/>
              </w:rPr>
            </w:pPr>
            <w:r>
              <w:rPr>
                <w:rFonts w:ascii="Arial" w:cs="Arial" w:eastAsia="Arial" w:hAnsi="Arial"/>
                <w:sz w:val="18"/>
                <w:szCs w:val="18"/>
                <w:color w:val="auto"/>
              </w:rPr>
              <w:t>noncontrolling interest</w:t>
            </w:r>
          </w:p>
        </w:tc>
        <w:tc>
          <w:tcPr>
            <w:tcW w:w="6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0.4</w:t>
            </w: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(4.8)</w:t>
            </w:r>
          </w:p>
        </w:tc>
        <w:tc>
          <w:tcPr>
            <w:tcW w:w="280" w:type="dxa"/>
            <w:vAlign w:val="bottom"/>
          </w:tcPr>
          <w:p>
            <w:pPr>
              <w:spacing w:after="0"/>
              <w:rPr>
                <w:sz w:val="20"/>
                <w:szCs w:val="20"/>
                <w:color w:val="auto"/>
              </w:rPr>
            </w:pPr>
          </w:p>
        </w:tc>
        <w:tc>
          <w:tcPr>
            <w:tcW w:w="78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2.3</w:t>
            </w: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23"/>
        </w:trPr>
        <w:tc>
          <w:tcPr>
            <w:tcW w:w="38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Operating earnings</w:t>
            </w:r>
          </w:p>
        </w:tc>
        <w:tc>
          <w:tcPr>
            <w:tcW w:w="620" w:type="dxa"/>
            <w:vAlign w:val="bottom"/>
            <w:tcBorders>
              <w:top w:val="single" w:sz="8" w:color="CCEEFF"/>
              <w:bottom w:val="single" w:sz="8" w:color="CCEEFF"/>
            </w:tcBorders>
            <w:shd w:val="clear" w:color="auto" w:fill="CCEEFF"/>
          </w:tcPr>
          <w:p>
            <w:pPr>
              <w:spacing w:after="0"/>
              <w:rPr>
                <w:sz w:val="19"/>
                <w:szCs w:val="19"/>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45.8</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280" w:type="dxa"/>
            <w:vAlign w:val="bottom"/>
            <w:tcBorders>
              <w:top w:val="single" w:sz="8" w:color="auto"/>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73.8</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w:t>
            </w:r>
          </w:p>
        </w:tc>
        <w:tc>
          <w:tcPr>
            <w:tcW w:w="300" w:type="dxa"/>
            <w:vAlign w:val="bottom"/>
            <w:tcBorders>
              <w:top w:val="single" w:sz="8" w:color="CCEEFF"/>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color w:val="auto"/>
                <w:w w:val="74"/>
              </w:rPr>
              <w:t>)</w:t>
            </w:r>
          </w:p>
        </w:tc>
        <w:tc>
          <w:tcPr>
            <w:tcW w:w="280" w:type="dxa"/>
            <w:vAlign w:val="bottom"/>
            <w:tcBorders>
              <w:top w:val="single" w:sz="8" w:color="auto"/>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165.0</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300" w:type="dxa"/>
            <w:vAlign w:val="bottom"/>
            <w:tcBorders>
              <w:top w:val="single" w:sz="8" w:color="auto"/>
              <w:bottom w:val="single" w:sz="8" w:color="auto"/>
            </w:tcBorders>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205.1</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(40.1</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38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2015 Compared to Three Months Ended September 30, 2014</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Earnings</w:t>
      </w:r>
    </w:p>
    <w:p>
      <w:pPr>
        <w:spacing w:after="0" w:line="229" w:lineRule="exact"/>
        <w:rPr>
          <w:sz w:val="20"/>
          <w:szCs w:val="20"/>
          <w:color w:val="auto"/>
        </w:rPr>
      </w:pPr>
    </w:p>
    <w:p>
      <w:pPr>
        <w:jc w:val="both"/>
        <w:ind w:right="220" w:firstLine="630"/>
        <w:spacing w:after="0" w:line="312" w:lineRule="auto"/>
        <w:rPr>
          <w:sz w:val="20"/>
          <w:szCs w:val="20"/>
          <w:color w:val="auto"/>
        </w:rPr>
      </w:pPr>
      <w:r>
        <w:rPr>
          <w:rFonts w:ascii="Arial" w:cs="Arial" w:eastAsia="Arial" w:hAnsi="Arial"/>
          <w:sz w:val="16"/>
          <w:szCs w:val="16"/>
          <w:color w:val="auto"/>
        </w:rPr>
        <w:t>Operating earnings decreased primarily due to the weakening of Latin American currencies against the U.S. dollar, unfavorable market changes on our regulatory required investment in the pension funds of our Chilean pension company, and intangible asset impairments in our mutual fund company in Brazil in third quarter 2015. These decreases were partially offset by higher earnings in our equity method investments in Brazil and China.</w:t>
      </w:r>
    </w:p>
    <w:p>
      <w:pPr>
        <w:spacing w:after="0" w:line="143"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Revenues</w:t>
      </w:r>
    </w:p>
    <w:p>
      <w:pPr>
        <w:spacing w:after="0" w:line="229" w:lineRule="exact"/>
        <w:rPr>
          <w:sz w:val="20"/>
          <w:szCs w:val="20"/>
          <w:color w:val="auto"/>
        </w:rPr>
      </w:pPr>
    </w:p>
    <w:p>
      <w:pPr>
        <w:ind w:right="260" w:firstLine="630"/>
        <w:spacing w:after="0" w:line="277" w:lineRule="auto"/>
        <w:rPr>
          <w:sz w:val="20"/>
          <w:szCs w:val="20"/>
          <w:color w:val="auto"/>
        </w:rPr>
      </w:pPr>
      <w:r>
        <w:rPr>
          <w:rFonts w:ascii="Arial" w:cs="Arial" w:eastAsia="Arial" w:hAnsi="Arial"/>
          <w:sz w:val="18"/>
          <w:szCs w:val="18"/>
          <w:color w:val="auto"/>
        </w:rPr>
        <w:t>Premiums increased primarily due to higher sales of single premium annuities with life contingencies in Chile partially offset by the weakening of the Chilean peso against the U.S. dollar.</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8"/>
          <w:szCs w:val="18"/>
          <w:color w:val="auto"/>
        </w:rPr>
        <w:t>Fees and other revenues decreased primarily due to the weakening of the Chilean and Mexican pesos against the U.S. dollar.</w:t>
      </w:r>
    </w:p>
    <w:p>
      <w:pPr>
        <w:spacing w:after="0" w:line="225" w:lineRule="exact"/>
        <w:rPr>
          <w:sz w:val="20"/>
          <w:szCs w:val="20"/>
          <w:color w:val="auto"/>
        </w:rPr>
      </w:pPr>
    </w:p>
    <w:p>
      <w:pPr>
        <w:ind w:right="40" w:firstLine="630"/>
        <w:spacing w:after="0" w:line="264" w:lineRule="auto"/>
        <w:rPr>
          <w:sz w:val="20"/>
          <w:szCs w:val="20"/>
          <w:color w:val="auto"/>
        </w:rPr>
      </w:pPr>
      <w:r>
        <w:rPr>
          <w:rFonts w:ascii="Arial" w:cs="Arial" w:eastAsia="Arial" w:hAnsi="Arial"/>
          <w:sz w:val="18"/>
          <w:szCs w:val="18"/>
          <w:color w:val="auto"/>
        </w:rPr>
        <w:t>Net investment income increased primarily in Chile due to higher inflation-based investment returns on average invested assets and cash as a result of higher inflation partially offset by unfavorable market changes on our regulatory required investment in the pension funds of our Chilean pension company and the weakening of the Chilean peso against the U.S. dollar.</w:t>
      </w:r>
    </w:p>
    <w:p>
      <w:pPr>
        <w:spacing w:after="0" w:line="177"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ind w:right="80" w:firstLine="630"/>
        <w:spacing w:after="0" w:line="264" w:lineRule="auto"/>
        <w:rPr>
          <w:sz w:val="20"/>
          <w:szCs w:val="20"/>
          <w:color w:val="auto"/>
        </w:rPr>
      </w:pPr>
      <w:r>
        <w:rPr>
          <w:rFonts w:ascii="Arial" w:cs="Arial" w:eastAsia="Arial" w:hAnsi="Arial"/>
          <w:sz w:val="18"/>
          <w:szCs w:val="18"/>
          <w:color w:val="auto"/>
        </w:rPr>
        <w:t>Benefits, claims and settlement expenses increased primarily in Chile due to an increase in the change in reserves related to higher inflation-based interest crediting rates to customers and higher sales of single premium annuities with life contingencies. These were partially offset by the weakening of the Chilean peso against the U.S. dollar.</w:t>
      </w:r>
    </w:p>
    <w:p>
      <w:pPr>
        <w:spacing w:after="0" w:line="181" w:lineRule="exact"/>
        <w:rPr>
          <w:sz w:val="20"/>
          <w:szCs w:val="20"/>
          <w:color w:val="auto"/>
        </w:rPr>
      </w:pPr>
    </w:p>
    <w:p>
      <w:pPr>
        <w:ind w:right="400" w:firstLine="630"/>
        <w:spacing w:after="0" w:line="277" w:lineRule="auto"/>
        <w:rPr>
          <w:sz w:val="20"/>
          <w:szCs w:val="20"/>
          <w:color w:val="auto"/>
        </w:rPr>
      </w:pPr>
      <w:r>
        <w:rPr>
          <w:rFonts w:ascii="Arial" w:cs="Arial" w:eastAsia="Arial" w:hAnsi="Arial"/>
          <w:sz w:val="18"/>
          <w:szCs w:val="18"/>
          <w:color w:val="auto"/>
        </w:rPr>
        <w:t>Operating expenses increased primarily due to intangible asset impairments in our mutual fund company in Brazil in third quarter 2015 partially offset by the weakening of the Chilean and Mexican pesos against the U.S. dollar.</w:t>
      </w:r>
    </w:p>
    <w:p>
      <w:pPr>
        <w:spacing w:after="0" w:line="166"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right="60" w:firstLine="630"/>
        <w:spacing w:after="0" w:line="259" w:lineRule="auto"/>
        <w:rPr>
          <w:sz w:val="20"/>
          <w:szCs w:val="20"/>
          <w:color w:val="auto"/>
        </w:rPr>
      </w:pPr>
      <w:r>
        <w:rPr>
          <w:rFonts w:ascii="Arial" w:cs="Arial" w:eastAsia="Arial" w:hAnsi="Arial"/>
          <w:sz w:val="18"/>
          <w:szCs w:val="18"/>
          <w:color w:val="auto"/>
        </w:rPr>
        <w:t>The effective income tax rates for the segment were -28% and 16% for the three months ended September 30, 2015 and 2014, respectively. The effective income tax rate for the three months ended September 30, 2015, was lower than the U.S. statutory rate primarily due to the effect of the presentation of taxes on our share of earnings generated from our equity method investments reflected in net investment income and foreign permanent tax adjustments related to inflation. The effective income</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tax rate for the three months ended September 30, 2014, was lower than the U.S. statutory rate primarily due to lower tax rates of foreign jurisdictions and the effect of the presentation of taxes on our share of earnings generated from our equity method investments reflected in net investment income. The effective tax rate decreased to -28% from 16% for the three months ended September 30, 2015 and 2014, respectively, primarily due to a decrease in operating earnings before income taxes with no proportionate decrease in permanent tax adjustments.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2015 Compared to Nine Months Ended September 30, 2014</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Earnings</w:t>
      </w:r>
    </w:p>
    <w:p>
      <w:pPr>
        <w:spacing w:after="0" w:line="229" w:lineRule="exact"/>
        <w:rPr>
          <w:sz w:val="20"/>
          <w:szCs w:val="20"/>
          <w:color w:val="auto"/>
        </w:rPr>
      </w:pPr>
    </w:p>
    <w:p>
      <w:pPr>
        <w:jc w:val="both"/>
        <w:ind w:right="220" w:firstLine="630"/>
        <w:spacing w:after="0" w:line="312" w:lineRule="auto"/>
        <w:rPr>
          <w:sz w:val="20"/>
          <w:szCs w:val="20"/>
          <w:color w:val="auto"/>
        </w:rPr>
      </w:pPr>
      <w:r>
        <w:rPr>
          <w:rFonts w:ascii="Arial" w:cs="Arial" w:eastAsia="Arial" w:hAnsi="Arial"/>
          <w:sz w:val="16"/>
          <w:szCs w:val="16"/>
          <w:color w:val="auto"/>
        </w:rPr>
        <w:t>Operating earnings decreased primarily due to the weakening of Latin American currencies against the U.S. dollar, unfavorable market changes on our regulatory required investment in the pension funds of our Chilean pension company, and intangible asset impairments in our mutual fund company in Brazil in third quarter 2015. These decreases were partially offset by higher earnings in our equity method investments in Brazil and China.</w:t>
      </w:r>
    </w:p>
    <w:p>
      <w:pPr>
        <w:spacing w:after="0" w:line="143"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Revenues</w:t>
      </w:r>
    </w:p>
    <w:p>
      <w:pPr>
        <w:spacing w:after="0" w:line="229" w:lineRule="exact"/>
        <w:rPr>
          <w:sz w:val="20"/>
          <w:szCs w:val="20"/>
          <w:color w:val="auto"/>
        </w:rPr>
      </w:pPr>
    </w:p>
    <w:p>
      <w:pPr>
        <w:ind w:right="260" w:firstLine="630"/>
        <w:spacing w:after="0" w:line="277" w:lineRule="auto"/>
        <w:rPr>
          <w:sz w:val="20"/>
          <w:szCs w:val="20"/>
          <w:color w:val="auto"/>
        </w:rPr>
      </w:pPr>
      <w:r>
        <w:rPr>
          <w:rFonts w:ascii="Arial" w:cs="Arial" w:eastAsia="Arial" w:hAnsi="Arial"/>
          <w:sz w:val="18"/>
          <w:szCs w:val="18"/>
          <w:color w:val="auto"/>
        </w:rPr>
        <w:t>Premiums increased primarily due to higher sales of single premium annuities with life contingencies in Chile partially offset by the weakening of the Chilean peso against the U.S. dollar.</w:t>
      </w:r>
    </w:p>
    <w:p>
      <w:pPr>
        <w:spacing w:after="0" w:line="170" w:lineRule="exact"/>
        <w:rPr>
          <w:sz w:val="20"/>
          <w:szCs w:val="20"/>
          <w:color w:val="auto"/>
        </w:rPr>
      </w:pPr>
    </w:p>
    <w:p>
      <w:pPr>
        <w:ind w:right="160" w:firstLine="630"/>
        <w:spacing w:after="0" w:line="308" w:lineRule="auto"/>
        <w:rPr>
          <w:sz w:val="20"/>
          <w:szCs w:val="20"/>
          <w:color w:val="auto"/>
        </w:rPr>
      </w:pPr>
      <w:r>
        <w:rPr>
          <w:rFonts w:ascii="Arial" w:cs="Arial" w:eastAsia="Arial" w:hAnsi="Arial"/>
          <w:sz w:val="17"/>
          <w:szCs w:val="17"/>
          <w:color w:val="auto"/>
        </w:rPr>
        <w:t>Fees and other revenues decreased primarily due to the weakening of Latin American currencies against the U.S. dollar. This decrease was partially offset by higher fees resulting from higher mandatory deposits in Chile and higher average AUM in Chile and Hong Kong.</w:t>
      </w:r>
    </w:p>
    <w:p>
      <w:pPr>
        <w:sectPr>
          <w:pgSz w:w="11900" w:h="16838" w:orient="portrait"/>
          <w:cols w:equalWidth="0" w:num="1">
            <w:col w:w="11420"/>
          </w:cols>
          <w:pgMar w:left="240" w:top="140" w:right="239" w:bottom="0" w:gutter="0" w:footer="0" w:header="0"/>
        </w:sectPr>
      </w:pPr>
    </w:p>
    <w:bookmarkStart w:id="72" w:name="page73"/>
    <w:bookmarkEnd w:id="72"/>
    <w:p>
      <w:pPr>
        <w:spacing w:after="0" w:line="32" w:lineRule="exact"/>
        <w:rPr>
          <w:sz w:val="20"/>
          <w:szCs w:val="20"/>
          <w:color w:val="auto"/>
        </w:rPr>
      </w:pPr>
    </w:p>
    <w:p>
      <w:pPr>
        <w:ind w:right="60" w:firstLine="630"/>
        <w:spacing w:after="0" w:line="264" w:lineRule="auto"/>
        <w:rPr>
          <w:sz w:val="20"/>
          <w:szCs w:val="20"/>
          <w:color w:val="auto"/>
        </w:rPr>
      </w:pPr>
      <w:r>
        <w:rPr>
          <w:rFonts w:ascii="Arial" w:cs="Arial" w:eastAsia="Arial" w:hAnsi="Arial"/>
          <w:sz w:val="18"/>
          <w:szCs w:val="18"/>
          <w:color w:val="auto"/>
        </w:rPr>
        <w:t>Net investment income decreased primarily due to the weakening of the Chilean peso and Brazilian real against the U.S. dollar and unfavorable market changes on our regulatory required investment in the pension funds of our Chilean pension company. These were partially offset by higher earnings in our equity method investment in Brazil.</w:t>
      </w:r>
    </w:p>
    <w:p>
      <w:pPr>
        <w:spacing w:after="0" w:line="177"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ind w:right="160" w:firstLine="630"/>
        <w:spacing w:after="0" w:line="277" w:lineRule="auto"/>
        <w:rPr>
          <w:sz w:val="20"/>
          <w:szCs w:val="20"/>
          <w:color w:val="auto"/>
        </w:rPr>
      </w:pPr>
      <w:r>
        <w:rPr>
          <w:rFonts w:ascii="Arial" w:cs="Arial" w:eastAsia="Arial" w:hAnsi="Arial"/>
          <w:sz w:val="18"/>
          <w:szCs w:val="18"/>
          <w:color w:val="auto"/>
        </w:rPr>
        <w:t>Benefits, claims and settlement expenses decreased primarily due to the weakening of the Chilean peso against the U.S. dollar partially offset by an increase in the change in reserves related to higher sales of single premium annuities with life contingencies in Chile.</w:t>
      </w:r>
    </w:p>
    <w:p>
      <w:pPr>
        <w:spacing w:after="0" w:line="170" w:lineRule="exact"/>
        <w:rPr>
          <w:sz w:val="20"/>
          <w:szCs w:val="20"/>
          <w:color w:val="auto"/>
        </w:rPr>
      </w:pPr>
    </w:p>
    <w:p>
      <w:pPr>
        <w:ind w:right="180" w:firstLine="630"/>
        <w:spacing w:after="0" w:line="277" w:lineRule="auto"/>
        <w:rPr>
          <w:sz w:val="20"/>
          <w:szCs w:val="20"/>
          <w:color w:val="auto"/>
        </w:rPr>
      </w:pPr>
      <w:r>
        <w:rPr>
          <w:rFonts w:ascii="Arial" w:cs="Arial" w:eastAsia="Arial" w:hAnsi="Arial"/>
          <w:sz w:val="18"/>
          <w:szCs w:val="18"/>
          <w:color w:val="auto"/>
        </w:rPr>
        <w:t>Operating expenses increased primarily due to intangible asset impairments in our mutual fund company in Brazil in third quarter 2015 and overall growth of the business partially offset by the weakening of Latin American currencies against the U.S. dollar.</w:t>
      </w:r>
    </w:p>
    <w:p>
      <w:pPr>
        <w:spacing w:after="0" w:line="166"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firstLine="630"/>
        <w:spacing w:after="0" w:line="284" w:lineRule="auto"/>
        <w:rPr>
          <w:sz w:val="20"/>
          <w:szCs w:val="20"/>
          <w:color w:val="auto"/>
        </w:rPr>
      </w:pPr>
      <w:r>
        <w:rPr>
          <w:rFonts w:ascii="Arial" w:cs="Arial" w:eastAsia="Arial" w:hAnsi="Arial"/>
          <w:sz w:val="16"/>
          <w:szCs w:val="16"/>
          <w:color w:val="auto"/>
        </w:rPr>
        <w:t xml:space="preserve">The effective income tax rates for the segment were -2% and 12% for the nine months ended September 30, 2015 and 2014, respectively. The effective income tax rate for the nine months ended September 30, 2015, was lower than the U.S. statutory rate primarily due to the effect of the presentation of taxes on our share of earnings generated from our equity method investments reflected in net investment income, foreign permanent tax adjustments related to inflation and lower tax rates of foreign jurisdictions. The effective income tax rate for the nine months ended September 30, 2014, was lower than the U.S. statutory rate primarily due to lower tax rates of foreign jurisdictions and the effect of the presentation of taxes on our share of earnings generated from our equity method investments reflected in net investment income. The effective tax rate decreased to </w:t>
      </w:r>
      <w:r>
        <w:rPr>
          <w:rFonts w:ascii="Arial" w:cs="Arial" w:eastAsia="Arial" w:hAnsi="Arial"/>
          <w:sz w:val="15"/>
          <w:szCs w:val="15"/>
          <w:color w:val="auto"/>
        </w:rPr>
        <w:t>-2% from 12% for the nine months ended September 30,</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2015 and 2014, respectively, primarily due to a decrease in operating earnings before income taxes with no proportionate decrease in permanent tax adjustments.</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Insurance Solutions Segment</w:t>
      </w:r>
    </w:p>
    <w:p>
      <w:pPr>
        <w:spacing w:after="0" w:line="229" w:lineRule="exact"/>
        <w:rPr>
          <w:sz w:val="20"/>
          <w:szCs w:val="20"/>
          <w:color w:val="auto"/>
        </w:rPr>
      </w:pPr>
    </w:p>
    <w:p>
      <w:pPr>
        <w:ind w:right="180" w:firstLine="648"/>
        <w:spacing w:after="0" w:line="257" w:lineRule="auto"/>
        <w:rPr>
          <w:sz w:val="20"/>
          <w:szCs w:val="20"/>
          <w:color w:val="auto"/>
        </w:rPr>
      </w:pPr>
      <w:r>
        <w:rPr>
          <w:rFonts w:ascii="Arial" w:cs="Arial" w:eastAsia="Arial" w:hAnsi="Arial"/>
          <w:sz w:val="18"/>
          <w:szCs w:val="18"/>
          <w:color w:val="auto"/>
        </w:rPr>
        <w:t>Several key drivers impact earnings growth in the U.S. Insurance Solutions segment. The ability of our distribution channels to generate new sales and retain existing business drives growth in our premium and fees. Our earnings growth also depends on our ability to price our products at a level that enables us to earn a margin over the cost of providing benefits and the expense of acquiring and administering those products. Factors impacting pricing decisions include competitive conditions, economic trends, persistency, our ability to assess and manage trends in mortality and morbidity and our ability to manage operating expenses.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 Insurance Solutions Insurance Trends</w:t>
      </w:r>
    </w:p>
    <w:p>
      <w:pPr>
        <w:spacing w:after="0" w:line="225"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Premium and fees are a key metric for growth in the U.S. Insurance Solutions segment. We receive premiums on our traditional life insurance products as well as on our specialty benefits insurance products. Fees are generated from our universal life and variable universal life insurance products as well as our specialty benefits fee-for-service products.</w:t>
      </w:r>
    </w:p>
    <w:p>
      <w:pPr>
        <w:spacing w:after="0" w:line="181"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Premium and fees are influenced by economic, industry and regulatory trends. Due to the declining interest rate environment in recent years, we have intentionally increased sales of non-interest sensitive traditional products in our individual life insurance business. Premium and fees in our specialty benefits insurance business have increased due to improved sales and retention, as well as recovery in underlying salaries and membership growth in existing group contracts.</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U.S. Insurance Solutions segment premium and fees for the periods indicated: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340" w:type="dxa"/>
            <w:vAlign w:val="bottom"/>
          </w:tcPr>
          <w:p>
            <w:pPr>
              <w:spacing w:after="0"/>
              <w:rPr>
                <w:sz w:val="14"/>
                <w:szCs w:val="14"/>
                <w:color w:val="auto"/>
              </w:rPr>
            </w:pPr>
          </w:p>
        </w:tc>
        <w:tc>
          <w:tcPr>
            <w:tcW w:w="4020" w:type="dxa"/>
            <w:vAlign w:val="bottom"/>
            <w:gridSpan w:val="7"/>
          </w:tcPr>
          <w:p>
            <w:pPr>
              <w:jc w:val="right"/>
              <w:ind w:right="760"/>
              <w:spacing w:after="0"/>
              <w:rPr>
                <w:sz w:val="20"/>
                <w:szCs w:val="20"/>
                <w:color w:val="auto"/>
              </w:rPr>
            </w:pPr>
            <w:r>
              <w:rPr>
                <w:rFonts w:ascii="Arial" w:cs="Arial" w:eastAsia="Arial" w:hAnsi="Arial"/>
                <w:sz w:val="14"/>
                <w:szCs w:val="14"/>
                <w:b w:val="1"/>
                <w:bCs w:val="1"/>
                <w:color w:val="auto"/>
              </w:rPr>
              <w:t>For the three months ended September 30,</w:t>
            </w: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620" w:type="dxa"/>
            <w:vAlign w:val="bottom"/>
            <w:gridSpan w:val="6"/>
          </w:tcPr>
          <w:p>
            <w:pPr>
              <w:ind w:left="320"/>
              <w:spacing w:after="0"/>
              <w:rPr>
                <w:sz w:val="20"/>
                <w:szCs w:val="20"/>
                <w:color w:val="auto"/>
              </w:rPr>
            </w:pPr>
            <w:r>
              <w:rPr>
                <w:rFonts w:ascii="Arial" w:cs="Arial" w:eastAsia="Arial" w:hAnsi="Arial"/>
                <w:sz w:val="14"/>
                <w:szCs w:val="14"/>
                <w:b w:val="1"/>
                <w:bCs w:val="1"/>
                <w:color w:val="auto"/>
              </w:rPr>
              <w:t>For the nine months ended September 30,</w:t>
            </w:r>
          </w:p>
        </w:tc>
        <w:tc>
          <w:tcPr>
            <w:tcW w:w="0" w:type="dxa"/>
            <w:vAlign w:val="bottom"/>
          </w:tcPr>
          <w:p>
            <w:pPr>
              <w:spacing w:after="0"/>
              <w:rPr>
                <w:sz w:val="1"/>
                <w:szCs w:val="1"/>
                <w:color w:val="auto"/>
              </w:rPr>
            </w:pPr>
          </w:p>
        </w:tc>
      </w:tr>
      <w:tr>
        <w:trPr>
          <w:trHeight w:val="119"/>
        </w:trPr>
        <w:tc>
          <w:tcPr>
            <w:tcW w:w="3340" w:type="dxa"/>
            <w:vAlign w:val="bottom"/>
          </w:tcPr>
          <w:p>
            <w:pPr>
              <w:spacing w:after="0"/>
              <w:rPr>
                <w:sz w:val="10"/>
                <w:szCs w:val="10"/>
                <w:color w:val="auto"/>
              </w:rPr>
            </w:pPr>
          </w:p>
        </w:tc>
        <w:tc>
          <w:tcPr>
            <w:tcW w:w="74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b w:val="1"/>
                <w:bCs w:val="1"/>
                <w:color w:val="auto"/>
              </w:rPr>
              <w:t>2015</w:t>
            </w:r>
          </w:p>
        </w:tc>
        <w:tc>
          <w:tcPr>
            <w:tcW w:w="520" w:type="dxa"/>
            <w:vAlign w:val="bottom"/>
            <w:tcBorders>
              <w:top w:val="single" w:sz="8" w:color="auto"/>
            </w:tcBorders>
          </w:tcPr>
          <w:p>
            <w:pPr>
              <w:spacing w:after="0"/>
              <w:rPr>
                <w:sz w:val="10"/>
                <w:szCs w:val="10"/>
                <w:color w:val="auto"/>
              </w:rPr>
            </w:pPr>
          </w:p>
        </w:tc>
        <w:tc>
          <w:tcPr>
            <w:tcW w:w="38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vMerge w:val="restart"/>
          </w:tcPr>
          <w:p>
            <w:pPr>
              <w:jc w:val="right"/>
              <w:ind w:right="476"/>
              <w:spacing w:after="0"/>
              <w:rPr>
                <w:sz w:val="20"/>
                <w:szCs w:val="20"/>
                <w:color w:val="auto"/>
              </w:rPr>
            </w:pPr>
            <w:r>
              <w:rPr>
                <w:rFonts w:ascii="Arial" w:cs="Arial" w:eastAsia="Arial" w:hAnsi="Arial"/>
                <w:sz w:val="14"/>
                <w:szCs w:val="14"/>
                <w:b w:val="1"/>
                <w:bCs w:val="1"/>
                <w:color w:val="auto"/>
              </w:rPr>
              <w:t>2014</w:t>
            </w:r>
          </w:p>
        </w:tc>
        <w:tc>
          <w:tcPr>
            <w:tcW w:w="28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tcPr>
          <w:p>
            <w:pPr>
              <w:jc w:val="right"/>
              <w:ind w:right="242"/>
              <w:spacing w:after="0" w:line="119" w:lineRule="exact"/>
              <w:rPr>
                <w:sz w:val="20"/>
                <w:szCs w:val="20"/>
                <w:color w:val="auto"/>
              </w:rPr>
            </w:pPr>
            <w:r>
              <w:rPr>
                <w:rFonts w:ascii="Arial" w:cs="Arial" w:eastAsia="Arial" w:hAnsi="Arial"/>
                <w:sz w:val="13"/>
                <w:szCs w:val="13"/>
                <w:b w:val="1"/>
                <w:bCs w:val="1"/>
                <w:color w:val="auto"/>
              </w:rPr>
              <w:t>Increase</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vMerge w:val="restart"/>
          </w:tcPr>
          <w:p>
            <w:pPr>
              <w:jc w:val="right"/>
              <w:ind w:right="459"/>
              <w:spacing w:after="0"/>
              <w:rPr>
                <w:sz w:val="20"/>
                <w:szCs w:val="20"/>
                <w:color w:val="auto"/>
              </w:rPr>
            </w:pPr>
            <w:r>
              <w:rPr>
                <w:rFonts w:ascii="Arial" w:cs="Arial" w:eastAsia="Arial" w:hAnsi="Arial"/>
                <w:sz w:val="14"/>
                <w:szCs w:val="14"/>
                <w:b w:val="1"/>
                <w:bCs w:val="1"/>
                <w:color w:val="auto"/>
              </w:rPr>
              <w:t>2015</w:t>
            </w:r>
          </w:p>
        </w:tc>
        <w:tc>
          <w:tcPr>
            <w:tcW w:w="36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vMerge w:val="restart"/>
          </w:tcPr>
          <w:p>
            <w:pPr>
              <w:jc w:val="right"/>
              <w:ind w:right="436"/>
              <w:spacing w:after="0"/>
              <w:rPr>
                <w:sz w:val="20"/>
                <w:szCs w:val="20"/>
                <w:color w:val="auto"/>
              </w:rPr>
            </w:pPr>
            <w:r>
              <w:rPr>
                <w:rFonts w:ascii="Arial" w:cs="Arial" w:eastAsia="Arial" w:hAnsi="Arial"/>
                <w:sz w:val="14"/>
                <w:szCs w:val="14"/>
                <w:b w:val="1"/>
                <w:bCs w:val="1"/>
                <w:color w:val="auto"/>
              </w:rPr>
              <w:t>2014</w:t>
            </w:r>
          </w:p>
        </w:tc>
        <w:tc>
          <w:tcPr>
            <w:tcW w:w="300" w:type="dxa"/>
            <w:vAlign w:val="bottom"/>
            <w:tcBorders>
              <w:top w:val="single" w:sz="8" w:color="auto"/>
            </w:tcBorders>
          </w:tcPr>
          <w:p>
            <w:pPr>
              <w:spacing w:after="0"/>
              <w:rPr>
                <w:sz w:val="10"/>
                <w:szCs w:val="10"/>
                <w:color w:val="auto"/>
              </w:rPr>
            </w:pPr>
          </w:p>
        </w:tc>
        <w:tc>
          <w:tcPr>
            <w:tcW w:w="960" w:type="dxa"/>
            <w:vAlign w:val="bottom"/>
            <w:tcBorders>
              <w:top w:val="single" w:sz="8" w:color="auto"/>
            </w:tcBorders>
          </w:tcPr>
          <w:p>
            <w:pPr>
              <w:jc w:val="center"/>
              <w:ind w:right="120"/>
              <w:spacing w:after="0" w:line="119" w:lineRule="exact"/>
              <w:rPr>
                <w:sz w:val="20"/>
                <w:szCs w:val="20"/>
                <w:color w:val="auto"/>
              </w:rPr>
            </w:pPr>
            <w:r>
              <w:rPr>
                <w:rFonts w:ascii="Arial" w:cs="Arial" w:eastAsia="Arial" w:hAnsi="Arial"/>
                <w:sz w:val="13"/>
                <w:szCs w:val="13"/>
                <w:b w:val="1"/>
                <w:bCs w:val="1"/>
                <w:color w:val="auto"/>
                <w:w w:val="98"/>
              </w:rPr>
              <w:t>Increase</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3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5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9"/>
              </w:rPr>
              <w:t>(decrease)</w:t>
            </w: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2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42"/>
        </w:trPr>
        <w:tc>
          <w:tcPr>
            <w:tcW w:w="3340" w:type="dxa"/>
            <w:vAlign w:val="bottom"/>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520" w:type="dxa"/>
            <w:vAlign w:val="bottom"/>
            <w:tcBorders>
              <w:top w:val="single" w:sz="8" w:color="auto"/>
            </w:tcBorders>
            <w:gridSpan w:val="4"/>
          </w:tcPr>
          <w:p>
            <w:pPr>
              <w:jc w:val="right"/>
              <w:ind w:right="100"/>
              <w:spacing w:after="0" w:line="142" w:lineRule="exact"/>
              <w:rPr>
                <w:sz w:val="20"/>
                <w:szCs w:val="20"/>
                <w:color w:val="auto"/>
              </w:rPr>
            </w:pPr>
            <w:r>
              <w:rPr>
                <w:rFonts w:ascii="Arial" w:cs="Arial" w:eastAsia="Arial" w:hAnsi="Arial"/>
                <w:sz w:val="14"/>
                <w:szCs w:val="14"/>
                <w:b w:val="1"/>
                <w:bCs w:val="1"/>
                <w:color w:val="auto"/>
              </w:rPr>
              <w:t>(in millions)</w:t>
            </w:r>
          </w:p>
        </w:tc>
        <w:tc>
          <w:tcPr>
            <w:tcW w:w="92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Premium and fees:</w:t>
            </w:r>
          </w:p>
        </w:tc>
        <w:tc>
          <w:tcPr>
            <w:tcW w:w="7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40" w:type="dxa"/>
            <w:vAlign w:val="bottom"/>
          </w:tcPr>
          <w:p>
            <w:pPr>
              <w:ind w:left="200"/>
              <w:spacing w:after="0"/>
              <w:rPr>
                <w:sz w:val="20"/>
                <w:szCs w:val="20"/>
                <w:color w:val="auto"/>
              </w:rPr>
            </w:pPr>
            <w:r>
              <w:rPr>
                <w:rFonts w:ascii="Arial" w:cs="Arial" w:eastAsia="Arial" w:hAnsi="Arial"/>
                <w:sz w:val="18"/>
                <w:szCs w:val="18"/>
                <w:color w:val="auto"/>
              </w:rPr>
              <w:t>Individual life insurance</w:t>
            </w:r>
          </w:p>
        </w:tc>
        <w:tc>
          <w:tcPr>
            <w:tcW w:w="740" w:type="dxa"/>
            <w:vAlign w:val="bottom"/>
          </w:tcPr>
          <w:p>
            <w:pPr>
              <w:jc w:val="right"/>
              <w:ind w:right="587"/>
              <w:spacing w:after="0"/>
              <w:rPr>
                <w:sz w:val="20"/>
                <w:szCs w:val="20"/>
                <w:color w:val="auto"/>
              </w:rPr>
            </w:pPr>
            <w:r>
              <w:rPr>
                <w:rFonts w:ascii="Arial" w:cs="Arial" w:eastAsia="Arial" w:hAnsi="Arial"/>
                <w:sz w:val="15"/>
                <w:szCs w:val="15"/>
                <w:b w:val="1"/>
                <w:bCs w:val="1"/>
                <w:color w:val="auto"/>
                <w:w w:val="71"/>
              </w:rPr>
              <w:t>$</w:t>
            </w:r>
          </w:p>
        </w:tc>
        <w:tc>
          <w:tcPr>
            <w:tcW w:w="520" w:type="dxa"/>
            <w:vAlign w:val="bottom"/>
          </w:tcPr>
          <w:p>
            <w:pPr>
              <w:jc w:val="right"/>
              <w:ind w:right="10"/>
              <w:spacing w:after="0"/>
              <w:rPr>
                <w:sz w:val="20"/>
                <w:szCs w:val="20"/>
                <w:color w:val="auto"/>
              </w:rPr>
            </w:pPr>
            <w:r>
              <w:rPr>
                <w:rFonts w:ascii="Arial" w:cs="Arial" w:eastAsia="Arial" w:hAnsi="Arial"/>
                <w:sz w:val="18"/>
                <w:szCs w:val="18"/>
                <w:b w:val="1"/>
                <w:bCs w:val="1"/>
                <w:color w:val="auto"/>
                <w:w w:val="88"/>
              </w:rPr>
              <w:t>239.2</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6"/>
              <w:spacing w:after="0"/>
              <w:rPr>
                <w:sz w:val="20"/>
                <w:szCs w:val="20"/>
                <w:color w:val="auto"/>
              </w:rPr>
            </w:pPr>
            <w:r>
              <w:rPr>
                <w:rFonts w:ascii="Arial" w:cs="Arial" w:eastAsia="Arial" w:hAnsi="Arial"/>
                <w:sz w:val="18"/>
                <w:szCs w:val="18"/>
                <w:color w:val="auto"/>
              </w:rPr>
              <w:t>235.2</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4.0</w:t>
            </w:r>
          </w:p>
        </w:tc>
        <w:tc>
          <w:tcPr>
            <w:tcW w:w="44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920" w:type="dxa"/>
            <w:vAlign w:val="bottom"/>
          </w:tcPr>
          <w:p>
            <w:pPr>
              <w:jc w:val="right"/>
              <w:ind w:right="19"/>
              <w:spacing w:after="0"/>
              <w:rPr>
                <w:sz w:val="20"/>
                <w:szCs w:val="20"/>
                <w:color w:val="auto"/>
              </w:rPr>
            </w:pPr>
            <w:r>
              <w:rPr>
                <w:rFonts w:ascii="Arial" w:cs="Arial" w:eastAsia="Arial" w:hAnsi="Arial"/>
                <w:sz w:val="18"/>
                <w:szCs w:val="18"/>
                <w:b w:val="1"/>
                <w:bCs w:val="1"/>
                <w:color w:val="auto"/>
              </w:rPr>
              <w:t>727.0</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6"/>
              <w:spacing w:after="0"/>
              <w:rPr>
                <w:sz w:val="20"/>
                <w:szCs w:val="20"/>
                <w:color w:val="auto"/>
              </w:rPr>
            </w:pPr>
            <w:r>
              <w:rPr>
                <w:rFonts w:ascii="Arial" w:cs="Arial" w:eastAsia="Arial" w:hAnsi="Arial"/>
                <w:sz w:val="18"/>
                <w:szCs w:val="18"/>
                <w:color w:val="auto"/>
              </w:rPr>
              <w:t>701.4</w:t>
            </w:r>
          </w:p>
        </w:tc>
        <w:tc>
          <w:tcPr>
            <w:tcW w:w="3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25.6</w:t>
            </w:r>
          </w:p>
        </w:tc>
        <w:tc>
          <w:tcPr>
            <w:tcW w:w="0" w:type="dxa"/>
            <w:vAlign w:val="bottom"/>
          </w:tcPr>
          <w:p>
            <w:pPr>
              <w:spacing w:after="0"/>
              <w:rPr>
                <w:sz w:val="1"/>
                <w:szCs w:val="1"/>
                <w:color w:val="auto"/>
              </w:rPr>
            </w:pPr>
          </w:p>
        </w:tc>
      </w:tr>
      <w:tr>
        <w:trPr>
          <w:trHeight w:val="216"/>
        </w:trPr>
        <w:tc>
          <w:tcPr>
            <w:tcW w:w="3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Specialty benefits insurance</w:t>
            </w:r>
          </w:p>
        </w:tc>
        <w:tc>
          <w:tcPr>
            <w:tcW w:w="740" w:type="dxa"/>
            <w:vAlign w:val="bottom"/>
            <w:shd w:val="clear" w:color="auto" w:fill="CCEEFF"/>
          </w:tcPr>
          <w:p>
            <w:pPr>
              <w:spacing w:after="0"/>
              <w:rPr>
                <w:sz w:val="18"/>
                <w:szCs w:val="18"/>
                <w:color w:val="auto"/>
              </w:rPr>
            </w:pPr>
          </w:p>
        </w:tc>
        <w:tc>
          <w:tcPr>
            <w:tcW w:w="5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88"/>
              </w:rPr>
              <w:t>429.6</w:t>
            </w:r>
          </w:p>
        </w:tc>
        <w:tc>
          <w:tcPr>
            <w:tcW w:w="38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405.1</w:t>
            </w:r>
          </w:p>
        </w:tc>
        <w:tc>
          <w:tcPr>
            <w:tcW w:w="2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24.5</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9"/>
              <w:spacing w:after="0"/>
              <w:rPr>
                <w:sz w:val="20"/>
                <w:szCs w:val="20"/>
                <w:color w:val="auto"/>
              </w:rPr>
            </w:pPr>
            <w:r>
              <w:rPr>
                <w:rFonts w:ascii="Arial" w:cs="Arial" w:eastAsia="Arial" w:hAnsi="Arial"/>
                <w:sz w:val="18"/>
                <w:szCs w:val="18"/>
                <w:b w:val="1"/>
                <w:bCs w:val="1"/>
                <w:color w:val="auto"/>
              </w:rPr>
              <w:t>1,293.4</w:t>
            </w:r>
          </w:p>
        </w:tc>
        <w:tc>
          <w:tcPr>
            <w:tcW w:w="3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1,185.1</w:t>
            </w: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108.3</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 Insurance Solutions Segment Summary Financial Data</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following table presents certain summary financial data relating to the U.S. Insurance Solutions segment for the periods indicated:</w:t>
      </w:r>
    </w:p>
    <w:p>
      <w:pPr>
        <w:spacing w:after="0" w:line="200" w:lineRule="exact"/>
        <w:rPr>
          <w:sz w:val="20"/>
          <w:szCs w:val="20"/>
          <w:color w:val="auto"/>
        </w:rPr>
      </w:pP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9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400" w:type="dxa"/>
            <w:vAlign w:val="bottom"/>
            <w:gridSpan w:val="10"/>
          </w:tcPr>
          <w:p>
            <w:pPr>
              <w:jc w:val="right"/>
              <w:ind w:right="640"/>
              <w:spacing w:after="0"/>
              <w:rPr>
                <w:sz w:val="20"/>
                <w:szCs w:val="20"/>
                <w:color w:val="auto"/>
              </w:rPr>
            </w:pPr>
            <w:r>
              <w:rPr>
                <w:rFonts w:ascii="Arial" w:cs="Arial" w:eastAsia="Arial" w:hAnsi="Arial"/>
                <w:sz w:val="14"/>
                <w:szCs w:val="14"/>
                <w:b w:val="1"/>
                <w:bCs w:val="1"/>
                <w:color w:val="auto"/>
                <w:w w:val="96"/>
              </w:rPr>
              <w:t>For the three months ended September 30,</w:t>
            </w:r>
          </w:p>
        </w:tc>
        <w:tc>
          <w:tcPr>
            <w:tcW w:w="240" w:type="dxa"/>
            <w:vAlign w:val="bottom"/>
          </w:tcPr>
          <w:p>
            <w:pPr>
              <w:spacing w:after="0"/>
              <w:rPr>
                <w:sz w:val="14"/>
                <w:szCs w:val="14"/>
                <w:color w:val="auto"/>
              </w:rPr>
            </w:pPr>
          </w:p>
        </w:tc>
        <w:tc>
          <w:tcPr>
            <w:tcW w:w="3140" w:type="dxa"/>
            <w:vAlign w:val="bottom"/>
            <w:gridSpan w:val="10"/>
          </w:tcPr>
          <w:p>
            <w:pPr>
              <w:jc w:val="right"/>
              <w:ind w:right="480"/>
              <w:spacing w:after="0"/>
              <w:rPr>
                <w:sz w:val="20"/>
                <w:szCs w:val="20"/>
                <w:color w:val="auto"/>
              </w:rPr>
            </w:pPr>
            <w:r>
              <w:rPr>
                <w:rFonts w:ascii="Arial" w:cs="Arial" w:eastAsia="Arial" w:hAnsi="Arial"/>
                <w:sz w:val="14"/>
                <w:szCs w:val="14"/>
                <w:b w:val="1"/>
                <w:bCs w:val="1"/>
                <w:color w:val="auto"/>
                <w:w w:val="94"/>
              </w:rPr>
              <w:t>For the nine months ended September 30,</w:t>
            </w:r>
          </w:p>
        </w:tc>
        <w:tc>
          <w:tcPr>
            <w:tcW w:w="0" w:type="dxa"/>
            <w:vAlign w:val="bottom"/>
          </w:tcPr>
          <w:p>
            <w:pPr>
              <w:spacing w:after="0"/>
              <w:rPr>
                <w:sz w:val="1"/>
                <w:szCs w:val="1"/>
                <w:color w:val="auto"/>
              </w:rPr>
            </w:pPr>
          </w:p>
        </w:tc>
      </w:tr>
      <w:tr>
        <w:trPr>
          <w:trHeight w:val="119"/>
        </w:trPr>
        <w:tc>
          <w:tcPr>
            <w:tcW w:w="39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33"/>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vMerge w:val="restart"/>
          </w:tcPr>
          <w:p>
            <w:pPr>
              <w:jc w:val="right"/>
              <w:ind w:right="231"/>
              <w:spacing w:after="0"/>
              <w:rPr>
                <w:sz w:val="20"/>
                <w:szCs w:val="20"/>
                <w:color w:val="auto"/>
              </w:rPr>
            </w:pPr>
            <w:r>
              <w:rPr>
                <w:rFonts w:ascii="Arial" w:cs="Arial" w:eastAsia="Arial" w:hAnsi="Arial"/>
                <w:sz w:val="14"/>
                <w:szCs w:val="14"/>
                <w:b w:val="1"/>
                <w:bCs w:val="1"/>
                <w:color w:val="auto"/>
              </w:rPr>
              <w:t>2014</w:t>
            </w:r>
          </w:p>
        </w:tc>
        <w:tc>
          <w:tcPr>
            <w:tcW w:w="14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right"/>
              <w:ind w:right="94"/>
              <w:spacing w:after="0" w:line="119" w:lineRule="exact"/>
              <w:rPr>
                <w:sz w:val="20"/>
                <w:szCs w:val="20"/>
                <w:color w:val="auto"/>
              </w:rPr>
            </w:pPr>
            <w:r>
              <w:rPr>
                <w:rFonts w:ascii="Arial" w:cs="Arial" w:eastAsia="Arial" w:hAnsi="Arial"/>
                <w:sz w:val="13"/>
                <w:szCs w:val="13"/>
                <w:b w:val="1"/>
                <w:bCs w:val="1"/>
                <w:color w:val="auto"/>
              </w:rPr>
              <w:t>Increase</w:t>
            </w:r>
          </w:p>
        </w:tc>
        <w:tc>
          <w:tcPr>
            <w:tcW w:w="30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233"/>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vMerge w:val="restart"/>
          </w:tcPr>
          <w:p>
            <w:pPr>
              <w:jc w:val="right"/>
              <w:ind w:right="211"/>
              <w:spacing w:after="0"/>
              <w:rPr>
                <w:sz w:val="20"/>
                <w:szCs w:val="20"/>
                <w:color w:val="auto"/>
              </w:rPr>
            </w:pPr>
            <w:r>
              <w:rPr>
                <w:rFonts w:ascii="Arial" w:cs="Arial" w:eastAsia="Arial" w:hAnsi="Arial"/>
                <w:sz w:val="14"/>
                <w:szCs w:val="14"/>
                <w:b w:val="1"/>
                <w:bCs w:val="1"/>
                <w:color w:val="auto"/>
              </w:rPr>
              <w:t>2014</w:t>
            </w:r>
          </w:p>
        </w:tc>
        <w:tc>
          <w:tcPr>
            <w:tcW w:w="14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right"/>
              <w:ind w:right="113"/>
              <w:spacing w:after="0" w:line="119" w:lineRule="exact"/>
              <w:rPr>
                <w:sz w:val="20"/>
                <w:szCs w:val="20"/>
                <w:color w:val="auto"/>
              </w:rPr>
            </w:pPr>
            <w:r>
              <w:rPr>
                <w:rFonts w:ascii="Arial" w:cs="Arial" w:eastAsia="Arial" w:hAnsi="Arial"/>
                <w:sz w:val="13"/>
                <w:szCs w:val="13"/>
                <w:b w:val="1"/>
                <w:bCs w:val="1"/>
                <w:color w:val="auto"/>
              </w:rPr>
              <w:t>Increase</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9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88"/>
              </w:rPr>
              <w:t>(decrease)</w:t>
            </w:r>
          </w:p>
        </w:tc>
        <w:tc>
          <w:tcPr>
            <w:tcW w:w="24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42"/>
        </w:trPr>
        <w:tc>
          <w:tcPr>
            <w:tcW w:w="39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32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6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5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tcPr>
          <w:p>
            <w:pPr>
              <w:ind w:left="200"/>
              <w:spacing w:after="0"/>
              <w:rPr>
                <w:sz w:val="20"/>
                <w:szCs w:val="20"/>
                <w:color w:val="auto"/>
              </w:rPr>
            </w:pPr>
            <w:r>
              <w:rPr>
                <w:rFonts w:ascii="Arial" w:cs="Arial" w:eastAsia="Arial" w:hAnsi="Arial"/>
                <w:sz w:val="18"/>
                <w:szCs w:val="18"/>
                <w:color w:val="auto"/>
              </w:rPr>
              <w:t>Premiums and other considerations</w:t>
            </w:r>
          </w:p>
        </w:tc>
        <w:tc>
          <w:tcPr>
            <w:tcW w:w="74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506.2</w:t>
            </w:r>
          </w:p>
        </w:tc>
        <w:tc>
          <w:tcPr>
            <w:tcW w:w="36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485.5</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20.7</w:t>
            </w:r>
          </w:p>
        </w:tc>
        <w:tc>
          <w:tcPr>
            <w:tcW w:w="240" w:type="dxa"/>
            <w:vAlign w:val="bottom"/>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1,535.3</w:t>
            </w:r>
          </w:p>
        </w:tc>
        <w:tc>
          <w:tcPr>
            <w:tcW w:w="34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1,431.6</w:t>
            </w:r>
          </w:p>
        </w:tc>
        <w:tc>
          <w:tcPr>
            <w:tcW w:w="140" w:type="dxa"/>
            <w:vAlign w:val="bottom"/>
          </w:tcPr>
          <w:p>
            <w:pPr>
              <w:spacing w:after="0"/>
              <w:rPr>
                <w:sz w:val="18"/>
                <w:szCs w:val="18"/>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103.7</w:t>
            </w:r>
          </w:p>
        </w:tc>
        <w:tc>
          <w:tcPr>
            <w:tcW w:w="0" w:type="dxa"/>
            <w:vAlign w:val="bottom"/>
          </w:tcPr>
          <w:p>
            <w:pPr>
              <w:spacing w:after="0"/>
              <w:rPr>
                <w:sz w:val="1"/>
                <w:szCs w:val="1"/>
                <w:color w:val="auto"/>
              </w:rPr>
            </w:pPr>
          </w:p>
        </w:tc>
      </w:tr>
      <w:tr>
        <w:trPr>
          <w:trHeight w:val="216"/>
        </w:trPr>
        <w:tc>
          <w:tcPr>
            <w:tcW w:w="39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Fees and other revenues (1)</w:t>
            </w:r>
          </w:p>
        </w:tc>
        <w:tc>
          <w:tcPr>
            <w:tcW w:w="5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162.6</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154.8</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7.8</w:t>
            </w: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485.0</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454.8</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30.2</w:t>
            </w:r>
          </w:p>
        </w:tc>
        <w:tc>
          <w:tcPr>
            <w:tcW w:w="0" w:type="dxa"/>
            <w:vAlign w:val="bottom"/>
          </w:tcPr>
          <w:p>
            <w:pPr>
              <w:spacing w:after="0"/>
              <w:rPr>
                <w:sz w:val="1"/>
                <w:szCs w:val="1"/>
                <w:color w:val="auto"/>
              </w:rPr>
            </w:pPr>
          </w:p>
        </w:tc>
      </w:tr>
      <w:tr>
        <w:trPr>
          <w:trHeight w:val="216"/>
        </w:trPr>
        <w:tc>
          <w:tcPr>
            <w:tcW w:w="3900" w:type="dxa"/>
            <w:vAlign w:val="bottom"/>
          </w:tcPr>
          <w:p>
            <w:pPr>
              <w:ind w:left="200"/>
              <w:spacing w:after="0"/>
              <w:rPr>
                <w:sz w:val="20"/>
                <w:szCs w:val="20"/>
                <w:color w:val="auto"/>
              </w:rPr>
            </w:pPr>
            <w:r>
              <w:rPr>
                <w:rFonts w:ascii="Arial" w:cs="Arial" w:eastAsia="Arial" w:hAnsi="Arial"/>
                <w:sz w:val="18"/>
                <w:szCs w:val="18"/>
                <w:color w:val="auto"/>
              </w:rPr>
              <w:t>Net investment income</w:t>
            </w: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184.4</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180.7</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3.7</w:t>
            </w:r>
          </w:p>
        </w:tc>
        <w:tc>
          <w:tcPr>
            <w:tcW w:w="2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552.4</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550.4</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0"/>
        </w:trPr>
        <w:tc>
          <w:tcPr>
            <w:tcW w:w="3900" w:type="dxa"/>
            <w:vAlign w:val="bottom"/>
            <w:tcBorders>
              <w:top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operating revenues</w:t>
            </w:r>
          </w:p>
        </w:tc>
        <w:tc>
          <w:tcPr>
            <w:tcW w:w="5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853.2</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821.0</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32.2</w:t>
            </w:r>
          </w:p>
        </w:tc>
        <w:tc>
          <w:tcPr>
            <w:tcW w:w="3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2,572.7</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2,436.8</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135.9</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Expenses:</w:t>
            </w: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Benefits, claims and settlement expenses (1)</w:t>
            </w:r>
          </w:p>
        </w:tc>
        <w:tc>
          <w:tcPr>
            <w:tcW w:w="5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432.0</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366.6</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65.4</w:t>
            </w: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1,455.8</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1,360.4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95.4</w:t>
            </w:r>
          </w:p>
        </w:tc>
        <w:tc>
          <w:tcPr>
            <w:tcW w:w="0" w:type="dxa"/>
            <w:vAlign w:val="bottom"/>
          </w:tcPr>
          <w:p>
            <w:pPr>
              <w:spacing w:after="0"/>
              <w:rPr>
                <w:sz w:val="1"/>
                <w:szCs w:val="1"/>
                <w:color w:val="auto"/>
              </w:rPr>
            </w:pPr>
          </w:p>
        </w:tc>
      </w:tr>
      <w:tr>
        <w:trPr>
          <w:trHeight w:val="216"/>
        </w:trPr>
        <w:tc>
          <w:tcPr>
            <w:tcW w:w="3900" w:type="dxa"/>
            <w:vAlign w:val="bottom"/>
          </w:tcPr>
          <w:p>
            <w:pPr>
              <w:ind w:left="200"/>
              <w:spacing w:after="0"/>
              <w:rPr>
                <w:sz w:val="20"/>
                <w:szCs w:val="20"/>
                <w:color w:val="auto"/>
              </w:rPr>
            </w:pPr>
            <w:r>
              <w:rPr>
                <w:rFonts w:ascii="Arial" w:cs="Arial" w:eastAsia="Arial" w:hAnsi="Arial"/>
                <w:sz w:val="18"/>
                <w:szCs w:val="18"/>
                <w:color w:val="auto"/>
              </w:rPr>
              <w:t>Dividends to policyholders</w:t>
            </w: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40.6</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43.9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(3.3)</w:t>
            </w:r>
          </w:p>
        </w:tc>
        <w:tc>
          <w:tcPr>
            <w:tcW w:w="2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123.5</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133.6</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16"/>
        </w:trPr>
        <w:tc>
          <w:tcPr>
            <w:tcW w:w="39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Operating expenses (1)</w:t>
            </w:r>
          </w:p>
        </w:tc>
        <w:tc>
          <w:tcPr>
            <w:tcW w:w="5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207.7</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285.4</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(77.7)</w:t>
            </w: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650.5</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681.8</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(31.3)</w:t>
            </w:r>
          </w:p>
        </w:tc>
        <w:tc>
          <w:tcPr>
            <w:tcW w:w="0" w:type="dxa"/>
            <w:vAlign w:val="bottom"/>
          </w:tcPr>
          <w:p>
            <w:pPr>
              <w:spacing w:after="0"/>
              <w:rPr>
                <w:sz w:val="1"/>
                <w:szCs w:val="1"/>
                <w:color w:val="auto"/>
              </w:rPr>
            </w:pPr>
          </w:p>
        </w:tc>
      </w:tr>
      <w:tr>
        <w:trPr>
          <w:trHeight w:val="210"/>
        </w:trPr>
        <w:tc>
          <w:tcPr>
            <w:tcW w:w="3900" w:type="dxa"/>
            <w:vAlign w:val="bottom"/>
            <w:tcBorders>
              <w:bottom w:val="single" w:sz="8" w:color="CCEEFF"/>
            </w:tcBorders>
          </w:tcPr>
          <w:p>
            <w:pPr>
              <w:ind w:left="380"/>
              <w:spacing w:after="0"/>
              <w:rPr>
                <w:sz w:val="20"/>
                <w:szCs w:val="20"/>
                <w:color w:val="auto"/>
              </w:rPr>
            </w:pPr>
            <w:r>
              <w:rPr>
                <w:rFonts w:ascii="Arial" w:cs="Arial" w:eastAsia="Arial" w:hAnsi="Arial"/>
                <w:sz w:val="18"/>
                <w:szCs w:val="18"/>
                <w:color w:val="auto"/>
              </w:rPr>
              <w:t>Total expenses</w:t>
            </w:r>
          </w:p>
        </w:tc>
        <w:tc>
          <w:tcPr>
            <w:tcW w:w="52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680.3</w:t>
            </w:r>
          </w:p>
        </w:tc>
        <w:tc>
          <w:tcPr>
            <w:tcW w:w="14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695.9</w:t>
            </w:r>
          </w:p>
        </w:tc>
        <w:tc>
          <w:tcPr>
            <w:tcW w:w="14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(15.6)</w:t>
            </w:r>
          </w:p>
        </w:tc>
        <w:tc>
          <w:tcPr>
            <w:tcW w:w="300" w:type="dxa"/>
            <w:vAlign w:val="bottom"/>
            <w:tcBorders>
              <w:bottom w:val="single" w:sz="8" w:color="CCEEFF"/>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2,229.8</w:t>
            </w:r>
          </w:p>
        </w:tc>
        <w:tc>
          <w:tcPr>
            <w:tcW w:w="14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2,175.8</w:t>
            </w:r>
          </w:p>
        </w:tc>
        <w:tc>
          <w:tcPr>
            <w:tcW w:w="14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54.0</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Operating earnings before income taxes</w:t>
            </w:r>
          </w:p>
        </w:tc>
        <w:tc>
          <w:tcPr>
            <w:tcW w:w="5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172.9</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47.8</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342.9</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Income taxes</w:t>
            </w: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58.4</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41.8</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00"/>
              <w:spacing w:after="0"/>
              <w:rPr>
                <w:sz w:val="20"/>
                <w:szCs w:val="20"/>
                <w:color w:val="auto"/>
              </w:rPr>
            </w:pPr>
            <w:r>
              <w:rPr>
                <w:rFonts w:ascii="Arial" w:cs="Arial" w:eastAsia="Arial" w:hAnsi="Arial"/>
                <w:sz w:val="18"/>
                <w:szCs w:val="18"/>
                <w:color w:val="auto"/>
              </w:rPr>
              <w:t>16.6</w:t>
            </w:r>
          </w:p>
        </w:tc>
        <w:tc>
          <w:tcPr>
            <w:tcW w:w="2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114.5</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85.3</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29.2</w:t>
            </w:r>
          </w:p>
        </w:tc>
        <w:tc>
          <w:tcPr>
            <w:tcW w:w="0" w:type="dxa"/>
            <w:vAlign w:val="bottom"/>
          </w:tcPr>
          <w:p>
            <w:pPr>
              <w:spacing w:after="0"/>
              <w:rPr>
                <w:sz w:val="1"/>
                <w:szCs w:val="1"/>
                <w:color w:val="auto"/>
              </w:rPr>
            </w:pPr>
          </w:p>
        </w:tc>
      </w:tr>
      <w:tr>
        <w:trPr>
          <w:trHeight w:val="210"/>
        </w:trPr>
        <w:tc>
          <w:tcPr>
            <w:tcW w:w="39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Operating earnings (1)</w:t>
            </w:r>
          </w:p>
        </w:tc>
        <w:tc>
          <w:tcPr>
            <w:tcW w:w="52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114.5</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83.3</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31.2</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228.4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175.7</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70" w:orient="portrait"/>
          <w:cols w:equalWidth="0" w:num="1">
            <w:col w:w="11420"/>
          </w:cols>
          <w:pgMar w:left="240" w:top="125" w:right="239" w:bottom="0" w:gutter="0" w:footer="0" w:header="0"/>
        </w:sectPr>
      </w:pPr>
    </w:p>
    <w:bookmarkStart w:id="73" w:name="page74"/>
    <w:bookmarkEnd w:id="73"/>
    <w:p>
      <w:pPr>
        <w:spacing w:after="0" w:line="4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294640</wp:posOffset>
            </wp:positionV>
            <wp:extent cx="1826895"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ind w:left="660" w:right="340" w:hanging="328"/>
        <w:spacing w:after="0" w:line="342" w:lineRule="auto"/>
        <w:tabs>
          <w:tab w:leader="none" w:pos="667" w:val="left"/>
        </w:tabs>
        <w:numPr>
          <w:ilvl w:val="0"/>
          <w:numId w:val="32"/>
        </w:numPr>
        <w:rPr>
          <w:rFonts w:ascii="Arial" w:cs="Arial" w:eastAsia="Arial" w:hAnsi="Arial"/>
          <w:sz w:val="16"/>
          <w:szCs w:val="16"/>
          <w:color w:val="auto"/>
        </w:rPr>
      </w:pPr>
      <w:r>
        <w:rPr>
          <w:rFonts w:ascii="Arial" w:cs="Arial" w:eastAsia="Arial" w:hAnsi="Arial"/>
          <w:sz w:val="16"/>
          <w:szCs w:val="16"/>
          <w:color w:val="auto"/>
        </w:rPr>
        <w:t>For further details related to the impact associated with actuarial assumption updates and model refinements for the three and nine months ended September 30, 2015 and 2014, see “Transactions Affecting Comparability of Results of Operations — Actuarial Assumption Updates.”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2015 Compared to Three Months Ended September 30, 2014</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Earnings</w:t>
      </w:r>
    </w:p>
    <w:p>
      <w:pPr>
        <w:spacing w:after="0" w:line="229" w:lineRule="exact"/>
        <w:rPr>
          <w:sz w:val="20"/>
          <w:szCs w:val="20"/>
          <w:color w:val="auto"/>
        </w:rPr>
      </w:pPr>
    </w:p>
    <w:p>
      <w:pPr>
        <w:ind w:right="100" w:firstLine="630"/>
        <w:spacing w:after="0" w:line="286" w:lineRule="auto"/>
        <w:rPr>
          <w:sz w:val="20"/>
          <w:szCs w:val="20"/>
          <w:color w:val="auto"/>
        </w:rPr>
      </w:pPr>
      <w:r>
        <w:rPr>
          <w:rFonts w:ascii="Arial" w:cs="Arial" w:eastAsia="Arial" w:hAnsi="Arial"/>
          <w:sz w:val="17"/>
          <w:szCs w:val="17"/>
          <w:color w:val="auto"/>
        </w:rPr>
        <w:t>Operating earnings increased $20.7 million in our individual life insurance business due to improved mortality and a more favorable impact from assumption updates and model refinements in 2015 than in 2014. Operating earnings increased $10.5 million in our specialty benefits insurance business due to a favorable impact from assumption updates and model refinements, growth in the business and favorable claim experience.</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Revenues</w:t>
      </w:r>
    </w:p>
    <w:p>
      <w:pPr>
        <w:spacing w:after="0" w:line="229" w:lineRule="exact"/>
        <w:rPr>
          <w:sz w:val="20"/>
          <w:szCs w:val="20"/>
          <w:color w:val="auto"/>
        </w:rPr>
      </w:pPr>
    </w:p>
    <w:p>
      <w:pPr>
        <w:ind w:right="140" w:firstLine="630"/>
        <w:spacing w:after="0" w:line="277" w:lineRule="auto"/>
        <w:rPr>
          <w:sz w:val="20"/>
          <w:szCs w:val="20"/>
          <w:color w:val="auto"/>
        </w:rPr>
      </w:pPr>
      <w:r>
        <w:rPr>
          <w:rFonts w:ascii="Arial" w:cs="Arial" w:eastAsia="Arial" w:hAnsi="Arial"/>
          <w:sz w:val="18"/>
          <w:szCs w:val="18"/>
          <w:color w:val="auto"/>
        </w:rPr>
        <w:t>Premium and fees increased $24.5 million in our specialty benefits insurance business primarily due to growth in the business, partially offset by an unfavorable impact from assumption updates and model refinements.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ind w:right="280" w:firstLine="630"/>
        <w:spacing w:after="0" w:line="308" w:lineRule="auto"/>
        <w:rPr>
          <w:sz w:val="20"/>
          <w:szCs w:val="20"/>
          <w:color w:val="auto"/>
        </w:rPr>
      </w:pPr>
      <w:r>
        <w:rPr>
          <w:rFonts w:ascii="Arial" w:cs="Arial" w:eastAsia="Arial" w:hAnsi="Arial"/>
          <w:sz w:val="17"/>
          <w:szCs w:val="17"/>
          <w:color w:val="auto"/>
        </w:rPr>
        <w:t>Benefits, claims and settlement expenses increased $67.5 million in our individual life insurance business primarily due to a less favorable impact from unlocking associated with assumption updates and model refinements in 2015 than in 2014, partially offset by improved mortality.</w:t>
      </w:r>
    </w:p>
    <w:p>
      <w:pPr>
        <w:spacing w:after="0" w:line="147" w:lineRule="exact"/>
        <w:rPr>
          <w:sz w:val="20"/>
          <w:szCs w:val="20"/>
          <w:color w:val="auto"/>
        </w:rPr>
      </w:pPr>
    </w:p>
    <w:p>
      <w:pPr>
        <w:jc w:val="both"/>
        <w:ind w:right="520" w:firstLine="630"/>
        <w:spacing w:after="0" w:line="264" w:lineRule="auto"/>
        <w:rPr>
          <w:sz w:val="20"/>
          <w:szCs w:val="20"/>
          <w:color w:val="auto"/>
        </w:rPr>
      </w:pPr>
      <w:r>
        <w:rPr>
          <w:rFonts w:ascii="Arial" w:cs="Arial" w:eastAsia="Arial" w:hAnsi="Arial"/>
          <w:sz w:val="18"/>
          <w:szCs w:val="18"/>
          <w:color w:val="auto"/>
        </w:rPr>
        <w:t>Operating expenses decreased $88.3 million in our individual life insurance business primarily due to a more favorable impact from unlocking associated with assumption updates and model refinements in 2015 than in 2014, which was partially offset by higher expenses related to growth in the business.</w:t>
      </w:r>
    </w:p>
    <w:p>
      <w:pPr>
        <w:spacing w:after="0" w:line="177"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The effective income tax rates for the segment were 34% and 33% for the three months ended September 30, 2015 and 2014, respectively. The effective income tax rates were lower than the U.S. statutory rate primarily due to interest exclusion from taxable income and income tax deductions allowed for corporate dividends received.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2015 Compared to Nine Months Ended September 30, 2014</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Earnings</w:t>
      </w:r>
    </w:p>
    <w:p>
      <w:pPr>
        <w:spacing w:after="0" w:line="229" w:lineRule="exact"/>
        <w:rPr>
          <w:sz w:val="20"/>
          <w:szCs w:val="20"/>
          <w:color w:val="auto"/>
        </w:rPr>
      </w:pPr>
    </w:p>
    <w:p>
      <w:pPr>
        <w:ind w:firstLine="630"/>
        <w:spacing w:after="0" w:line="302" w:lineRule="auto"/>
        <w:rPr>
          <w:sz w:val="20"/>
          <w:szCs w:val="20"/>
          <w:color w:val="auto"/>
        </w:rPr>
      </w:pPr>
      <w:r>
        <w:rPr>
          <w:rFonts w:ascii="Arial" w:cs="Arial" w:eastAsia="Arial" w:hAnsi="Arial"/>
          <w:sz w:val="16"/>
          <w:szCs w:val="16"/>
          <w:color w:val="auto"/>
        </w:rPr>
        <w:t>Operating earnings increased $35.2 million in our individual life insurance business primarily due to improved mortality and a more favorable impact from unlocking associated with assumption updates and model refinements in 2015 than in 2014. Operating earnings increased $17.5 million in our specialty benefits insurance business primarily due to a favorable impact from assumption updates and model refinements, the recovery of reinsurance premiums, favorable claim experience and growth in the business, partially offset by higher staff related costs, including pension and other postretirement benefits.</w:t>
      </w:r>
    </w:p>
    <w:p>
      <w:pPr>
        <w:spacing w:after="0" w:line="150"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Revenues</w:t>
      </w:r>
    </w:p>
    <w:p>
      <w:pPr>
        <w:spacing w:after="0" w:line="229" w:lineRule="exact"/>
        <w:rPr>
          <w:sz w:val="20"/>
          <w:szCs w:val="20"/>
          <w:color w:val="auto"/>
        </w:rPr>
      </w:pPr>
    </w:p>
    <w:p>
      <w:pPr>
        <w:ind w:right="180" w:firstLine="630"/>
        <w:spacing w:after="0" w:line="277" w:lineRule="auto"/>
        <w:rPr>
          <w:sz w:val="20"/>
          <w:szCs w:val="20"/>
          <w:color w:val="auto"/>
        </w:rPr>
      </w:pPr>
      <w:r>
        <w:rPr>
          <w:rFonts w:ascii="Arial" w:cs="Arial" w:eastAsia="Arial" w:hAnsi="Arial"/>
          <w:sz w:val="18"/>
          <w:szCs w:val="18"/>
          <w:color w:val="auto"/>
        </w:rPr>
        <w:t>Premium and fees increased $108.3 million in our specialty benefits insurance business primarily due to growth in the business and the recovery of reinsurance premiums, partially offset by an unfavorable impact from assumption updates and model refinements.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Total Expenses</w:t>
      </w:r>
    </w:p>
    <w:p>
      <w:pPr>
        <w:spacing w:after="0" w:line="229" w:lineRule="exact"/>
        <w:rPr>
          <w:sz w:val="20"/>
          <w:szCs w:val="20"/>
          <w:color w:val="auto"/>
        </w:rPr>
      </w:pPr>
    </w:p>
    <w:p>
      <w:pPr>
        <w:ind w:right="120" w:firstLine="630"/>
        <w:spacing w:after="0" w:line="279" w:lineRule="auto"/>
        <w:rPr>
          <w:sz w:val="20"/>
          <w:szCs w:val="20"/>
          <w:color w:val="auto"/>
        </w:rPr>
      </w:pPr>
      <w:r>
        <w:rPr>
          <w:rFonts w:ascii="Arial" w:cs="Arial" w:eastAsia="Arial" w:hAnsi="Arial"/>
          <w:sz w:val="17"/>
          <w:szCs w:val="17"/>
          <w:color w:val="auto"/>
        </w:rPr>
        <w:t>Benefits, claims and settlement expenses increased $64.7 million in our individual life insurance business primarily due to a less favorable impact from unlocking associated with assumption updates and model refinements in 2015 than in 2014, which was partially offset by improved mortality. Benefits, claims and settlement expenses increased $30.7 million in our specialty benefits insurance business primarily due to growth in the business, which was partially offset by a favorable impact from assumption updates and model refinements and favorable claim experience.</w:t>
      </w:r>
    </w:p>
    <w:p>
      <w:pPr>
        <w:spacing w:after="0" w:line="171" w:lineRule="exact"/>
        <w:rPr>
          <w:sz w:val="20"/>
          <w:szCs w:val="20"/>
          <w:color w:val="auto"/>
        </w:rPr>
      </w:pPr>
    </w:p>
    <w:p>
      <w:pPr>
        <w:ind w:right="280" w:firstLine="630"/>
        <w:spacing w:after="0" w:line="279" w:lineRule="auto"/>
        <w:rPr>
          <w:sz w:val="20"/>
          <w:szCs w:val="20"/>
          <w:color w:val="auto"/>
        </w:rPr>
      </w:pPr>
      <w:r>
        <w:rPr>
          <w:rFonts w:ascii="Arial" w:cs="Arial" w:eastAsia="Arial" w:hAnsi="Arial"/>
          <w:sz w:val="17"/>
          <w:szCs w:val="17"/>
          <w:color w:val="auto"/>
        </w:rPr>
        <w:t>Operating expenses decreased $78.3 million in our individual life insurance business primarily due to a more favorable impact from unlocking associated with assumption updates and model refinements in 2015 than in 2014, which was partially offset by higher expenses related to growth in the business. Operating expenses increased $47.0 million in our specialty benefits insurance business primarily due growth in the business, higher staff related costs, including pension and other postretirement benefits and reimbursement of a reinsurance expense allowance.</w:t>
      </w:r>
    </w:p>
    <w:p>
      <w:pPr>
        <w:spacing w:after="0" w:line="167"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The effective income tax rate for the segment was 33% for both the nine months ended September 30, 2015 and 2014. The effective income tax rate was lower than the U.S. statutory rate primarily due to interest exclusion from taxable income and income tax deductions allowed for corporate dividends received.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Segment</w:t>
      </w:r>
    </w:p>
    <w:p>
      <w:pPr>
        <w:sectPr>
          <w:pgSz w:w="11900" w:h="16883" w:orient="portrait"/>
          <w:cols w:equalWidth="0" w:num="1">
            <w:col w:w="11420"/>
          </w:cols>
          <w:pgMar w:left="240" w:top="571" w:right="239" w:bottom="0" w:gutter="0" w:footer="0" w:header="0"/>
        </w:sectPr>
      </w:pPr>
    </w:p>
    <w:bookmarkStart w:id="74" w:name="page75"/>
    <w:bookmarkEnd w:id="74"/>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Segment Summary Financial Data</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certain summary financial data relating to the Corporate segment for the periods indicated: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60" w:type="dxa"/>
            <w:vAlign w:val="bottom"/>
            <w:gridSpan w:val="10"/>
          </w:tcPr>
          <w:p>
            <w:pPr>
              <w:ind w:left="120"/>
              <w:spacing w:after="0"/>
              <w:rPr>
                <w:sz w:val="20"/>
                <w:szCs w:val="20"/>
                <w:color w:val="auto"/>
              </w:rPr>
            </w:pPr>
            <w:r>
              <w:rPr>
                <w:rFonts w:ascii="Arial" w:cs="Arial" w:eastAsia="Arial" w:hAnsi="Arial"/>
                <w:sz w:val="14"/>
                <w:szCs w:val="14"/>
                <w:b w:val="1"/>
                <w:bCs w:val="1"/>
                <w:color w:val="auto"/>
              </w:rPr>
              <w:t>For the three months ended September 30,</w:t>
            </w:r>
          </w:p>
        </w:tc>
        <w:tc>
          <w:tcPr>
            <w:tcW w:w="260" w:type="dxa"/>
            <w:vAlign w:val="bottom"/>
          </w:tcPr>
          <w:p>
            <w:pPr>
              <w:spacing w:after="0"/>
              <w:rPr>
                <w:sz w:val="14"/>
                <w:szCs w:val="14"/>
                <w:color w:val="auto"/>
              </w:rPr>
            </w:pPr>
          </w:p>
        </w:tc>
        <w:tc>
          <w:tcPr>
            <w:tcW w:w="3000" w:type="dxa"/>
            <w:vAlign w:val="bottom"/>
            <w:gridSpan w:val="8"/>
          </w:tcPr>
          <w:p>
            <w:pPr>
              <w:jc w:val="right"/>
              <w:ind w:right="360"/>
              <w:spacing w:after="0"/>
              <w:rPr>
                <w:sz w:val="20"/>
                <w:szCs w:val="20"/>
                <w:color w:val="auto"/>
              </w:rPr>
            </w:pPr>
            <w:r>
              <w:rPr>
                <w:rFonts w:ascii="Arial" w:cs="Arial" w:eastAsia="Arial" w:hAnsi="Arial"/>
                <w:sz w:val="14"/>
                <w:szCs w:val="14"/>
                <w:b w:val="1"/>
                <w:bCs w:val="1"/>
                <w:color w:val="auto"/>
                <w:w w:val="92"/>
              </w:rPr>
              <w:t>For the nine months ended September 30,</w:t>
            </w:r>
          </w:p>
        </w:tc>
        <w:tc>
          <w:tcPr>
            <w:tcW w:w="0" w:type="dxa"/>
            <w:vAlign w:val="bottom"/>
          </w:tcPr>
          <w:p>
            <w:pPr>
              <w:spacing w:after="0"/>
              <w:rPr>
                <w:sz w:val="1"/>
                <w:szCs w:val="1"/>
                <w:color w:val="auto"/>
              </w:rPr>
            </w:pPr>
          </w:p>
        </w:tc>
      </w:tr>
      <w:tr>
        <w:trPr>
          <w:trHeight w:val="119"/>
        </w:trPr>
        <w:tc>
          <w:tcPr>
            <w:tcW w:w="470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ind w:left="120"/>
              <w:spacing w:after="0"/>
              <w:rPr>
                <w:sz w:val="20"/>
                <w:szCs w:val="20"/>
                <w:color w:val="auto"/>
              </w:rPr>
            </w:pPr>
            <w:r>
              <w:rPr>
                <w:rFonts w:ascii="Arial" w:cs="Arial" w:eastAsia="Arial" w:hAnsi="Arial"/>
                <w:sz w:val="14"/>
                <w:szCs w:val="14"/>
                <w:b w:val="1"/>
                <w:bCs w:val="1"/>
                <w:color w:val="auto"/>
              </w:rPr>
              <w:t>2015</w:t>
            </w:r>
          </w:p>
        </w:tc>
        <w:tc>
          <w:tcPr>
            <w:tcW w:w="1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32"/>
              <w:spacing w:after="0"/>
              <w:rPr>
                <w:sz w:val="20"/>
                <w:szCs w:val="20"/>
                <w:color w:val="auto"/>
              </w:rPr>
            </w:pPr>
            <w:r>
              <w:rPr>
                <w:rFonts w:ascii="Arial" w:cs="Arial" w:eastAsia="Arial" w:hAnsi="Arial"/>
                <w:sz w:val="14"/>
                <w:szCs w:val="14"/>
                <w:b w:val="1"/>
                <w:bCs w:val="1"/>
                <w:color w:val="auto"/>
              </w:rPr>
              <w:t>2014</w:t>
            </w:r>
          </w:p>
        </w:tc>
        <w:tc>
          <w:tcPr>
            <w:tcW w:w="1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right"/>
              <w:ind w:right="115"/>
              <w:spacing w:after="0" w:line="119" w:lineRule="exact"/>
              <w:rPr>
                <w:sz w:val="20"/>
                <w:szCs w:val="20"/>
                <w:color w:val="auto"/>
              </w:rPr>
            </w:pPr>
            <w:r>
              <w:rPr>
                <w:rFonts w:ascii="Arial" w:cs="Arial" w:eastAsia="Arial" w:hAnsi="Arial"/>
                <w:sz w:val="13"/>
                <w:szCs w:val="13"/>
                <w:b w:val="1"/>
                <w:bCs w:val="1"/>
                <w:color w:val="auto"/>
              </w:rPr>
              <w:t>Increase</w:t>
            </w:r>
          </w:p>
        </w:tc>
        <w:tc>
          <w:tcPr>
            <w:tcW w:w="220" w:type="dxa"/>
            <w:vAlign w:val="bottom"/>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234"/>
              <w:spacing w:after="0"/>
              <w:rPr>
                <w:sz w:val="20"/>
                <w:szCs w:val="20"/>
                <w:color w:val="auto"/>
              </w:rPr>
            </w:pPr>
            <w:r>
              <w:rPr>
                <w:rFonts w:ascii="Arial" w:cs="Arial" w:eastAsia="Arial" w:hAnsi="Arial"/>
                <w:sz w:val="14"/>
                <w:szCs w:val="14"/>
                <w:b w:val="1"/>
                <w:bCs w:val="1"/>
                <w:color w:val="auto"/>
              </w:rPr>
              <w:t>2015</w:t>
            </w:r>
          </w:p>
        </w:tc>
        <w:tc>
          <w:tcPr>
            <w:tcW w:w="20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vMerge w:val="restart"/>
          </w:tcPr>
          <w:p>
            <w:pPr>
              <w:jc w:val="right"/>
              <w:ind w:right="232"/>
              <w:spacing w:after="0"/>
              <w:rPr>
                <w:sz w:val="20"/>
                <w:szCs w:val="20"/>
                <w:color w:val="auto"/>
              </w:rPr>
            </w:pPr>
            <w:r>
              <w:rPr>
                <w:rFonts w:ascii="Arial" w:cs="Arial" w:eastAsia="Arial" w:hAnsi="Arial"/>
                <w:sz w:val="14"/>
                <w:szCs w:val="14"/>
                <w:b w:val="1"/>
                <w:bCs w:val="1"/>
                <w:color w:val="auto"/>
              </w:rPr>
              <w:t>2014</w:t>
            </w:r>
          </w:p>
        </w:tc>
        <w:tc>
          <w:tcPr>
            <w:tcW w:w="2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jc w:val="right"/>
              <w:ind w:right="134"/>
              <w:spacing w:after="0" w:line="119" w:lineRule="exact"/>
              <w:rPr>
                <w:sz w:val="20"/>
                <w:szCs w:val="20"/>
                <w:color w:val="auto"/>
              </w:rPr>
            </w:pPr>
            <w:r>
              <w:rPr>
                <w:rFonts w:ascii="Arial" w:cs="Arial" w:eastAsia="Arial" w:hAnsi="Arial"/>
                <w:sz w:val="13"/>
                <w:szCs w:val="13"/>
                <w:b w:val="1"/>
                <w:bCs w:val="1"/>
                <w:color w:val="auto"/>
              </w:rPr>
              <w:t>Increase</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1"/>
              </w:rPr>
              <w:t>(decrease)</w:t>
            </w:r>
          </w:p>
        </w:tc>
        <w:tc>
          <w:tcPr>
            <w:tcW w:w="26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88"/>
              </w:rPr>
              <w:t>(decrease)</w:t>
            </w:r>
          </w:p>
        </w:tc>
        <w:tc>
          <w:tcPr>
            <w:tcW w:w="0" w:type="dxa"/>
            <w:vAlign w:val="bottom"/>
          </w:tcPr>
          <w:p>
            <w:pPr>
              <w:spacing w:after="0"/>
              <w:rPr>
                <w:sz w:val="1"/>
                <w:szCs w:val="1"/>
                <w:color w:val="auto"/>
              </w:rPr>
            </w:pPr>
          </w:p>
        </w:tc>
      </w:tr>
      <w:tr>
        <w:trPr>
          <w:trHeight w:val="142"/>
        </w:trPr>
        <w:tc>
          <w:tcPr>
            <w:tcW w:w="470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28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6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Total operating revenues</w:t>
            </w:r>
          </w:p>
        </w:tc>
        <w:tc>
          <w:tcPr>
            <w:tcW w:w="200" w:type="dxa"/>
            <w:vAlign w:val="bottom"/>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(69.0)</w:t>
            </w:r>
          </w:p>
        </w:tc>
        <w:tc>
          <w:tcPr>
            <w:tcW w:w="28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(61.1)</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80"/>
              <w:spacing w:after="0"/>
              <w:rPr>
                <w:sz w:val="20"/>
                <w:szCs w:val="20"/>
                <w:color w:val="auto"/>
              </w:rPr>
            </w:pPr>
            <w:r>
              <w:rPr>
                <w:rFonts w:ascii="Arial" w:cs="Arial" w:eastAsia="Arial" w:hAnsi="Arial"/>
                <w:sz w:val="18"/>
                <w:szCs w:val="18"/>
                <w:color w:val="auto"/>
              </w:rPr>
              <w:t>(7.9)</w:t>
            </w:r>
          </w:p>
        </w:tc>
        <w:tc>
          <w:tcPr>
            <w:tcW w:w="260" w:type="dxa"/>
            <w:vAlign w:val="bottom"/>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(191.3)</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(163.3)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(28.0)</w:t>
            </w: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Total expenses</w:t>
            </w:r>
          </w:p>
        </w:tc>
        <w:tc>
          <w:tcPr>
            <w:tcW w:w="2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(13.6)</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(16.7)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3.1</w:t>
            </w:r>
          </w:p>
        </w:tc>
        <w:tc>
          <w:tcPr>
            <w:tcW w:w="26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(56.8)</w:t>
            </w:r>
          </w:p>
        </w:tc>
        <w:tc>
          <w:tcPr>
            <w:tcW w:w="20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(48.4)</w:t>
            </w:r>
          </w:p>
        </w:tc>
        <w:tc>
          <w:tcPr>
            <w:tcW w:w="10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0"/>
        </w:trPr>
        <w:tc>
          <w:tcPr>
            <w:tcW w:w="4700" w:type="dxa"/>
            <w:vAlign w:val="bottom"/>
            <w:vMerge w:val="restart"/>
            <w:shd w:val="clear" w:color="auto" w:fill="CCEEFF"/>
          </w:tcPr>
          <w:p>
            <w:pPr>
              <w:spacing w:after="0" w:line="201" w:lineRule="exact"/>
              <w:rPr>
                <w:sz w:val="20"/>
                <w:szCs w:val="20"/>
                <w:color w:val="auto"/>
              </w:rPr>
            </w:pPr>
            <w:r>
              <w:rPr>
                <w:rFonts w:ascii="Arial" w:cs="Arial" w:eastAsia="Arial" w:hAnsi="Arial"/>
                <w:sz w:val="18"/>
                <w:szCs w:val="18"/>
                <w:color w:val="auto"/>
              </w:rPr>
              <w:t>Operating loss before income taxes, preferred stock</w:t>
            </w: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tcBorders>
              <w:right w:val="single" w:sz="8" w:color="CCEEFF"/>
            </w:tcBorders>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4700" w:type="dxa"/>
            <w:vAlign w:val="bottom"/>
            <w:vMerge w:val="continue"/>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8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(55.4)</w:t>
            </w: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8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(134.5)</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220" w:type="dxa"/>
            <w:vAlign w:val="bottom"/>
            <w:tcBorders>
              <w:right w:val="single" w:sz="8" w:color="CCEEFF"/>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2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dividends and noncontrolling interest</w:t>
            </w:r>
          </w:p>
        </w:tc>
        <w:tc>
          <w:tcPr>
            <w:tcW w:w="20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(44.4)</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(11.0)</w:t>
            </w:r>
          </w:p>
        </w:tc>
        <w:tc>
          <w:tcPr>
            <w:tcW w:w="26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(114.9)</w:t>
            </w:r>
          </w:p>
        </w:tc>
        <w:tc>
          <w:tcPr>
            <w:tcW w:w="1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0" w:type="dxa"/>
            <w:vAlign w:val="bottom"/>
          </w:tcPr>
          <w:p>
            <w:pPr>
              <w:spacing w:after="0"/>
              <w:rPr>
                <w:sz w:val="1"/>
                <w:szCs w:val="1"/>
                <w:color w:val="auto"/>
              </w:rPr>
            </w:pPr>
          </w:p>
        </w:tc>
      </w:tr>
      <w:tr>
        <w:trPr>
          <w:trHeight w:val="216"/>
        </w:trPr>
        <w:tc>
          <w:tcPr>
            <w:tcW w:w="4700" w:type="dxa"/>
            <w:vAlign w:val="bottom"/>
          </w:tcPr>
          <w:p>
            <w:pPr>
              <w:spacing w:after="0"/>
              <w:rPr>
                <w:sz w:val="20"/>
                <w:szCs w:val="20"/>
                <w:color w:val="auto"/>
              </w:rPr>
            </w:pPr>
            <w:r>
              <w:rPr>
                <w:rFonts w:ascii="Arial" w:cs="Arial" w:eastAsia="Arial" w:hAnsi="Arial"/>
                <w:sz w:val="18"/>
                <w:szCs w:val="18"/>
                <w:color w:val="auto"/>
              </w:rPr>
              <w:t>Income tax benefits</w:t>
            </w:r>
          </w:p>
        </w:tc>
        <w:tc>
          <w:tcPr>
            <w:tcW w:w="2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(18.3)</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(20.1)</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1.8</w:t>
            </w:r>
          </w:p>
        </w:tc>
        <w:tc>
          <w:tcPr>
            <w:tcW w:w="26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(56.6)</w:t>
            </w:r>
          </w:p>
        </w:tc>
        <w:tc>
          <w:tcPr>
            <w:tcW w:w="20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(58.1)</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7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Operating earnings (loss) attributable to noncontrolling</w:t>
            </w:r>
          </w:p>
        </w:tc>
        <w:tc>
          <w:tcPr>
            <w:tcW w:w="20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(0.1)</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7.0</w:t>
            </w: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2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interest</w:t>
            </w:r>
          </w:p>
        </w:tc>
        <w:tc>
          <w:tcPr>
            <w:tcW w:w="20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0.5</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(0.6)</w:t>
            </w:r>
          </w:p>
        </w:tc>
        <w:tc>
          <w:tcPr>
            <w:tcW w:w="26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4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17.9</w:t>
            </w:r>
          </w:p>
        </w:tc>
        <w:tc>
          <w:tcPr>
            <w:tcW w:w="1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16"/>
        </w:trPr>
        <w:tc>
          <w:tcPr>
            <w:tcW w:w="4700" w:type="dxa"/>
            <w:vAlign w:val="bottom"/>
          </w:tcPr>
          <w:p>
            <w:pPr>
              <w:spacing w:after="0"/>
              <w:rPr>
                <w:sz w:val="20"/>
                <w:szCs w:val="20"/>
                <w:color w:val="auto"/>
              </w:rPr>
            </w:pPr>
            <w:r>
              <w:rPr>
                <w:rFonts w:ascii="Arial" w:cs="Arial" w:eastAsia="Arial" w:hAnsi="Arial"/>
                <w:sz w:val="18"/>
                <w:szCs w:val="18"/>
                <w:color w:val="auto"/>
              </w:rPr>
              <w:t>Preferred stock dividends</w:t>
            </w:r>
          </w:p>
        </w:tc>
        <w:tc>
          <w:tcPr>
            <w:tcW w:w="2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8.2</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8"/>
                <w:szCs w:val="18"/>
                <w:color w:val="auto"/>
              </w:rPr>
              <w:t>(8.2)</w:t>
            </w:r>
          </w:p>
        </w:tc>
        <w:tc>
          <w:tcPr>
            <w:tcW w:w="26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16.5</w:t>
            </w:r>
          </w:p>
        </w:tc>
        <w:tc>
          <w:tcPr>
            <w:tcW w:w="2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24.7</w:t>
            </w:r>
          </w:p>
        </w:tc>
        <w:tc>
          <w:tcPr>
            <w:tcW w:w="10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02"/>
        </w:trPr>
        <w:tc>
          <w:tcPr>
            <w:tcW w:w="47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8"/>
              </w:rPr>
              <w:t>Excess of redemption value over carrying value of preferred</w:t>
            </w:r>
          </w:p>
        </w:tc>
        <w:tc>
          <w:tcPr>
            <w:tcW w:w="200" w:type="dxa"/>
            <w:vAlign w:val="bottom"/>
            <w:shd w:val="clear" w:color="auto" w:fill="CCEEFF"/>
          </w:tcPr>
          <w:p>
            <w:pPr>
              <w:spacing w:after="0"/>
              <w:rPr>
                <w:sz w:val="17"/>
                <w:szCs w:val="17"/>
                <w:color w:val="auto"/>
              </w:rPr>
            </w:pPr>
          </w:p>
        </w:tc>
        <w:tc>
          <w:tcPr>
            <w:tcW w:w="88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6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8.2</w:t>
            </w: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2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shares redeemed</w:t>
            </w:r>
          </w:p>
        </w:tc>
        <w:tc>
          <w:tcPr>
            <w:tcW w:w="200" w:type="dxa"/>
            <w:vAlign w:val="bottom"/>
            <w:shd w:val="clear" w:color="auto" w:fill="CCEEFF"/>
          </w:tcPr>
          <w:p>
            <w:pPr>
              <w:spacing w:after="0"/>
              <w:rPr>
                <w:sz w:val="20"/>
                <w:szCs w:val="20"/>
                <w:color w:val="auto"/>
              </w:rPr>
            </w:pPr>
          </w:p>
        </w:tc>
        <w:tc>
          <w:tcPr>
            <w:tcW w:w="88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20"/>
                <w:szCs w:val="20"/>
                <w:color w:val="auto"/>
              </w:rPr>
            </w:pPr>
          </w:p>
        </w:tc>
        <w:tc>
          <w:tcPr>
            <w:tcW w:w="86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4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4700" w:type="dxa"/>
            <w:vAlign w:val="bottom"/>
          </w:tcPr>
          <w:p>
            <w:pPr>
              <w:spacing w:after="0"/>
              <w:rPr>
                <w:sz w:val="20"/>
                <w:szCs w:val="20"/>
                <w:color w:val="auto"/>
              </w:rPr>
            </w:pPr>
            <w:r>
              <w:rPr>
                <w:rFonts w:ascii="Arial" w:cs="Arial" w:eastAsia="Arial" w:hAnsi="Arial"/>
                <w:sz w:val="18"/>
                <w:szCs w:val="18"/>
                <w:color w:val="auto"/>
              </w:rPr>
              <w:t>Operating loss</w:t>
            </w:r>
          </w:p>
        </w:tc>
        <w:tc>
          <w:tcPr>
            <w:tcW w:w="200" w:type="dxa"/>
            <w:vAlign w:val="bottom"/>
            <w:tcBorders>
              <w:top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(37.0</w:t>
            </w:r>
          </w:p>
        </w:tc>
        <w:tc>
          <w:tcPr>
            <w:tcW w:w="160" w:type="dxa"/>
            <w:vAlign w:val="bottom"/>
          </w:tcPr>
          <w:p>
            <w:pPr>
              <w:jc w:val="right"/>
              <w:ind w:right="20"/>
              <w:spacing w:after="0"/>
              <w:rPr>
                <w:sz w:val="20"/>
                <w:szCs w:val="20"/>
                <w:color w:val="auto"/>
              </w:rPr>
            </w:pPr>
            <w:r>
              <w:rPr>
                <w:rFonts w:ascii="Arial" w:cs="Arial" w:eastAsia="Arial" w:hAnsi="Arial"/>
                <w:sz w:val="16"/>
                <w:szCs w:val="16"/>
                <w:b w:val="1"/>
                <w:bCs w:val="1"/>
                <w:color w:val="auto"/>
                <w:w w:val="74"/>
              </w:rPr>
              <w:t>)</w:t>
            </w:r>
          </w:p>
        </w:tc>
        <w:tc>
          <w:tcPr>
            <w:tcW w:w="80" w:type="dxa"/>
            <w:vAlign w:val="bottom"/>
          </w:tcPr>
          <w:p>
            <w:pPr>
              <w:spacing w:after="0"/>
              <w:rPr>
                <w:sz w:val="19"/>
                <w:szCs w:val="19"/>
                <w:color w:val="auto"/>
              </w:rPr>
            </w:pPr>
          </w:p>
        </w:tc>
        <w:tc>
          <w:tcPr>
            <w:tcW w:w="200" w:type="dxa"/>
            <w:vAlign w:val="bottom"/>
            <w:tcBorders>
              <w:top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(33.0</w:t>
            </w:r>
          </w:p>
        </w:tc>
        <w:tc>
          <w:tcPr>
            <w:tcW w:w="160" w:type="dxa"/>
            <w:vAlign w:val="bottom"/>
          </w:tcPr>
          <w:p>
            <w:pPr>
              <w:jc w:val="right"/>
              <w:ind w:right="20"/>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w:t>
            </w:r>
          </w:p>
        </w:tc>
        <w:tc>
          <w:tcPr>
            <w:tcW w:w="220" w:type="dxa"/>
            <w:vAlign w:val="bottom"/>
          </w:tcPr>
          <w:p>
            <w:pPr>
              <w:jc w:val="right"/>
              <w:ind w:right="80"/>
              <w:spacing w:after="0"/>
              <w:rPr>
                <w:sz w:val="20"/>
                <w:szCs w:val="20"/>
                <w:color w:val="auto"/>
              </w:rPr>
            </w:pPr>
            <w:r>
              <w:rPr>
                <w:rFonts w:ascii="Arial" w:cs="Arial" w:eastAsia="Arial" w:hAnsi="Arial"/>
                <w:sz w:val="16"/>
                <w:szCs w:val="16"/>
                <w:color w:val="auto"/>
                <w:w w:val="74"/>
              </w:rPr>
              <w:t>)</w:t>
            </w: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(109.6</w:t>
            </w:r>
          </w:p>
        </w:tc>
        <w:tc>
          <w:tcPr>
            <w:tcW w:w="200" w:type="dxa"/>
            <w:vAlign w:val="bottom"/>
          </w:tcPr>
          <w:p>
            <w:pPr>
              <w:jc w:val="right"/>
              <w:ind w:right="60"/>
              <w:spacing w:after="0"/>
              <w:rPr>
                <w:sz w:val="20"/>
                <w:szCs w:val="20"/>
                <w:color w:val="auto"/>
              </w:rPr>
            </w:pPr>
            <w:r>
              <w:rPr>
                <w:rFonts w:ascii="Arial" w:cs="Arial" w:eastAsia="Arial" w:hAnsi="Arial"/>
                <w:sz w:val="16"/>
                <w:szCs w:val="16"/>
                <w:b w:val="1"/>
                <w:bCs w:val="1"/>
                <w:color w:val="auto"/>
                <w:w w:val="74"/>
              </w:rPr>
              <w:t>)</w:t>
            </w: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(99.4</w:t>
            </w:r>
          </w:p>
        </w:tc>
        <w:tc>
          <w:tcPr>
            <w:tcW w:w="220" w:type="dxa"/>
            <w:vAlign w:val="bottom"/>
          </w:tcPr>
          <w:p>
            <w:pPr>
              <w:jc w:val="right"/>
              <w:ind w:right="80"/>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(10.2</w:t>
            </w:r>
          </w:p>
        </w:tc>
        <w:tc>
          <w:tcPr>
            <w:tcW w:w="80" w:type="dxa"/>
            <w:vAlign w:val="bottom"/>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2015 Compared to Three Months Ended September 30, 2014</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Loss</w:t>
      </w:r>
    </w:p>
    <w:p>
      <w:pPr>
        <w:spacing w:after="0" w:line="229" w:lineRule="exact"/>
        <w:rPr>
          <w:sz w:val="20"/>
          <w:szCs w:val="20"/>
          <w:color w:val="auto"/>
        </w:rPr>
      </w:pPr>
    </w:p>
    <w:p>
      <w:pPr>
        <w:ind w:right="240" w:firstLine="630"/>
        <w:spacing w:after="0" w:line="277" w:lineRule="auto"/>
        <w:rPr>
          <w:sz w:val="20"/>
          <w:szCs w:val="20"/>
          <w:color w:val="auto"/>
        </w:rPr>
      </w:pPr>
      <w:r>
        <w:rPr>
          <w:rFonts w:ascii="Arial" w:cs="Arial" w:eastAsia="Arial" w:hAnsi="Arial"/>
          <w:sz w:val="18"/>
          <w:szCs w:val="18"/>
          <w:color w:val="auto"/>
        </w:rPr>
        <w:t>The operating loss increased primarily due to the one-time costs associated with the acquisition of AXA’s MPF and ORSO pension business in the third quarter of 2015.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2015 Compared to Nine Months Ended September 30, 2014</w:t>
      </w:r>
    </w:p>
    <w:p>
      <w:pPr>
        <w:spacing w:after="0" w:line="22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Operating Loss</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6"/>
          <w:szCs w:val="16"/>
          <w:color w:val="auto"/>
        </w:rPr>
        <w:t>The operating loss increased primarily due to the write-off of prior issuance costs associated with redemption of preferred stock in the second quarter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of 2015.</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Liquidity and capital resources represent the overall strength of a company and its ability to generate strong cash flows, borrow funds at a competitive rate and raise new capital to meet operating and growth needs. Our legal entity structure has an impact on our ability to meet cash flow needs as an organization. Following is a simplified organizational 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1291590</wp:posOffset>
            </wp:positionH>
            <wp:positionV relativeFrom="paragraph">
              <wp:posOffset>124460</wp:posOffset>
            </wp:positionV>
            <wp:extent cx="4673600" cy="158623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4673600" cy="15862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w:t>
      </w:r>
    </w:p>
    <w:p>
      <w:pPr>
        <w:spacing w:after="0" w:line="225" w:lineRule="exact"/>
        <w:rPr>
          <w:sz w:val="20"/>
          <w:szCs w:val="20"/>
          <w:color w:val="auto"/>
        </w:rPr>
      </w:pPr>
    </w:p>
    <w:p>
      <w:pPr>
        <w:jc w:val="both"/>
        <w:ind w:right="40" w:firstLine="630"/>
        <w:spacing w:after="0" w:line="264" w:lineRule="auto"/>
        <w:rPr>
          <w:sz w:val="20"/>
          <w:szCs w:val="20"/>
          <w:color w:val="auto"/>
        </w:rPr>
      </w:pPr>
      <w:r>
        <w:rPr>
          <w:rFonts w:ascii="Arial" w:cs="Arial" w:eastAsia="Arial" w:hAnsi="Arial"/>
          <w:sz w:val="18"/>
          <w:szCs w:val="18"/>
          <w:color w:val="auto"/>
        </w:rPr>
        <w:t>Our liquidity requirements have been and will continue to be met by funds from consolidated operations as well as the issuance of commercial paper, common stock, debt or other capital securities and borrowings from credit facilities. We believe that cash flows from these sources are sufficient to satisfy the current liquidity requirements of our operations, including reasonably foreseeable contingencies.</w:t>
      </w:r>
    </w:p>
    <w:p>
      <w:pPr>
        <w:spacing w:after="0" w:line="181" w:lineRule="exact"/>
        <w:rPr>
          <w:sz w:val="20"/>
          <w:szCs w:val="20"/>
          <w:color w:val="auto"/>
        </w:rPr>
      </w:pPr>
    </w:p>
    <w:p>
      <w:pPr>
        <w:jc w:val="both"/>
        <w:ind w:right="120" w:firstLine="630"/>
        <w:spacing w:after="0" w:line="312" w:lineRule="auto"/>
        <w:rPr>
          <w:sz w:val="20"/>
          <w:szCs w:val="20"/>
          <w:color w:val="auto"/>
        </w:rPr>
      </w:pPr>
      <w:r>
        <w:rPr>
          <w:rFonts w:ascii="Arial" w:cs="Arial" w:eastAsia="Arial" w:hAnsi="Arial"/>
          <w:sz w:val="16"/>
          <w:szCs w:val="16"/>
          <w:color w:val="auto"/>
        </w:rPr>
        <w:t>We maintain a level of cash and securities which, combined with expected cash inflows from investments and operations, is believed to be adequate to meet anticipated short-term and long-term payment obligations. We will continue our prudent capital management practice of regularly exploring options available to us to maximize capital flexibility, including accessing the capital markets and careful attention to and management of expenses.</w:t>
      </w:r>
    </w:p>
    <w:p>
      <w:pPr>
        <w:spacing w:after="0" w:line="147" w:lineRule="exact"/>
        <w:rPr>
          <w:sz w:val="20"/>
          <w:szCs w:val="20"/>
          <w:color w:val="auto"/>
        </w:rPr>
      </w:pPr>
    </w:p>
    <w:p>
      <w:pPr>
        <w:ind w:right="120" w:firstLine="630"/>
        <w:spacing w:after="0" w:line="264" w:lineRule="auto"/>
        <w:rPr>
          <w:sz w:val="20"/>
          <w:szCs w:val="20"/>
          <w:color w:val="auto"/>
        </w:rPr>
      </w:pPr>
      <w:r>
        <w:rPr>
          <w:rFonts w:ascii="Arial" w:cs="Arial" w:eastAsia="Arial" w:hAnsi="Arial"/>
          <w:sz w:val="18"/>
          <w:szCs w:val="18"/>
          <w:color w:val="auto"/>
        </w:rPr>
        <w:t>We perform rigorous liquidity stress testing to ensure our asset portfolio includes sufficient high quality liquid assets that could be utilized to bolster our liquidity position under increasingly stressed market conditions. These assets could be utilized as collateral for secured borrowing transactions with various third parties or by selling the securities in the open market if needed.</w:t>
      </w:r>
    </w:p>
    <w:p>
      <w:pPr>
        <w:spacing w:after="0" w:line="181" w:lineRule="exact"/>
        <w:rPr>
          <w:sz w:val="20"/>
          <w:szCs w:val="20"/>
          <w:color w:val="auto"/>
        </w:rPr>
      </w:pPr>
    </w:p>
    <w:p>
      <w:pPr>
        <w:ind w:right="80" w:firstLine="630"/>
        <w:spacing w:after="0" w:line="342" w:lineRule="auto"/>
        <w:rPr>
          <w:sz w:val="20"/>
          <w:szCs w:val="20"/>
          <w:color w:val="auto"/>
        </w:rPr>
      </w:pPr>
      <w:r>
        <w:rPr>
          <w:rFonts w:ascii="Arial" w:cs="Arial" w:eastAsia="Arial" w:hAnsi="Arial"/>
          <w:sz w:val="16"/>
          <w:szCs w:val="16"/>
          <w:color w:val="auto"/>
        </w:rPr>
        <w:t>We also manage liquidity risk by limiting the sales of liabilities with features such as puts or other options that can be exercised against the company at inopportune times. For example, as of September 30, 2015, approximately $7.9 billion, or 99%, of our institutional guaranteed investment contracts and</w:t>
      </w:r>
    </w:p>
    <w:p>
      <w:pPr>
        <w:sectPr>
          <w:pgSz w:w="11900" w:h="16854" w:orient="portrait"/>
          <w:cols w:equalWidth="0" w:num="1">
            <w:col w:w="11420"/>
          </w:cols>
          <w:pgMar w:left="240" w:top="341" w:right="239" w:bottom="0" w:gutter="0" w:footer="0" w:header="0"/>
        </w:sectPr>
      </w:pPr>
    </w:p>
    <w:bookmarkStart w:id="75" w:name="page76"/>
    <w:bookmarkEnd w:id="75"/>
    <w:p>
      <w:pPr>
        <w:ind w:right="520"/>
        <w:spacing w:after="0" w:line="277" w:lineRule="auto"/>
        <w:rPr>
          <w:sz w:val="20"/>
          <w:szCs w:val="20"/>
          <w:color w:val="auto"/>
        </w:rPr>
      </w:pPr>
      <w:r>
        <w:rPr>
          <w:rFonts w:ascii="Arial" w:cs="Arial" w:eastAsia="Arial" w:hAnsi="Arial"/>
          <w:sz w:val="18"/>
          <w:szCs w:val="18"/>
          <w:color w:val="auto"/>
        </w:rPr>
        <w:t>funding agreements cannot be redeemed by contractholders prior to maturity. Our individual annuity liabilities also contain surrender charges and other provisions limiting early surrenders.</w:t>
      </w:r>
    </w:p>
    <w:p>
      <w:pPr>
        <w:spacing w:after="0" w:line="170" w:lineRule="exact"/>
        <w:rPr>
          <w:sz w:val="20"/>
          <w:szCs w:val="20"/>
          <w:color w:val="auto"/>
        </w:rPr>
      </w:pPr>
    </w:p>
    <w:p>
      <w:pPr>
        <w:ind w:right="880" w:firstLine="630"/>
        <w:spacing w:after="0" w:line="277" w:lineRule="auto"/>
        <w:rPr>
          <w:sz w:val="20"/>
          <w:szCs w:val="20"/>
          <w:color w:val="auto"/>
        </w:rPr>
      </w:pPr>
      <w:r>
        <w:rPr>
          <w:rFonts w:ascii="Arial" w:cs="Arial" w:eastAsia="Arial" w:hAnsi="Arial"/>
          <w:sz w:val="18"/>
          <w:szCs w:val="18"/>
          <w:color w:val="auto"/>
        </w:rPr>
        <w:t>The following table summarizes the withdrawal characteristics of our domestic general account investment-type insurance contracts as of September 30, 2015.</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40" w:type="dxa"/>
            <w:vAlign w:val="bottom"/>
            <w:gridSpan w:val="2"/>
          </w:tcPr>
          <w:p>
            <w:pPr>
              <w:ind w:left="40"/>
              <w:spacing w:after="0"/>
              <w:rPr>
                <w:sz w:val="20"/>
                <w:szCs w:val="20"/>
                <w:color w:val="auto"/>
              </w:rPr>
            </w:pPr>
            <w:r>
              <w:rPr>
                <w:rFonts w:ascii="Arial" w:cs="Arial" w:eastAsia="Arial" w:hAnsi="Arial"/>
                <w:sz w:val="14"/>
                <w:szCs w:val="14"/>
                <w:b w:val="1"/>
                <w:bCs w:val="1"/>
                <w:color w:val="auto"/>
              </w:rPr>
              <w:t>Contractholder funds</w:t>
            </w:r>
          </w:p>
        </w:tc>
        <w:tc>
          <w:tcPr>
            <w:tcW w:w="1560" w:type="dxa"/>
            <w:vAlign w:val="bottom"/>
            <w:gridSpan w:val="3"/>
          </w:tcPr>
          <w:p>
            <w:pPr>
              <w:jc w:val="right"/>
              <w:ind w:right="540"/>
              <w:spacing w:after="0"/>
              <w:rPr>
                <w:sz w:val="20"/>
                <w:szCs w:val="20"/>
                <w:color w:val="auto"/>
              </w:rPr>
            </w:pPr>
            <w:r>
              <w:rPr>
                <w:rFonts w:ascii="Arial" w:cs="Arial" w:eastAsia="Arial" w:hAnsi="Arial"/>
                <w:sz w:val="14"/>
                <w:szCs w:val="14"/>
                <w:b w:val="1"/>
                <w:bCs w:val="1"/>
                <w:color w:val="auto"/>
              </w:rPr>
              <w:t>Percentage</w:t>
            </w:r>
          </w:p>
        </w:tc>
      </w:tr>
      <w:tr>
        <w:trPr>
          <w:trHeight w:val="142"/>
        </w:trPr>
        <w:tc>
          <w:tcPr>
            <w:tcW w:w="78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560" w:type="dxa"/>
            <w:vAlign w:val="bottom"/>
            <w:tcBorders>
              <w:top w:val="single" w:sz="8" w:color="auto"/>
            </w:tcBorders>
          </w:tcPr>
          <w:p>
            <w:pPr>
              <w:jc w:val="right"/>
              <w:ind w:right="395"/>
              <w:spacing w:after="0" w:line="142" w:lineRule="exact"/>
              <w:rPr>
                <w:sz w:val="20"/>
                <w:szCs w:val="20"/>
                <w:color w:val="auto"/>
              </w:rPr>
            </w:pPr>
            <w:r>
              <w:rPr>
                <w:rFonts w:ascii="Arial" w:cs="Arial" w:eastAsia="Arial" w:hAnsi="Arial"/>
                <w:sz w:val="14"/>
                <w:szCs w:val="14"/>
                <w:b w:val="1"/>
                <w:bCs w:val="1"/>
                <w:color w:val="auto"/>
              </w:rPr>
              <w:t>(in millions)</w:t>
            </w:r>
          </w:p>
        </w:tc>
        <w:tc>
          <w:tcPr>
            <w:tcW w:w="280" w:type="dxa"/>
            <w:vAlign w:val="bottom"/>
          </w:tcPr>
          <w:p>
            <w:pPr>
              <w:spacing w:after="0"/>
              <w:rPr>
                <w:sz w:val="12"/>
                <w:szCs w:val="12"/>
                <w:color w:val="auto"/>
              </w:rPr>
            </w:pPr>
          </w:p>
        </w:tc>
        <w:tc>
          <w:tcPr>
            <w:tcW w:w="138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16"/>
        </w:trPr>
        <w:tc>
          <w:tcPr>
            <w:tcW w:w="7880" w:type="dxa"/>
            <w:vAlign w:val="bottom"/>
            <w:shd w:val="clear" w:color="auto" w:fill="CCEEFF"/>
          </w:tcPr>
          <w:p>
            <w:pPr>
              <w:spacing w:after="0"/>
              <w:rPr>
                <w:sz w:val="20"/>
                <w:szCs w:val="20"/>
                <w:color w:val="auto"/>
              </w:rPr>
            </w:pPr>
            <w:r>
              <w:rPr>
                <w:rFonts w:ascii="Arial" w:cs="Arial" w:eastAsia="Arial" w:hAnsi="Arial"/>
                <w:sz w:val="18"/>
                <w:szCs w:val="18"/>
                <w:color w:val="auto"/>
              </w:rPr>
              <w:t>Not subject to discretionary withdrawal</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8,916.5</w:t>
            </w:r>
          </w:p>
        </w:tc>
        <w:tc>
          <w:tcPr>
            <w:tcW w:w="280" w:type="dxa"/>
            <w:vAlign w:val="bottom"/>
            <w:shd w:val="clear" w:color="auto" w:fill="CCEEFF"/>
          </w:tcPr>
          <w:p>
            <w:pPr>
              <w:spacing w:after="0"/>
              <w:rPr>
                <w:sz w:val="18"/>
                <w:szCs w:val="18"/>
                <w:color w:val="auto"/>
              </w:rPr>
            </w:pPr>
          </w:p>
        </w:tc>
        <w:tc>
          <w:tcPr>
            <w:tcW w:w="156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32.2%</w:t>
            </w:r>
          </w:p>
        </w:tc>
      </w:tr>
      <w:tr>
        <w:trPr>
          <w:trHeight w:val="216"/>
        </w:trPr>
        <w:tc>
          <w:tcPr>
            <w:tcW w:w="7880" w:type="dxa"/>
            <w:vAlign w:val="bottom"/>
          </w:tcPr>
          <w:p>
            <w:pPr>
              <w:spacing w:after="0"/>
              <w:rPr>
                <w:sz w:val="20"/>
                <w:szCs w:val="20"/>
                <w:color w:val="auto"/>
              </w:rPr>
            </w:pPr>
            <w:r>
              <w:rPr>
                <w:rFonts w:ascii="Arial" w:cs="Arial" w:eastAsia="Arial" w:hAnsi="Arial"/>
                <w:sz w:val="18"/>
                <w:szCs w:val="18"/>
                <w:color w:val="auto"/>
              </w:rPr>
              <w:t>Subject to discretionary withdrawal with adjustments:</w:t>
            </w:r>
          </w:p>
        </w:tc>
        <w:tc>
          <w:tcPr>
            <w:tcW w:w="1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8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Specified surrender charges</w:t>
            </w:r>
          </w:p>
        </w:tc>
        <w:tc>
          <w:tcPr>
            <w:tcW w:w="14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6,336.0</w:t>
            </w:r>
          </w:p>
        </w:tc>
        <w:tc>
          <w:tcPr>
            <w:tcW w:w="28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22.9</w:t>
            </w:r>
          </w:p>
        </w:tc>
        <w:tc>
          <w:tcPr>
            <w:tcW w:w="160" w:type="dxa"/>
            <w:vAlign w:val="bottom"/>
            <w:shd w:val="clear" w:color="auto" w:fill="CCEEFF"/>
          </w:tcPr>
          <w:p>
            <w:pPr>
              <w:spacing w:after="0"/>
              <w:rPr>
                <w:sz w:val="18"/>
                <w:szCs w:val="18"/>
                <w:color w:val="auto"/>
              </w:rPr>
            </w:pPr>
          </w:p>
        </w:tc>
      </w:tr>
      <w:tr>
        <w:trPr>
          <w:trHeight w:val="216"/>
        </w:trPr>
        <w:tc>
          <w:tcPr>
            <w:tcW w:w="7880" w:type="dxa"/>
            <w:vAlign w:val="bottom"/>
          </w:tcPr>
          <w:p>
            <w:pPr>
              <w:ind w:left="200"/>
              <w:spacing w:after="0"/>
              <w:rPr>
                <w:sz w:val="20"/>
                <w:szCs w:val="20"/>
                <w:color w:val="auto"/>
              </w:rPr>
            </w:pPr>
            <w:r>
              <w:rPr>
                <w:rFonts w:ascii="Arial" w:cs="Arial" w:eastAsia="Arial" w:hAnsi="Arial"/>
                <w:sz w:val="18"/>
                <w:szCs w:val="18"/>
                <w:color w:val="auto"/>
              </w:rPr>
              <w:t>Market value adjustments</w:t>
            </w:r>
          </w:p>
        </w:tc>
        <w:tc>
          <w:tcPr>
            <w:tcW w:w="14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8"/>
                <w:szCs w:val="18"/>
                <w:b w:val="1"/>
                <w:bCs w:val="1"/>
                <w:color w:val="auto"/>
              </w:rPr>
              <w:t>5,346.0</w:t>
            </w:r>
          </w:p>
        </w:tc>
        <w:tc>
          <w:tcPr>
            <w:tcW w:w="280" w:type="dxa"/>
            <w:vAlign w:val="bottom"/>
          </w:tcPr>
          <w:p>
            <w:pPr>
              <w:spacing w:after="0"/>
              <w:rPr>
                <w:sz w:val="18"/>
                <w:szCs w:val="18"/>
                <w:color w:val="auto"/>
              </w:rPr>
            </w:pPr>
          </w:p>
        </w:tc>
        <w:tc>
          <w:tcPr>
            <w:tcW w:w="1400" w:type="dxa"/>
            <w:vAlign w:val="bottom"/>
            <w:gridSpan w:val="2"/>
          </w:tcPr>
          <w:p>
            <w:pPr>
              <w:jc w:val="right"/>
              <w:spacing w:after="0"/>
              <w:rPr>
                <w:sz w:val="20"/>
                <w:szCs w:val="20"/>
                <w:color w:val="auto"/>
              </w:rPr>
            </w:pPr>
            <w:r>
              <w:rPr>
                <w:rFonts w:ascii="Arial" w:cs="Arial" w:eastAsia="Arial" w:hAnsi="Arial"/>
                <w:sz w:val="18"/>
                <w:szCs w:val="18"/>
                <w:b w:val="1"/>
                <w:bCs w:val="1"/>
                <w:color w:val="auto"/>
              </w:rPr>
              <w:t>19.3</w:t>
            </w:r>
          </w:p>
        </w:tc>
        <w:tc>
          <w:tcPr>
            <w:tcW w:w="160" w:type="dxa"/>
            <w:vAlign w:val="bottom"/>
          </w:tcPr>
          <w:p>
            <w:pPr>
              <w:spacing w:after="0"/>
              <w:rPr>
                <w:sz w:val="18"/>
                <w:szCs w:val="18"/>
                <w:color w:val="auto"/>
              </w:rPr>
            </w:pPr>
          </w:p>
        </w:tc>
      </w:tr>
      <w:tr>
        <w:trPr>
          <w:trHeight w:val="216"/>
        </w:trPr>
        <w:tc>
          <w:tcPr>
            <w:tcW w:w="7880" w:type="dxa"/>
            <w:vAlign w:val="bottom"/>
            <w:shd w:val="clear" w:color="auto" w:fill="CCEEFF"/>
          </w:tcPr>
          <w:p>
            <w:pPr>
              <w:spacing w:after="0"/>
              <w:rPr>
                <w:sz w:val="20"/>
                <w:szCs w:val="20"/>
                <w:color w:val="auto"/>
              </w:rPr>
            </w:pPr>
            <w:r>
              <w:rPr>
                <w:rFonts w:ascii="Arial" w:cs="Arial" w:eastAsia="Arial" w:hAnsi="Arial"/>
                <w:sz w:val="18"/>
                <w:szCs w:val="18"/>
                <w:color w:val="auto"/>
              </w:rPr>
              <w:t>Subject to discretionary withdrawal without adjustments</w:t>
            </w:r>
          </w:p>
        </w:tc>
        <w:tc>
          <w:tcPr>
            <w:tcW w:w="14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7,085.1</w:t>
            </w:r>
          </w:p>
        </w:tc>
        <w:tc>
          <w:tcPr>
            <w:tcW w:w="28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25.6</w:t>
            </w:r>
          </w:p>
        </w:tc>
        <w:tc>
          <w:tcPr>
            <w:tcW w:w="160" w:type="dxa"/>
            <w:vAlign w:val="bottom"/>
            <w:shd w:val="clear" w:color="auto" w:fill="CCEEFF"/>
          </w:tcPr>
          <w:p>
            <w:pPr>
              <w:spacing w:after="0"/>
              <w:rPr>
                <w:sz w:val="18"/>
                <w:szCs w:val="18"/>
                <w:color w:val="auto"/>
              </w:rPr>
            </w:pPr>
          </w:p>
        </w:tc>
      </w:tr>
      <w:tr>
        <w:trPr>
          <w:trHeight w:val="223"/>
        </w:trPr>
        <w:tc>
          <w:tcPr>
            <w:tcW w:w="7880" w:type="dxa"/>
            <w:vAlign w:val="bottom"/>
          </w:tcPr>
          <w:p>
            <w:pPr>
              <w:spacing w:after="0"/>
              <w:rPr>
                <w:sz w:val="20"/>
                <w:szCs w:val="20"/>
                <w:color w:val="auto"/>
              </w:rPr>
            </w:pPr>
            <w:r>
              <w:rPr>
                <w:rFonts w:ascii="Arial" w:cs="Arial" w:eastAsia="Arial" w:hAnsi="Arial"/>
                <w:sz w:val="18"/>
                <w:szCs w:val="18"/>
                <w:color w:val="auto"/>
              </w:rPr>
              <w:t>Total domestic investment-type insurance contracts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27,683.7</w:t>
            </w:r>
          </w:p>
        </w:tc>
        <w:tc>
          <w:tcPr>
            <w:tcW w:w="280" w:type="dxa"/>
            <w:vAlign w:val="bottom"/>
          </w:tcPr>
          <w:p>
            <w:pPr>
              <w:spacing w:after="0"/>
              <w:rPr>
                <w:sz w:val="19"/>
                <w:szCs w:val="19"/>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100.0</w:t>
            </w:r>
          </w:p>
        </w:tc>
        <w:tc>
          <w:tcPr>
            <w:tcW w:w="180" w:type="dxa"/>
            <w:vAlign w:val="bottom"/>
            <w:gridSpan w:val="2"/>
          </w:tcPr>
          <w:p>
            <w:pPr>
              <w:jc w:val="right"/>
              <w:spacing w:after="0"/>
              <w:rPr>
                <w:sz w:val="20"/>
                <w:szCs w:val="20"/>
                <w:color w:val="auto"/>
              </w:rPr>
            </w:pPr>
            <w:r>
              <w:rPr>
                <w:rFonts w:ascii="Arial" w:cs="Arial" w:eastAsia="Arial" w:hAnsi="Arial"/>
                <w:sz w:val="18"/>
                <w:szCs w:val="18"/>
                <w:b w:val="1"/>
                <w:bCs w:val="1"/>
                <w:color w:val="auto"/>
                <w:w w:val="99"/>
              </w:rPr>
              <w:t>%</w:t>
            </w:r>
          </w:p>
        </w:tc>
      </w:tr>
      <w:tr>
        <w:trPr>
          <w:trHeight w:val="20"/>
        </w:trPr>
        <w:tc>
          <w:tcPr>
            <w:tcW w:w="78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40" w:firstLine="630"/>
        <w:spacing w:after="0" w:line="259" w:lineRule="auto"/>
        <w:rPr>
          <w:sz w:val="20"/>
          <w:szCs w:val="20"/>
          <w:color w:val="auto"/>
        </w:rPr>
      </w:pPr>
      <w:r>
        <w:rPr>
          <w:rFonts w:ascii="Arial" w:cs="Arial" w:eastAsia="Arial" w:hAnsi="Arial"/>
          <w:sz w:val="18"/>
          <w:szCs w:val="18"/>
          <w:color w:val="auto"/>
        </w:rPr>
        <w:t>Universal life insurance and certain traditional life insurance policies are also subject to discretionary withdrawals by policyholders. However, life insurance policies tend to be less susceptible to withdrawal than our investment-type insurance contracts because policyholders may be subject to a new underwriting process in order to obtain a new life insurance policy. In addition, our life insurance liabilities include surrender charges to discourage early surrenders.</w:t>
      </w:r>
    </w:p>
    <w:p>
      <w:pPr>
        <w:spacing w:after="0" w:line="187" w:lineRule="exact"/>
        <w:rPr>
          <w:sz w:val="20"/>
          <w:szCs w:val="20"/>
          <w:color w:val="auto"/>
        </w:rPr>
      </w:pPr>
    </w:p>
    <w:p>
      <w:pPr>
        <w:ind w:right="100" w:firstLine="630"/>
        <w:spacing w:after="0" w:line="287" w:lineRule="auto"/>
        <w:rPr>
          <w:sz w:val="20"/>
          <w:szCs w:val="20"/>
          <w:color w:val="auto"/>
        </w:rPr>
      </w:pPr>
      <w:r>
        <w:rPr>
          <w:rFonts w:ascii="Arial" w:cs="Arial" w:eastAsia="Arial" w:hAnsi="Arial"/>
          <w:sz w:val="16"/>
          <w:szCs w:val="16"/>
          <w:color w:val="auto"/>
        </w:rPr>
        <w:t>As of September 30, 2015 and December 31, 2014, we had short-term credit facilities with various financial institutions in an aggregate amount of $1,005.0 million for both periods. As of September 30, 2015 and December 31, 2014, we had $221.6 million and $28.0 million, respectively, of outstanding borrowings, with no assets pledged as support as of September 30, 2015. During the first quarter of 2015, we extended or renewed $900.0 million of our revolving credit facilities. The facilities and their new maturity dates include a $400.0 million 5-year facility with PFG, PFS and Principal Life as co-borrowers that matures March 2020; a $300.0 million 364-day facility with Principal Life as borrower that matures March 2016; and a $200.0 million 3-year credit facility with PFG, PFS, Principal Life and Principal Financial Services V (UK) LTD as co-borrowers, maturing March 2020. The revolving credit facilities are committed and provide 100% back-stop support for our commercial paper program. The $300.0 million and the $400.0 million facilities are supported by sixteen banks and the $200.0 million facility is supported by fifteen banks, most of which have other relationships with us. In addition to the revolving credit facilities, Principal International Chile has the capacity to access up to $60.0 million in unsecured lines of credit offered by Chilean financial institutions and Principal Life has a $45.0 million unsecured line of credit. Due to the financial strength and the strong relationships we have with these providers, we are comfortable there is a very low risk the financial institutions would be unable or unwilling to fund these facilities.</w:t>
      </w:r>
    </w:p>
    <w:p>
      <w:pPr>
        <w:spacing w:after="0" w:line="173"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b w:val="1"/>
          <w:bCs w:val="1"/>
          <w:i w:val="1"/>
          <w:iCs w:val="1"/>
          <w:color w:val="auto"/>
        </w:rPr>
        <w:t xml:space="preserve">The Holding Companies: Principal Financial Group, Inc. and Principal Financial Services, Inc. </w:t>
      </w:r>
      <w:r>
        <w:rPr>
          <w:rFonts w:ascii="Arial" w:cs="Arial" w:eastAsia="Arial" w:hAnsi="Arial"/>
          <w:sz w:val="17"/>
          <w:szCs w:val="17"/>
          <w:color w:val="auto"/>
        </w:rPr>
        <w:t>The principal sources of funds available to our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parent holding company, PFG, to meet its obligations, including the payments of dividends on common stock, debt service and the repurchase of stock, are dividends from subsidiaries as well as its ability to borrow funds at competitive rates and raise capital to meet operating and growth needs. The declaration and payment of common stock dividends by us is subject to the discretion of our Board of Directors and will depend on our overall financial condition, results of operations, capital levels, cash requirements, future prospects, receipt of dividends from Principal Life (as</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described below), risk management considerations and other factors deemed relevant by the Board. There are no significant restrictions that limit the payment of dividends by PFG, except those generally applicable to corporations incorporated in Delaware. Dividends from Principal Life, our primary subsidiary, are limited by Iowa law.</w:t>
      </w:r>
    </w:p>
    <w:p>
      <w:pPr>
        <w:spacing w:after="0" w:line="181" w:lineRule="exact"/>
        <w:rPr>
          <w:sz w:val="20"/>
          <w:szCs w:val="20"/>
          <w:color w:val="auto"/>
        </w:rPr>
      </w:pPr>
    </w:p>
    <w:p>
      <w:pPr>
        <w:jc w:val="both"/>
        <w:ind w:right="160" w:firstLine="648"/>
        <w:spacing w:after="0" w:line="288" w:lineRule="auto"/>
        <w:rPr>
          <w:sz w:val="20"/>
          <w:szCs w:val="20"/>
          <w:color w:val="auto"/>
        </w:rPr>
      </w:pPr>
      <w:r>
        <w:rPr>
          <w:rFonts w:ascii="Arial" w:cs="Arial" w:eastAsia="Arial" w:hAnsi="Arial"/>
          <w:sz w:val="16"/>
          <w:szCs w:val="16"/>
          <w:color w:val="auto"/>
        </w:rPr>
        <w:t>Under Iowa law, Principal Life may pay dividends only from the earned surplus arising from its business and must receive the prior approval of the Insurance Commissioner of the State of Iowa (“the Commissioner”) to pay stockholder dividends or make any other distribution if such distributions would exceed certain statutory limitations. Iowa law gives the Commissioner discretion to disapprove requests for distributions in excess of these limits.</w:t>
      </w:r>
    </w:p>
    <w:p>
      <w:pPr>
        <w:ind w:right="180"/>
        <w:spacing w:after="0" w:line="255" w:lineRule="auto"/>
        <w:rPr>
          <w:sz w:val="20"/>
          <w:szCs w:val="20"/>
          <w:color w:val="auto"/>
        </w:rPr>
      </w:pPr>
      <w:r>
        <w:rPr>
          <w:rFonts w:ascii="Arial" w:cs="Arial" w:eastAsia="Arial" w:hAnsi="Arial"/>
          <w:sz w:val="18"/>
          <w:szCs w:val="18"/>
          <w:color w:val="auto"/>
        </w:rPr>
        <w:t>Extraordinary dividends include those made within the preceding twelve months that exceed the greater of (i) 10% of Principal Life’s statutory policyholder surplus as of the previous year-end or (ii) the statutory net gain from operations from the previous calendar year. Based on December 31, 2014, statutory results, the dividend limitation for Principal Life is approximately $615.2 million in 2015.</w:t>
      </w:r>
    </w:p>
    <w:p>
      <w:pPr>
        <w:spacing w:after="0" w:line="190"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Total stockholder dividends paid by Principal Life to its parent as of September 30, 2015, were $244.4 million, all of which were extraordinary and approved by the Commissioner. As of September 30, 2015, we had $797.0 million of cash and liquid assets held in our holding companies and other subsidiaries which is available for corporate purposes.</w:t>
      </w:r>
    </w:p>
    <w:p>
      <w:pPr>
        <w:spacing w:after="0" w:line="181"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b w:val="1"/>
          <w:bCs w:val="1"/>
          <w:i w:val="1"/>
          <w:iCs w:val="1"/>
          <w:color w:val="auto"/>
        </w:rPr>
        <w:t xml:space="preserve">Operations. </w:t>
      </w:r>
      <w:r>
        <w:rPr>
          <w:rFonts w:ascii="Arial" w:cs="Arial" w:eastAsia="Arial" w:hAnsi="Arial"/>
          <w:sz w:val="16"/>
          <w:szCs w:val="16"/>
          <w:color w:val="auto"/>
        </w:rPr>
        <w:t>Our primary consolidated cash flow sources are premiums from insurance products, pension and annuity deposits, asset management fee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revenues, administrative services fee revenues, income from investments and proceeds from the sales or maturity of investments. Cash outflows consist primarily of payment of benefits to policyholders and beneficiaries, income and other taxes, current operating expenses, payment of dividends to policyholders, payments in connection with investments acquired, payments made to acquire subsidiaries, payments relating to policy and contract surrenders, withdrawals, policy loans, interest payments and repayment of short-term debt and long-term debt. Our investment strategies are generally intended to provide adequate funds to pay benefits without forced sales of investments. For a discussion of our investment objectives, strategies and a discussion of duration matching, see “Investments” as well as Item 3. “Quantitative and Qualitative Disclosures About Market Risk — Interest Rate Risk.”</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Cash Flows. </w:t>
      </w:r>
      <w:r>
        <w:rPr>
          <w:rFonts w:ascii="Arial" w:cs="Arial" w:eastAsia="Arial" w:hAnsi="Arial"/>
          <w:sz w:val="16"/>
          <w:szCs w:val="16"/>
          <w:color w:val="auto"/>
        </w:rPr>
        <w:t>Activity, as reported in our consolidated statements of cash flows, provides relevant information regarding our sources and uses of cash.</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The following discussion of our operating, investing and financing portions of the cash flows excludes cash flows attributable to the separate accounts.</w:t>
      </w:r>
    </w:p>
    <w:p>
      <w:pPr>
        <w:spacing w:after="0" w:line="222" w:lineRule="exact"/>
        <w:rPr>
          <w:sz w:val="20"/>
          <w:szCs w:val="20"/>
          <w:color w:val="auto"/>
        </w:rPr>
      </w:pPr>
    </w:p>
    <w:p>
      <w:pPr>
        <w:ind w:right="80" w:firstLine="648"/>
        <w:spacing w:after="0" w:line="293" w:lineRule="auto"/>
        <w:rPr>
          <w:sz w:val="20"/>
          <w:szCs w:val="20"/>
          <w:color w:val="auto"/>
        </w:rPr>
      </w:pPr>
      <w:r>
        <w:rPr>
          <w:rFonts w:ascii="Arial" w:cs="Arial" w:eastAsia="Arial" w:hAnsi="Arial"/>
          <w:sz w:val="16"/>
          <w:szCs w:val="16"/>
          <w:color w:val="auto"/>
        </w:rPr>
        <w:t>Net cash provided by operating activities was $3,323.0 million and $2,197.6 million for the nine months ended September 30, 2015 and 2014, respectively. Our insurance business typically generates positive cash flows from operating activities, as premiums collected from our insurance products and income received from our investments exceed acquisition costs, benefits paid, redemptions and operating expenses. These positive cash flows are then invested to support the obligations of our insurance and investment products and required capital supporting these products. Our cash flows from operating activities are affected by the timing of premiums, fees and investment income received and benefits and expenses paid. The increase in cash provided by operating activities in 2015 compared to 2014 is primarily due to growth in the business including higher sales of single premium group annuities and</w:t>
      </w:r>
    </w:p>
    <w:p>
      <w:pPr>
        <w:sectPr>
          <w:pgSz w:w="11900" w:h="16838" w:orient="portrait"/>
          <w:cols w:equalWidth="0" w:num="1">
            <w:col w:w="11420"/>
          </w:cols>
          <w:pgMar w:left="240" w:top="125" w:right="239" w:bottom="0" w:gutter="0" w:footer="0" w:header="0"/>
        </w:sectPr>
      </w:pPr>
    </w:p>
    <w:bookmarkStart w:id="76" w:name="page77"/>
    <w:bookmarkEnd w:id="76"/>
    <w:p>
      <w:pPr>
        <w:ind w:right="220"/>
        <w:spacing w:after="0" w:line="277" w:lineRule="auto"/>
        <w:rPr>
          <w:sz w:val="20"/>
          <w:szCs w:val="20"/>
          <w:color w:val="auto"/>
        </w:rPr>
      </w:pPr>
      <w:r>
        <w:rPr>
          <w:rFonts w:ascii="Arial" w:cs="Arial" w:eastAsia="Arial" w:hAnsi="Arial"/>
          <w:sz w:val="18"/>
          <w:szCs w:val="18"/>
          <w:color w:val="auto"/>
        </w:rPr>
        <w:t>individual annuities with life contingencies. Cash provided by operating activities also includes fluctuations in receivables and payables associated with the timing of settlements.</w:t>
      </w:r>
    </w:p>
    <w:p>
      <w:pPr>
        <w:spacing w:after="0" w:line="170" w:lineRule="exact"/>
        <w:rPr>
          <w:sz w:val="20"/>
          <w:szCs w:val="20"/>
          <w:color w:val="auto"/>
        </w:rPr>
      </w:pPr>
    </w:p>
    <w:p>
      <w:pPr>
        <w:jc w:val="both"/>
        <w:ind w:right="80" w:firstLine="648"/>
        <w:spacing w:after="0" w:line="264" w:lineRule="auto"/>
        <w:rPr>
          <w:sz w:val="20"/>
          <w:szCs w:val="20"/>
          <w:color w:val="auto"/>
        </w:rPr>
      </w:pPr>
      <w:r>
        <w:rPr>
          <w:rFonts w:ascii="Arial" w:cs="Arial" w:eastAsia="Arial" w:hAnsi="Arial"/>
          <w:sz w:val="18"/>
          <w:szCs w:val="18"/>
          <w:color w:val="auto"/>
        </w:rPr>
        <w:t>Net cash used in investing activities was $1,766.8 million and $827.3 million for the nine months ended September 30, 2015 and 2014, respectively. The increase in cash used in investing activities in 2015 compared to 2014 is primarily the result of higher net purchases of fixed maturity securities in 2015 compared to 2014 and the acquisition of AXA’s MPF and ORSO pension business in Hong Kong in 2015.</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Net cash used in financing activities was $905.9 million and $2,471.3 million for the nine months ended September 30, 2015 and 2014, respectively.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The decrease in cash used in financing activities is the result of the issuance of long-term debt in 2015 and decreased net withdrawals of investment contracts.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proceeds of the debt issuance were primarily used for the redemption of preferred stock in 2015.</w:t>
      </w:r>
    </w:p>
    <w:p>
      <w:pPr>
        <w:spacing w:after="0" w:line="211"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b w:val="1"/>
          <w:bCs w:val="1"/>
          <w:i w:val="1"/>
          <w:iCs w:val="1"/>
          <w:color w:val="auto"/>
        </w:rPr>
        <w:t xml:space="preserve">Shelf Registration. </w:t>
      </w:r>
      <w:r>
        <w:rPr>
          <w:rFonts w:ascii="Arial" w:cs="Arial" w:eastAsia="Arial" w:hAnsi="Arial"/>
          <w:sz w:val="18"/>
          <w:szCs w:val="18"/>
          <w:color w:val="auto"/>
        </w:rPr>
        <w:t>On May 7, 2014, our shelf registration statement was filed with the SEC and became effective, replacing the shelf registration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that had been in effect since May 2011. Under our current shelf registration, we have the ability to issue in unlimited amounts, unsecured senior debt securities or subordinated debt securities, junior subordinated debt, preferred stock, common stock, warrants, depository shares, stock purchase contracts and stock purchase units of PFG, trust preferred securities of three subsidiary trusts and guarantees by PFG of these trust preferred securities. Our wholly owned subsidiary, PFS, may guarantee, fully and unconditionally or otherwise, our obligations with respect to any non-convertible securities, other than common stock, described in the shelf registration.</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 xml:space="preserve">Short-Term Debt. </w:t>
      </w:r>
      <w:r>
        <w:rPr>
          <w:rFonts w:ascii="Arial" w:cs="Arial" w:eastAsia="Arial" w:hAnsi="Arial"/>
          <w:sz w:val="18"/>
          <w:szCs w:val="18"/>
          <w:color w:val="auto"/>
        </w:rPr>
        <w:t>The components of short-term debt were as follows: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0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640" w:type="dxa"/>
            <w:vAlign w:val="bottom"/>
          </w:tcPr>
          <w:p>
            <w:pPr>
              <w:jc w:val="right"/>
              <w:spacing w:after="0"/>
              <w:rPr>
                <w:sz w:val="20"/>
                <w:szCs w:val="20"/>
                <w:color w:val="auto"/>
              </w:rPr>
            </w:pPr>
            <w:r>
              <w:rPr>
                <w:rFonts w:ascii="Arial" w:cs="Arial" w:eastAsia="Arial" w:hAnsi="Arial"/>
                <w:sz w:val="14"/>
                <w:szCs w:val="14"/>
                <w:b w:val="1"/>
                <w:bCs w:val="1"/>
                <w:color w:val="auto"/>
              </w:rPr>
              <w:t>September 30, 2015</w:t>
            </w: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00" w:type="dxa"/>
            <w:vAlign w:val="bottom"/>
            <w:gridSpan w:val="2"/>
          </w:tcPr>
          <w:p>
            <w:pPr>
              <w:ind w:left="100"/>
              <w:spacing w:after="0"/>
              <w:rPr>
                <w:sz w:val="20"/>
                <w:szCs w:val="20"/>
                <w:color w:val="auto"/>
              </w:rPr>
            </w:pPr>
            <w:r>
              <w:rPr>
                <w:rFonts w:ascii="Arial" w:cs="Arial" w:eastAsia="Arial" w:hAnsi="Arial"/>
                <w:sz w:val="14"/>
                <w:szCs w:val="14"/>
                <w:b w:val="1"/>
                <w:bCs w:val="1"/>
                <w:color w:val="auto"/>
              </w:rPr>
              <w:t>December 31, 2014</w:t>
            </w:r>
          </w:p>
        </w:tc>
      </w:tr>
      <w:tr>
        <w:trPr>
          <w:trHeight w:val="142"/>
        </w:trPr>
        <w:tc>
          <w:tcPr>
            <w:tcW w:w="470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64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gridSpan w:val="4"/>
          </w:tcPr>
          <w:p>
            <w:pPr>
              <w:jc w:val="right"/>
              <w:ind w:right="30"/>
              <w:spacing w:after="0" w:line="142" w:lineRule="exact"/>
              <w:rPr>
                <w:sz w:val="20"/>
                <w:szCs w:val="20"/>
                <w:color w:val="auto"/>
              </w:rPr>
            </w:pPr>
            <w:r>
              <w:rPr>
                <w:rFonts w:ascii="Arial" w:cs="Arial" w:eastAsia="Arial" w:hAnsi="Arial"/>
                <w:sz w:val="14"/>
                <w:szCs w:val="14"/>
                <w:b w:val="1"/>
                <w:bCs w:val="1"/>
                <w:color w:val="auto"/>
                <w:w w:val="99"/>
              </w:rPr>
              <w:t>(in millions)</w:t>
            </w:r>
          </w:p>
        </w:tc>
        <w:tc>
          <w:tcPr>
            <w:tcW w:w="16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Short-term credit facilities</w:t>
            </w:r>
          </w:p>
        </w:tc>
        <w:tc>
          <w:tcPr>
            <w:tcW w:w="4100" w:type="dxa"/>
            <w:vAlign w:val="bottom"/>
            <w:gridSpan w:val="2"/>
            <w:shd w:val="clear" w:color="auto" w:fill="CCEEFF"/>
          </w:tcPr>
          <w:p>
            <w:pPr>
              <w:jc w:val="right"/>
              <w:ind w:right="1459"/>
              <w:spacing w:after="0"/>
              <w:rPr>
                <w:sz w:val="20"/>
                <w:szCs w:val="20"/>
                <w:color w:val="auto"/>
              </w:rPr>
            </w:pPr>
            <w:r>
              <w:rPr>
                <w:rFonts w:ascii="Arial" w:cs="Arial" w:eastAsia="Arial" w:hAnsi="Arial"/>
                <w:sz w:val="18"/>
                <w:szCs w:val="18"/>
                <w:b w:val="1"/>
                <w:bCs w:val="1"/>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8"/>
              </w:rPr>
              <w:t>197.4</w:t>
            </w:r>
          </w:p>
        </w:tc>
        <w:tc>
          <w:tcPr>
            <w:tcW w:w="1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700" w:type="dxa"/>
            <w:vAlign w:val="bottom"/>
          </w:tcPr>
          <w:p>
            <w:pPr>
              <w:spacing w:after="0"/>
              <w:rPr>
                <w:sz w:val="20"/>
                <w:szCs w:val="20"/>
                <w:color w:val="auto"/>
              </w:rPr>
            </w:pPr>
            <w:r>
              <w:rPr>
                <w:rFonts w:ascii="Arial" w:cs="Arial" w:eastAsia="Arial" w:hAnsi="Arial"/>
                <w:sz w:val="18"/>
                <w:szCs w:val="18"/>
                <w:color w:val="auto"/>
              </w:rPr>
              <w:t>Other recourse short-term debt</w:t>
            </w:r>
          </w:p>
        </w:tc>
        <w:tc>
          <w:tcPr>
            <w:tcW w:w="24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24.2</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gridSpan w:val="2"/>
          </w:tcPr>
          <w:p>
            <w:pPr>
              <w:jc w:val="right"/>
              <w:ind w:right="100"/>
              <w:spacing w:after="0"/>
              <w:rPr>
                <w:sz w:val="20"/>
                <w:szCs w:val="20"/>
                <w:color w:val="auto"/>
              </w:rPr>
            </w:pPr>
            <w:r>
              <w:rPr>
                <w:rFonts w:ascii="Arial" w:cs="Arial" w:eastAsia="Arial" w:hAnsi="Arial"/>
                <w:sz w:val="18"/>
                <w:szCs w:val="18"/>
                <w:color w:val="auto"/>
              </w:rPr>
              <w:t>28.0</w:t>
            </w:r>
          </w:p>
        </w:tc>
      </w:tr>
      <w:tr>
        <w:trPr>
          <w:trHeight w:val="210"/>
        </w:trPr>
        <w:tc>
          <w:tcPr>
            <w:tcW w:w="47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short-term debt</w:t>
            </w:r>
          </w:p>
        </w:tc>
        <w:tc>
          <w:tcPr>
            <w:tcW w:w="2460" w:type="dxa"/>
            <w:vAlign w:val="bottom"/>
            <w:tcBorders>
              <w:top w:val="single" w:sz="8" w:color="CCEEFF"/>
              <w:bottom w:val="single" w:sz="8" w:color="CCEEFF"/>
            </w:tcBorders>
            <w:shd w:val="clear" w:color="auto" w:fill="CCEEFF"/>
          </w:tcPr>
          <w:p>
            <w:pPr>
              <w:spacing w:after="0"/>
              <w:rPr>
                <w:sz w:val="18"/>
                <w:szCs w:val="18"/>
                <w:color w:val="auto"/>
              </w:rPr>
            </w:pPr>
          </w:p>
        </w:tc>
        <w:tc>
          <w:tcPr>
            <w:tcW w:w="1640" w:type="dxa"/>
            <w:vAlign w:val="bottom"/>
            <w:tcBorders>
              <w:top w:val="single" w:sz="8" w:color="auto"/>
              <w:bottom w:val="single" w:sz="8" w:color="auto"/>
            </w:tcBorders>
            <w:shd w:val="clear" w:color="auto" w:fill="CCEEFF"/>
          </w:tcPr>
          <w:p>
            <w:pPr>
              <w:jc w:val="right"/>
              <w:ind w:right="1459"/>
              <w:spacing w:after="0"/>
              <w:rPr>
                <w:sz w:val="20"/>
                <w:szCs w:val="20"/>
                <w:color w:val="auto"/>
              </w:rPr>
            </w:pPr>
            <w:r>
              <w:rPr>
                <w:rFonts w:ascii="Arial" w:cs="Arial" w:eastAsia="Arial" w:hAnsi="Arial"/>
                <w:sz w:val="18"/>
                <w:szCs w:val="18"/>
                <w:b w:val="1"/>
                <w:bCs w:val="1"/>
                <w:color w:val="auto"/>
                <w:w w:val="79"/>
              </w:rPr>
              <w:t>$</w:t>
            </w:r>
          </w:p>
        </w:tc>
        <w:tc>
          <w:tcPr>
            <w:tcW w:w="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8"/>
              </w:rPr>
              <w:t>221.6</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47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780" w:firstLine="648"/>
        <w:spacing w:after="0" w:line="277" w:lineRule="auto"/>
        <w:rPr>
          <w:sz w:val="20"/>
          <w:szCs w:val="20"/>
          <w:color w:val="auto"/>
        </w:rPr>
      </w:pPr>
      <w:r>
        <w:rPr>
          <w:rFonts w:ascii="Arial" w:cs="Arial" w:eastAsia="Arial" w:hAnsi="Arial"/>
          <w:sz w:val="18"/>
          <w:szCs w:val="18"/>
          <w:color w:val="auto"/>
        </w:rPr>
        <w:t>The short-term credit facilities are used for general corporate purposes and borrowings outstanding can fluctuate as part of working capital management.</w:t>
      </w:r>
    </w:p>
    <w:p>
      <w:pPr>
        <w:spacing w:after="0" w:line="170"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b w:val="1"/>
          <w:bCs w:val="1"/>
          <w:i w:val="1"/>
          <w:iCs w:val="1"/>
          <w:color w:val="auto"/>
        </w:rPr>
        <w:t xml:space="preserve">Long-Term Debt. </w:t>
      </w:r>
      <w:r>
        <w:rPr>
          <w:rFonts w:ascii="Arial" w:cs="Arial" w:eastAsia="Arial" w:hAnsi="Arial"/>
          <w:sz w:val="18"/>
          <w:szCs w:val="18"/>
          <w:color w:val="auto"/>
        </w:rPr>
        <w:t>On May 7, 2015, we issued $400.0 million of senior notes and $400.0 million of junior subordinated notes, which are subordinated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 all our senior debt. For additional long-term debt information regarding these debt issuances and all outstanding long-term debt, see Item 1. “Financial Statements, Notes to Unaudited Consolidated Financial Statements, Note 5, Long-Term Debt.”</w:t>
      </w:r>
    </w:p>
    <w:p>
      <w:pPr>
        <w:spacing w:after="0" w:line="181" w:lineRule="exact"/>
        <w:rPr>
          <w:sz w:val="20"/>
          <w:szCs w:val="20"/>
          <w:color w:val="auto"/>
        </w:rPr>
      </w:pPr>
    </w:p>
    <w:p>
      <w:pPr>
        <w:ind w:right="360" w:firstLine="648"/>
        <w:spacing w:after="0" w:line="308" w:lineRule="auto"/>
        <w:rPr>
          <w:sz w:val="20"/>
          <w:szCs w:val="20"/>
          <w:color w:val="auto"/>
        </w:rPr>
      </w:pPr>
      <w:r>
        <w:rPr>
          <w:rFonts w:ascii="Arial" w:cs="Arial" w:eastAsia="Arial" w:hAnsi="Arial"/>
          <w:sz w:val="17"/>
          <w:szCs w:val="17"/>
          <w:b w:val="1"/>
          <w:bCs w:val="1"/>
          <w:i w:val="1"/>
          <w:iCs w:val="1"/>
          <w:color w:val="auto"/>
        </w:rPr>
        <w:t xml:space="preserve">Stockholders’ Equity. </w:t>
      </w:r>
      <w:r>
        <w:rPr>
          <w:rFonts w:ascii="Arial" w:cs="Arial" w:eastAsia="Arial" w:hAnsi="Arial"/>
          <w:sz w:val="17"/>
          <w:szCs w:val="17"/>
          <w:color w:val="auto"/>
        </w:rPr>
        <w:t>On June 30, 2015, we redeemed our 3.0 million shares of series A preferred stock for $250.0 million and our 10.0 million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shares of series B preferred stock for $300.0 million. The following table summarizes our return of capital to common stockholders.</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6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900" w:type="dxa"/>
            <w:vAlign w:val="bottom"/>
          </w:tcPr>
          <w:p>
            <w:pPr>
              <w:jc w:val="right"/>
              <w:ind w:right="119"/>
              <w:spacing w:after="0"/>
              <w:rPr>
                <w:sz w:val="20"/>
                <w:szCs w:val="20"/>
                <w:color w:val="auto"/>
              </w:rPr>
            </w:pPr>
            <w:r>
              <w:rPr>
                <w:rFonts w:ascii="Arial" w:cs="Arial" w:eastAsia="Arial" w:hAnsi="Arial"/>
                <w:sz w:val="14"/>
                <w:szCs w:val="14"/>
                <w:b w:val="1"/>
                <w:bCs w:val="1"/>
                <w:color w:val="auto"/>
                <w:w w:val="93"/>
              </w:rPr>
              <w:t>For the nine months ended</w:t>
            </w:r>
          </w:p>
        </w:tc>
        <w:tc>
          <w:tcPr>
            <w:tcW w:w="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20" w:type="dxa"/>
            <w:vAlign w:val="bottom"/>
            <w:gridSpan w:val="2"/>
          </w:tcPr>
          <w:p>
            <w:pPr>
              <w:ind w:left="120"/>
              <w:spacing w:after="0"/>
              <w:rPr>
                <w:sz w:val="20"/>
                <w:szCs w:val="20"/>
                <w:color w:val="auto"/>
              </w:rPr>
            </w:pPr>
            <w:r>
              <w:rPr>
                <w:rFonts w:ascii="Arial" w:cs="Arial" w:eastAsia="Arial" w:hAnsi="Arial"/>
                <w:sz w:val="14"/>
                <w:szCs w:val="14"/>
                <w:b w:val="1"/>
                <w:bCs w:val="1"/>
                <w:color w:val="auto"/>
              </w:rPr>
              <w:t>For the year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6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900" w:type="dxa"/>
            <w:vAlign w:val="bottom"/>
          </w:tcPr>
          <w:p>
            <w:pPr>
              <w:jc w:val="right"/>
              <w:ind w:right="339"/>
              <w:spacing w:after="0"/>
              <w:rPr>
                <w:sz w:val="20"/>
                <w:szCs w:val="20"/>
                <w:color w:val="auto"/>
              </w:rPr>
            </w:pPr>
            <w:r>
              <w:rPr>
                <w:rFonts w:ascii="Arial" w:cs="Arial" w:eastAsia="Arial" w:hAnsi="Arial"/>
                <w:sz w:val="14"/>
                <w:szCs w:val="14"/>
                <w:b w:val="1"/>
                <w:bCs w:val="1"/>
                <w:color w:val="auto"/>
              </w:rPr>
              <w:t>September 30, 2015</w:t>
            </w:r>
          </w:p>
        </w:tc>
        <w:tc>
          <w:tcPr>
            <w:tcW w:w="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20" w:type="dxa"/>
            <w:vAlign w:val="bottom"/>
            <w:gridSpan w:val="2"/>
          </w:tcPr>
          <w:p>
            <w:pPr>
              <w:ind w:left="120"/>
              <w:spacing w:after="0"/>
              <w:rPr>
                <w:sz w:val="20"/>
                <w:szCs w:val="20"/>
                <w:color w:val="auto"/>
              </w:rPr>
            </w:pPr>
            <w:r>
              <w:rPr>
                <w:rFonts w:ascii="Arial" w:cs="Arial" w:eastAsia="Arial" w:hAnsi="Arial"/>
                <w:sz w:val="14"/>
                <w:szCs w:val="14"/>
                <w:b w:val="1"/>
                <w:bCs w:val="1"/>
                <w:color w:val="auto"/>
              </w:rPr>
              <w:t>December 31, 2014</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5260" w:type="dxa"/>
            <w:vAlign w:val="bottom"/>
          </w:tcPr>
          <w:p>
            <w:pPr>
              <w:spacing w:after="0"/>
              <w:rPr>
                <w:sz w:val="15"/>
                <w:szCs w:val="15"/>
                <w:color w:val="auto"/>
              </w:rPr>
            </w:pPr>
          </w:p>
        </w:tc>
        <w:tc>
          <w:tcPr>
            <w:tcW w:w="1880" w:type="dxa"/>
            <w:vAlign w:val="bottom"/>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2380" w:type="dxa"/>
            <w:vAlign w:val="bottom"/>
            <w:tcBorders>
              <w:top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(in millions)</w:t>
            </w:r>
          </w:p>
        </w:tc>
        <w:tc>
          <w:tcPr>
            <w:tcW w:w="162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5260" w:type="dxa"/>
            <w:vAlign w:val="bottom"/>
          </w:tcPr>
          <w:p>
            <w:pPr>
              <w:spacing w:after="0"/>
              <w:rPr>
                <w:sz w:val="15"/>
                <w:szCs w:val="15"/>
                <w:color w:val="auto"/>
              </w:rPr>
            </w:pPr>
          </w:p>
        </w:tc>
        <w:tc>
          <w:tcPr>
            <w:tcW w:w="1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Dividends to stockholders</w:t>
            </w:r>
          </w:p>
        </w:tc>
        <w:tc>
          <w:tcPr>
            <w:tcW w:w="20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330.2</w:t>
            </w:r>
          </w:p>
        </w:tc>
        <w:tc>
          <w:tcPr>
            <w:tcW w:w="4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tcPr>
          <w:p>
            <w:pPr>
              <w:spacing w:after="0"/>
              <w:rPr>
                <w:sz w:val="20"/>
                <w:szCs w:val="20"/>
                <w:color w:val="auto"/>
              </w:rPr>
            </w:pPr>
            <w:r>
              <w:rPr>
                <w:rFonts w:ascii="Arial" w:cs="Arial" w:eastAsia="Arial" w:hAnsi="Arial"/>
                <w:sz w:val="18"/>
                <w:szCs w:val="18"/>
                <w:color w:val="auto"/>
              </w:rPr>
              <w:t>Repurchase of common stock</w:t>
            </w:r>
          </w:p>
        </w:tc>
        <w:tc>
          <w:tcPr>
            <w:tcW w:w="1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900" w:type="dxa"/>
            <w:vAlign w:val="bottom"/>
          </w:tcPr>
          <w:p>
            <w:pPr>
              <w:jc w:val="right"/>
              <w:spacing w:after="0"/>
              <w:rPr>
                <w:sz w:val="20"/>
                <w:szCs w:val="20"/>
                <w:color w:val="auto"/>
              </w:rPr>
            </w:pPr>
            <w:r>
              <w:rPr>
                <w:rFonts w:ascii="Arial" w:cs="Arial" w:eastAsia="Arial" w:hAnsi="Arial"/>
                <w:sz w:val="18"/>
                <w:szCs w:val="18"/>
                <w:b w:val="1"/>
                <w:bCs w:val="1"/>
                <w:color w:val="auto"/>
              </w:rPr>
              <w:t>188.2</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20" w:type="dxa"/>
            <w:vAlign w:val="bottom"/>
            <w:gridSpan w:val="2"/>
          </w:tcPr>
          <w:p>
            <w:pPr>
              <w:jc w:val="right"/>
              <w:ind w:right="100"/>
              <w:spacing w:after="0"/>
              <w:rPr>
                <w:sz w:val="20"/>
                <w:szCs w:val="20"/>
                <w:color w:val="auto"/>
              </w:rPr>
            </w:pPr>
            <w:r>
              <w:rPr>
                <w:rFonts w:ascii="Arial" w:cs="Arial" w:eastAsia="Arial" w:hAnsi="Arial"/>
                <w:sz w:val="18"/>
                <w:szCs w:val="18"/>
                <w:color w:val="auto"/>
              </w:rPr>
              <w:t>222.7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6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cash returned to common stockholders</w:t>
            </w:r>
          </w:p>
        </w:tc>
        <w:tc>
          <w:tcPr>
            <w:tcW w:w="188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518.4</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599.3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0" w:firstLine="630"/>
        <w:spacing w:after="0" w:line="277" w:lineRule="auto"/>
        <w:rPr>
          <w:sz w:val="20"/>
          <w:szCs w:val="20"/>
          <w:color w:val="auto"/>
        </w:rPr>
      </w:pPr>
      <w:r>
        <w:rPr>
          <w:rFonts w:ascii="Arial" w:cs="Arial" w:eastAsia="Arial" w:hAnsi="Arial"/>
          <w:sz w:val="18"/>
          <w:szCs w:val="18"/>
          <w:color w:val="auto"/>
        </w:rPr>
        <w:t>For additional stockholders’ equity information, see Item 1. “Financial Statements, Notes to Unaudited Consolidated Financial Statements, Note 9, Stockholders’ Equity.”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Capitalization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our capital structure:</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86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60" w:type="dxa"/>
            <w:vAlign w:val="bottom"/>
            <w:gridSpan w:val="2"/>
          </w:tcPr>
          <w:p>
            <w:pPr>
              <w:jc w:val="right"/>
              <w:ind w:right="700"/>
              <w:spacing w:after="0"/>
              <w:rPr>
                <w:sz w:val="20"/>
                <w:szCs w:val="20"/>
                <w:color w:val="auto"/>
              </w:rPr>
            </w:pPr>
            <w:r>
              <w:rPr>
                <w:rFonts w:ascii="Arial" w:cs="Arial" w:eastAsia="Arial" w:hAnsi="Arial"/>
                <w:sz w:val="14"/>
                <w:szCs w:val="14"/>
                <w:b w:val="1"/>
                <w:bCs w:val="1"/>
                <w:color w:val="auto"/>
              </w:rPr>
              <w:t>September 30, 2015</w:t>
            </w:r>
          </w:p>
        </w:tc>
        <w:tc>
          <w:tcPr>
            <w:tcW w:w="240" w:type="dxa"/>
            <w:vAlign w:val="bottom"/>
          </w:tcPr>
          <w:p>
            <w:pPr>
              <w:spacing w:after="0"/>
              <w:rPr>
                <w:sz w:val="14"/>
                <w:szCs w:val="14"/>
                <w:color w:val="auto"/>
              </w:rPr>
            </w:pPr>
          </w:p>
        </w:tc>
        <w:tc>
          <w:tcPr>
            <w:tcW w:w="1740" w:type="dxa"/>
            <w:vAlign w:val="bottom"/>
            <w:gridSpan w:val="2"/>
          </w:tcPr>
          <w:p>
            <w:pPr>
              <w:ind w:left="100"/>
              <w:spacing w:after="0"/>
              <w:rPr>
                <w:sz w:val="20"/>
                <w:szCs w:val="20"/>
                <w:color w:val="auto"/>
              </w:rPr>
            </w:pPr>
            <w:r>
              <w:rPr>
                <w:rFonts w:ascii="Arial" w:cs="Arial" w:eastAsia="Arial" w:hAnsi="Arial"/>
                <w:sz w:val="14"/>
                <w:szCs w:val="14"/>
                <w:b w:val="1"/>
                <w:bCs w:val="1"/>
                <w:color w:val="auto"/>
              </w:rPr>
              <w:t>December 31, 2014</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86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230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 in millions)</w:t>
            </w:r>
          </w:p>
        </w:tc>
        <w:tc>
          <w:tcPr>
            <w:tcW w:w="1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Debt:</w:t>
            </w:r>
          </w:p>
        </w:tc>
        <w:tc>
          <w:tcPr>
            <w:tcW w:w="2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7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tcPr>
          <w:p>
            <w:pPr>
              <w:ind w:left="180"/>
              <w:spacing w:after="0"/>
              <w:rPr>
                <w:sz w:val="20"/>
                <w:szCs w:val="20"/>
                <w:color w:val="auto"/>
              </w:rPr>
            </w:pPr>
            <w:r>
              <w:rPr>
                <w:rFonts w:ascii="Arial" w:cs="Arial" w:eastAsia="Arial" w:hAnsi="Arial"/>
                <w:sz w:val="18"/>
                <w:szCs w:val="18"/>
                <w:color w:val="auto"/>
              </w:rPr>
              <w:t>Short-term debt</w:t>
            </w:r>
          </w:p>
        </w:tc>
        <w:tc>
          <w:tcPr>
            <w:tcW w:w="250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w:t>
            </w:r>
          </w:p>
        </w:tc>
        <w:tc>
          <w:tcPr>
            <w:tcW w:w="20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221.6</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740" w:type="dxa"/>
            <w:vAlign w:val="bottom"/>
            <w:gridSpan w:val="2"/>
          </w:tcPr>
          <w:p>
            <w:pPr>
              <w:jc w:val="right"/>
              <w:ind w:right="160"/>
              <w:spacing w:after="0"/>
              <w:rPr>
                <w:sz w:val="20"/>
                <w:szCs w:val="20"/>
                <w:color w:val="auto"/>
              </w:rPr>
            </w:pPr>
            <w:r>
              <w:rPr>
                <w:rFonts w:ascii="Arial" w:cs="Arial" w:eastAsia="Arial" w:hAnsi="Arial"/>
                <w:sz w:val="18"/>
                <w:szCs w:val="18"/>
                <w:color w:val="auto"/>
              </w:rPr>
              <w:t>28.0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Long-term debt</w:t>
            </w:r>
          </w:p>
        </w:tc>
        <w:tc>
          <w:tcPr>
            <w:tcW w:w="2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3,286.1</w:t>
            </w:r>
          </w:p>
        </w:tc>
        <w:tc>
          <w:tcPr>
            <w:tcW w:w="24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2,531.2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60" w:type="dxa"/>
            <w:vAlign w:val="bottom"/>
          </w:tcPr>
          <w:p>
            <w:pPr>
              <w:ind w:left="180"/>
              <w:spacing w:after="0"/>
              <w:rPr>
                <w:sz w:val="20"/>
                <w:szCs w:val="20"/>
                <w:color w:val="auto"/>
              </w:rPr>
            </w:pPr>
            <w:r>
              <w:rPr>
                <w:rFonts w:ascii="Arial" w:cs="Arial" w:eastAsia="Arial" w:hAnsi="Arial"/>
                <w:sz w:val="18"/>
                <w:szCs w:val="18"/>
                <w:color w:val="auto"/>
              </w:rPr>
              <w:t>Total debt</w:t>
            </w:r>
          </w:p>
        </w:tc>
        <w:tc>
          <w:tcPr>
            <w:tcW w:w="224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3,507.7</w:t>
            </w:r>
          </w:p>
        </w:tc>
        <w:tc>
          <w:tcPr>
            <w:tcW w:w="2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2,559.2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860" w:type="dxa"/>
            <w:vAlign w:val="bottom"/>
            <w:shd w:val="clear" w:color="auto" w:fill="CCEEFF"/>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7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Equity excluding AOCI</w:t>
            </w:r>
          </w:p>
        </w:tc>
        <w:tc>
          <w:tcPr>
            <w:tcW w:w="2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10,144.7</w:t>
            </w:r>
          </w:p>
        </w:tc>
        <w:tc>
          <w:tcPr>
            <w:tcW w:w="240" w:type="dxa"/>
            <w:vAlign w:val="bottom"/>
          </w:tcPr>
          <w:p>
            <w:pPr>
              <w:spacing w:after="0"/>
              <w:rPr>
                <w:sz w:val="18"/>
                <w:szCs w:val="18"/>
                <w:color w:val="auto"/>
              </w:rPr>
            </w:pPr>
          </w:p>
        </w:tc>
        <w:tc>
          <w:tcPr>
            <w:tcW w:w="1740" w:type="dxa"/>
            <w:vAlign w:val="bottom"/>
            <w:gridSpan w:val="2"/>
          </w:tcPr>
          <w:p>
            <w:pPr>
              <w:jc w:val="right"/>
              <w:ind w:right="160"/>
              <w:spacing w:after="0"/>
              <w:rPr>
                <w:sz w:val="20"/>
                <w:szCs w:val="20"/>
                <w:color w:val="auto"/>
              </w:rPr>
            </w:pPr>
            <w:r>
              <w:rPr>
                <w:rFonts w:ascii="Arial" w:cs="Arial" w:eastAsia="Arial" w:hAnsi="Arial"/>
                <w:sz w:val="18"/>
                <w:szCs w:val="18"/>
                <w:color w:val="auto"/>
              </w:rPr>
              <w:t>10,133.6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capitalization excluding AOCI</w:t>
            </w:r>
          </w:p>
        </w:tc>
        <w:tc>
          <w:tcPr>
            <w:tcW w:w="224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13,652.4</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12,692.8</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
        </w:trPr>
        <w:tc>
          <w:tcPr>
            <w:tcW w:w="7120" w:type="dxa"/>
            <w:vAlign w:val="bottom"/>
            <w:vMerge w:val="restart"/>
          </w:tcPr>
          <w:p>
            <w:pPr>
              <w:spacing w:after="0"/>
              <w:rPr>
                <w:sz w:val="20"/>
                <w:szCs w:val="20"/>
                <w:color w:val="auto"/>
              </w:rPr>
            </w:pPr>
            <w:r>
              <w:rPr>
                <w:rFonts w:ascii="Arial" w:cs="Arial" w:eastAsia="Arial" w:hAnsi="Arial"/>
                <w:sz w:val="18"/>
                <w:szCs w:val="18"/>
                <w:color w:val="auto"/>
              </w:rPr>
              <w:t>Debt to equity excluding AOCI</w:t>
            </w:r>
          </w:p>
        </w:tc>
        <w:tc>
          <w:tcPr>
            <w:tcW w:w="20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120" w:type="dxa"/>
            <w:vAlign w:val="bottom"/>
            <w:vMerge w:val="continue"/>
          </w:tcPr>
          <w:p>
            <w:pPr>
              <w:spacing w:after="0"/>
              <w:rPr>
                <w:sz w:val="18"/>
                <w:szCs w:val="18"/>
                <w:color w:val="auto"/>
              </w:rPr>
            </w:pPr>
          </w:p>
        </w:tc>
        <w:tc>
          <w:tcPr>
            <w:tcW w:w="2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35%</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spacing w:after="0"/>
              <w:rPr>
                <w:sz w:val="20"/>
                <w:szCs w:val="20"/>
                <w:color w:val="auto"/>
              </w:rPr>
            </w:pPr>
            <w:r>
              <w:rPr>
                <w:rFonts w:ascii="Arial" w:cs="Arial" w:eastAsia="Arial" w:hAnsi="Arial"/>
                <w:sz w:val="18"/>
                <w:szCs w:val="18"/>
                <w:color w:val="auto"/>
              </w:rPr>
              <w:t>Debt to capitalization excluding AOCI</w:t>
            </w:r>
          </w:p>
        </w:tc>
        <w:tc>
          <w:tcPr>
            <w:tcW w:w="2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26%</w:t>
            </w:r>
          </w:p>
        </w:tc>
        <w:tc>
          <w:tcPr>
            <w:tcW w:w="1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Contractual Commitments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As of September 30, 2015, there have been no significant changes to contractual obligations and contractual commitments since December 31, 2014.</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225" w:lineRule="exact"/>
        <w:rPr>
          <w:sz w:val="20"/>
          <w:szCs w:val="20"/>
          <w:color w:val="auto"/>
        </w:rPr>
      </w:pPr>
    </w:p>
    <w:p>
      <w:pPr>
        <w:jc w:val="both"/>
        <w:ind w:right="20" w:firstLine="648"/>
        <w:spacing w:after="0" w:line="308" w:lineRule="auto"/>
        <w:rPr>
          <w:sz w:val="20"/>
          <w:szCs w:val="20"/>
          <w:color w:val="auto"/>
        </w:rPr>
      </w:pPr>
      <w:r>
        <w:rPr>
          <w:rFonts w:ascii="Arial" w:cs="Arial" w:eastAsia="Arial" w:hAnsi="Arial"/>
          <w:sz w:val="17"/>
          <w:szCs w:val="17"/>
          <w:b w:val="1"/>
          <w:bCs w:val="1"/>
          <w:i w:val="1"/>
          <w:iCs w:val="1"/>
          <w:color w:val="auto"/>
        </w:rPr>
        <w:t xml:space="preserve">Variable Interest Entities. </w:t>
      </w:r>
      <w:r>
        <w:rPr>
          <w:rFonts w:ascii="Arial" w:cs="Arial" w:eastAsia="Arial" w:hAnsi="Arial"/>
          <w:sz w:val="17"/>
          <w:szCs w:val="17"/>
          <w:color w:val="auto"/>
        </w:rPr>
        <w:t>We have relationships with various types of special purpose entities and other entities where we have a variable interest 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described in Item 1. “Financial Statements, Notes to Unaudited Consolidated Financial Statements, Note 2, Variable Interest Entities.”</w:t>
      </w:r>
    </w:p>
    <w:p>
      <w:pPr>
        <w:sectPr>
          <w:pgSz w:w="11900" w:h="16838" w:orient="portrait"/>
          <w:cols w:equalWidth="0" w:num="1">
            <w:col w:w="11420"/>
          </w:cols>
          <w:pgMar w:left="240" w:top="125" w:right="239" w:bottom="0" w:gutter="0" w:footer="0" w:header="0"/>
        </w:sectPr>
      </w:pPr>
    </w:p>
    <w:bookmarkStart w:id="77" w:name="page78"/>
    <w:bookmarkEnd w:id="77"/>
    <w:p>
      <w:pPr>
        <w:jc w:val="center"/>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40" w:firstLine="648"/>
        <w:spacing w:after="0" w:line="312" w:lineRule="auto"/>
        <w:rPr>
          <w:sz w:val="20"/>
          <w:szCs w:val="20"/>
          <w:color w:val="auto"/>
        </w:rPr>
      </w:pPr>
      <w:r>
        <w:rPr>
          <w:rFonts w:ascii="Arial" w:cs="Arial" w:eastAsia="Arial" w:hAnsi="Arial"/>
          <w:sz w:val="16"/>
          <w:szCs w:val="16"/>
          <w:b w:val="1"/>
          <w:bCs w:val="1"/>
          <w:i w:val="1"/>
          <w:iCs w:val="1"/>
          <w:color w:val="auto"/>
        </w:rPr>
        <w:t xml:space="preserve">Guarantees and Indemnifications. </w:t>
      </w:r>
      <w:r>
        <w:rPr>
          <w:rFonts w:ascii="Arial" w:cs="Arial" w:eastAsia="Arial" w:hAnsi="Arial"/>
          <w:sz w:val="16"/>
          <w:szCs w:val="16"/>
          <w:color w:val="auto"/>
        </w:rPr>
        <w:t>As of September 30, 2015, there have been no significant changes to guarantees and indemnifications since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December 31, 2014. For guarantee and indemnification information, see Item 1. “Financial Statements, Notes to Unaudited Consolidated Financial Statements, Note 8, Contingencies, Guarantees and Indemnifications” under the caption, “Guarantees and Indemnifications.”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Strength Rating and Credit Ratings</w:t>
      </w:r>
    </w:p>
    <w:p>
      <w:pPr>
        <w:spacing w:after="0" w:line="225" w:lineRule="exact"/>
        <w:rPr>
          <w:sz w:val="20"/>
          <w:szCs w:val="20"/>
          <w:color w:val="auto"/>
        </w:rPr>
      </w:pPr>
    </w:p>
    <w:p>
      <w:pPr>
        <w:ind w:right="480" w:firstLine="648"/>
        <w:spacing w:after="0" w:line="264" w:lineRule="auto"/>
        <w:rPr>
          <w:sz w:val="20"/>
          <w:szCs w:val="20"/>
          <w:color w:val="auto"/>
        </w:rPr>
      </w:pPr>
      <w:r>
        <w:rPr>
          <w:rFonts w:ascii="Arial" w:cs="Arial" w:eastAsia="Arial" w:hAnsi="Arial"/>
          <w:sz w:val="18"/>
          <w:szCs w:val="18"/>
          <w:color w:val="auto"/>
        </w:rPr>
        <w:t>Our ratings are influenced by the relative ratings of our peers/competitors as well as many other factors including our operating and financial performance, asset quality, liquidity, asset/liability management, overall portfolio mix, financial leverage (i.e., debt), risk exposures, operating leverage, ratings and other factors.</w:t>
      </w:r>
    </w:p>
    <w:p>
      <w:pPr>
        <w:spacing w:after="0" w:line="181"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In April 2015, Standard &amp; Poor’s (“S&amp;P”) affirmed PFG’s credit ratings and the financial strength ratings of Principal Life and Principal National Life Insurance Company at ‘A+’. The outlook remains ‘stable’ for all ratings. Principal Life’s enterprise risk management rating was affirmed as ‘Strong’. The rating affirmation reflects S&amp;P’s view that we are a leading competitor in the U.S. small to midsize 401K market, with strong asset management and insurance solution capabilities which is supported by respected brand, diversified and sophisticated product portfolio, strong distribution relationships and increasing global reach. Further, S&amp;P cites our favorable earnings, well diversified investment portfolio and strong financial flexibility, with proven access to capital markets and credit facilities.</w:t>
      </w:r>
    </w:p>
    <w:p>
      <w:pPr>
        <w:spacing w:after="0" w:line="193"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In April 2015, Fitch affirmed PFG’s credit ratings and the financial strength ratings of Principal Life and Principal National Life Insurance Company at ‘AA-’. The outlook remains ‘stable’ for all ratings. Fitch noted our strong capitalization and stable, balanced operating profitability. Fitch also cited the contribution of Cuprum to overall profitability, higher fee-based revenue from growing account values and gradually declining financial leverage.</w:t>
      </w:r>
    </w:p>
    <w:p>
      <w:pPr>
        <w:spacing w:after="0" w:line="147"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In January 2015, A.M. Best completed its annual review, and affirmed the ratings of PFG and its subsidiaries. Principal Life’s financial strength rating was affirmed at ‘A+’. The outlook remains ‘stable’ for all ratings. Principal Life’s ratings reflect our diversified revenue sources, consistent operating earnings and solid balance sheet. The ratings also reflect our position as a leading provider of defined contribution plans, defined benefit plans, plan termination annuities and nonqualified plans in the United States.</w:t>
      </w:r>
    </w:p>
    <w:p>
      <w:pPr>
        <w:spacing w:after="0" w:line="187" w:lineRule="exact"/>
        <w:rPr>
          <w:sz w:val="20"/>
          <w:szCs w:val="20"/>
          <w:color w:val="auto"/>
        </w:rPr>
      </w:pPr>
    </w:p>
    <w:p>
      <w:pPr>
        <w:ind w:right="80" w:firstLine="648"/>
        <w:spacing w:after="0" w:line="257" w:lineRule="auto"/>
        <w:rPr>
          <w:sz w:val="20"/>
          <w:szCs w:val="20"/>
          <w:color w:val="auto"/>
        </w:rPr>
      </w:pPr>
      <w:r>
        <w:rPr>
          <w:rFonts w:ascii="Arial" w:cs="Arial" w:eastAsia="Arial" w:hAnsi="Arial"/>
          <w:sz w:val="18"/>
          <w:szCs w:val="18"/>
          <w:color w:val="auto"/>
        </w:rPr>
        <w:t>All four of the rating agencies maintain a ‘stable’ outlook on the U.S. life insurance sector. The rating agencies acknowledge that interest rates have remained at historically low levels for a longer than expected time. However, the agencies have also cited that the U.S. life insurance industry has maintained strong risk-adjusted capital, generated steady U.S. GAAP and statutory earnings, improved balance sheet fundamentals and enhanced risk focused decision making. Continued low rates will pressure interest margins and reserve adequacy, but the agencies believe that will not have a material impact and is manageable over the near term.</w:t>
      </w:r>
    </w:p>
    <w:p>
      <w:pPr>
        <w:spacing w:after="0" w:line="188"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The following table summarizes our significant financial strength and debt ratings from the major independent rating organizations. The debt ratings shown are indicative ratings. Outstanding issuances are rated the same as indicative ratings unless otherwise noted. Actual ratings can differ from indicative ratings based on contractual terms.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20" w:type="dxa"/>
            <w:vAlign w:val="bottom"/>
          </w:tcPr>
          <w:p>
            <w:pPr>
              <w:spacing w:after="0"/>
              <w:rPr>
                <w:sz w:val="14"/>
                <w:szCs w:val="14"/>
                <w:color w:val="auto"/>
              </w:rPr>
            </w:pPr>
          </w:p>
        </w:tc>
        <w:tc>
          <w:tcPr>
            <w:tcW w:w="16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A.M. Best</w:t>
            </w:r>
          </w:p>
        </w:tc>
        <w:tc>
          <w:tcPr>
            <w:tcW w:w="1660" w:type="dxa"/>
            <w:vAlign w:val="bottom"/>
            <w:gridSpan w:val="2"/>
            <w:vMerge w:val="restart"/>
          </w:tcPr>
          <w:p>
            <w:pPr>
              <w:ind w:left="520"/>
              <w:spacing w:after="0"/>
              <w:rPr>
                <w:sz w:val="20"/>
                <w:szCs w:val="20"/>
                <w:color w:val="auto"/>
              </w:rPr>
            </w:pPr>
            <w:r>
              <w:rPr>
                <w:rFonts w:ascii="Arial" w:cs="Arial" w:eastAsia="Arial" w:hAnsi="Arial"/>
                <w:sz w:val="14"/>
                <w:szCs w:val="14"/>
                <w:b w:val="1"/>
                <w:bCs w:val="1"/>
                <w:color w:val="auto"/>
              </w:rPr>
              <w:t>Fitch</w:t>
            </w:r>
          </w:p>
        </w:tc>
        <w:tc>
          <w:tcPr>
            <w:tcW w:w="16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6"/>
              </w:rPr>
              <w:t>Standard &amp;</w:t>
            </w:r>
          </w:p>
        </w:tc>
        <w:tc>
          <w:tcPr>
            <w:tcW w:w="14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Moody’s</w:t>
            </w:r>
          </w:p>
        </w:tc>
        <w:tc>
          <w:tcPr>
            <w:tcW w:w="0" w:type="dxa"/>
            <w:vAlign w:val="bottom"/>
          </w:tcPr>
          <w:p>
            <w:pPr>
              <w:spacing w:after="0"/>
              <w:rPr>
                <w:sz w:val="1"/>
                <w:szCs w:val="1"/>
                <w:color w:val="auto"/>
              </w:rPr>
            </w:pPr>
          </w:p>
        </w:tc>
      </w:tr>
      <w:tr>
        <w:trPr>
          <w:trHeight w:val="171"/>
        </w:trPr>
        <w:tc>
          <w:tcPr>
            <w:tcW w:w="5020" w:type="dxa"/>
            <w:vAlign w:val="bottom"/>
          </w:tcPr>
          <w:p>
            <w:pPr>
              <w:spacing w:after="0"/>
              <w:rPr>
                <w:sz w:val="14"/>
                <w:szCs w:val="14"/>
                <w:color w:val="auto"/>
              </w:rPr>
            </w:pPr>
          </w:p>
        </w:tc>
        <w:tc>
          <w:tcPr>
            <w:tcW w:w="1660" w:type="dxa"/>
            <w:vAlign w:val="bottom"/>
            <w:gridSpan w:val="2"/>
            <w:vMerge w:val="continue"/>
          </w:tcPr>
          <w:p>
            <w:pPr>
              <w:spacing w:after="0"/>
              <w:rPr>
                <w:sz w:val="14"/>
                <w:szCs w:val="14"/>
                <w:color w:val="auto"/>
              </w:rPr>
            </w:pPr>
          </w:p>
        </w:tc>
        <w:tc>
          <w:tcPr>
            <w:tcW w:w="1660" w:type="dxa"/>
            <w:vAlign w:val="bottom"/>
            <w:gridSpan w:val="2"/>
            <w:vMerge w:val="continue"/>
          </w:tcPr>
          <w:p>
            <w:pPr>
              <w:spacing w:after="0"/>
              <w:rPr>
                <w:sz w:val="14"/>
                <w:szCs w:val="14"/>
                <w:color w:val="auto"/>
              </w:rPr>
            </w:pPr>
          </w:p>
        </w:tc>
        <w:tc>
          <w:tcPr>
            <w:tcW w:w="16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Poor’s</w:t>
            </w:r>
          </w:p>
        </w:tc>
        <w:tc>
          <w:tcPr>
            <w:tcW w:w="14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502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Principal Financial Group</w:t>
            </w:r>
          </w:p>
        </w:tc>
        <w:tc>
          <w:tcPr>
            <w:tcW w:w="13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13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140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14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Senior Unsecured Debt (1)</w:t>
            </w:r>
          </w:p>
        </w:tc>
        <w:tc>
          <w:tcPr>
            <w:tcW w:w="1660" w:type="dxa"/>
            <w:vAlign w:val="bottom"/>
            <w:gridSpan w:val="2"/>
          </w:tcPr>
          <w:p>
            <w:pPr>
              <w:jc w:val="center"/>
              <w:ind w:right="280"/>
              <w:spacing w:after="0"/>
              <w:rPr>
                <w:sz w:val="20"/>
                <w:szCs w:val="20"/>
                <w:color w:val="auto"/>
              </w:rPr>
            </w:pPr>
            <w:r>
              <w:rPr>
                <w:rFonts w:ascii="Arial" w:cs="Arial" w:eastAsia="Arial" w:hAnsi="Arial"/>
                <w:sz w:val="18"/>
                <w:szCs w:val="18"/>
                <w:color w:val="auto"/>
                <w:w w:val="87"/>
              </w:rPr>
              <w:t>a-</w:t>
            </w: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80" w:type="dxa"/>
            <w:vAlign w:val="bottom"/>
            <w:gridSpan w:val="2"/>
          </w:tcPr>
          <w:p>
            <w:pPr>
              <w:jc w:val="center"/>
              <w:ind w:right="300"/>
              <w:spacing w:after="0"/>
              <w:rPr>
                <w:sz w:val="20"/>
                <w:szCs w:val="20"/>
                <w:color w:val="auto"/>
              </w:rPr>
            </w:pPr>
            <w:r>
              <w:rPr>
                <w:rFonts w:ascii="Arial" w:cs="Arial" w:eastAsia="Arial" w:hAnsi="Arial"/>
                <w:sz w:val="18"/>
                <w:szCs w:val="18"/>
                <w:color w:val="auto"/>
                <w:w w:val="98"/>
              </w:rPr>
              <w:t>BBB+</w:t>
            </w:r>
          </w:p>
        </w:tc>
        <w:tc>
          <w:tcPr>
            <w:tcW w:w="1400" w:type="dxa"/>
            <w:vAlign w:val="bottom"/>
          </w:tcPr>
          <w:p>
            <w:pPr>
              <w:jc w:val="center"/>
              <w:spacing w:after="0"/>
              <w:rPr>
                <w:sz w:val="20"/>
                <w:szCs w:val="20"/>
                <w:color w:val="auto"/>
              </w:rPr>
            </w:pPr>
            <w:r>
              <w:rPr>
                <w:rFonts w:ascii="Arial" w:cs="Arial" w:eastAsia="Arial" w:hAnsi="Arial"/>
                <w:sz w:val="18"/>
                <w:szCs w:val="18"/>
                <w:color w:val="auto"/>
                <w:w w:val="85"/>
              </w:rPr>
              <w:t>Baa2</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Junior Subordinated Debt (1) (2)</w:t>
            </w:r>
          </w:p>
        </w:tc>
        <w:tc>
          <w:tcPr>
            <w:tcW w:w="166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3"/>
              </w:rPr>
              <w:t>bbb+</w:t>
            </w:r>
          </w:p>
        </w:tc>
        <w:tc>
          <w:tcPr>
            <w:tcW w:w="1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9"/>
              </w:rPr>
              <w:t>BBB</w:t>
            </w: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Baa3</w:t>
            </w:r>
          </w:p>
        </w:tc>
        <w:tc>
          <w:tcPr>
            <w:tcW w:w="0" w:type="dxa"/>
            <w:vAlign w:val="bottom"/>
          </w:tcPr>
          <w:p>
            <w:pPr>
              <w:spacing w:after="0"/>
              <w:rPr>
                <w:sz w:val="1"/>
                <w:szCs w:val="1"/>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b w:val="1"/>
                <w:bCs w:val="1"/>
                <w:color w:val="auto"/>
              </w:rPr>
              <w:t>Principal Financial Services</w:t>
            </w: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Senior Unsecured Debt</w:t>
            </w:r>
          </w:p>
        </w:tc>
        <w:tc>
          <w:tcPr>
            <w:tcW w:w="166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87"/>
              </w:rPr>
              <w:t>a-</w:t>
            </w:r>
          </w:p>
        </w:tc>
        <w:tc>
          <w:tcPr>
            <w:tcW w:w="1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98"/>
              </w:rPr>
              <w:t>BBB+</w:t>
            </w: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Baa1</w:t>
            </w:r>
          </w:p>
        </w:tc>
        <w:tc>
          <w:tcPr>
            <w:tcW w:w="0" w:type="dxa"/>
            <w:vAlign w:val="bottom"/>
          </w:tcPr>
          <w:p>
            <w:pPr>
              <w:spacing w:after="0"/>
              <w:rPr>
                <w:sz w:val="1"/>
                <w:szCs w:val="1"/>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Commercial Paper</w:t>
            </w:r>
          </w:p>
        </w:tc>
        <w:tc>
          <w:tcPr>
            <w:tcW w:w="1660" w:type="dxa"/>
            <w:vAlign w:val="bottom"/>
            <w:gridSpan w:val="2"/>
          </w:tcPr>
          <w:p>
            <w:pPr>
              <w:jc w:val="center"/>
              <w:ind w:right="300"/>
              <w:spacing w:after="0"/>
              <w:rPr>
                <w:sz w:val="20"/>
                <w:szCs w:val="20"/>
                <w:color w:val="auto"/>
              </w:rPr>
            </w:pPr>
            <w:r>
              <w:rPr>
                <w:rFonts w:ascii="Arial" w:cs="Arial" w:eastAsia="Arial" w:hAnsi="Arial"/>
                <w:sz w:val="18"/>
                <w:szCs w:val="18"/>
                <w:color w:val="auto"/>
              </w:rPr>
              <w:t>AMB-1</w:t>
            </w: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80" w:type="dxa"/>
            <w:vAlign w:val="bottom"/>
            <w:gridSpan w:val="2"/>
          </w:tcPr>
          <w:p>
            <w:pPr>
              <w:jc w:val="center"/>
              <w:ind w:right="280"/>
              <w:spacing w:after="0"/>
              <w:rPr>
                <w:sz w:val="20"/>
                <w:szCs w:val="20"/>
                <w:color w:val="auto"/>
              </w:rPr>
            </w:pPr>
            <w:r>
              <w:rPr>
                <w:rFonts w:ascii="Arial" w:cs="Arial" w:eastAsia="Arial" w:hAnsi="Arial"/>
                <w:sz w:val="18"/>
                <w:szCs w:val="18"/>
                <w:color w:val="auto"/>
                <w:w w:val="99"/>
              </w:rPr>
              <w:t>A-2</w:t>
            </w:r>
          </w:p>
        </w:tc>
        <w:tc>
          <w:tcPr>
            <w:tcW w:w="1400" w:type="dxa"/>
            <w:vAlign w:val="bottom"/>
          </w:tcPr>
          <w:p>
            <w:pPr>
              <w:jc w:val="center"/>
              <w:spacing w:after="0"/>
              <w:rPr>
                <w:sz w:val="20"/>
                <w:szCs w:val="20"/>
                <w:color w:val="auto"/>
              </w:rPr>
            </w:pPr>
            <w:r>
              <w:rPr>
                <w:rFonts w:ascii="Arial" w:cs="Arial" w:eastAsia="Arial" w:hAnsi="Arial"/>
                <w:sz w:val="18"/>
                <w:szCs w:val="18"/>
                <w:color w:val="auto"/>
                <w:w w:val="85"/>
              </w:rPr>
              <w:t>P-2</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Principal Life Insurance Company</w:t>
            </w:r>
          </w:p>
        </w:tc>
        <w:tc>
          <w:tcPr>
            <w:tcW w:w="1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Insurer Financial Strength</w:t>
            </w:r>
          </w:p>
        </w:tc>
        <w:tc>
          <w:tcPr>
            <w:tcW w:w="1660" w:type="dxa"/>
            <w:vAlign w:val="bottom"/>
            <w:gridSpan w:val="2"/>
          </w:tcPr>
          <w:p>
            <w:pPr>
              <w:jc w:val="center"/>
              <w:ind w:right="280"/>
              <w:spacing w:after="0"/>
              <w:rPr>
                <w:sz w:val="20"/>
                <w:szCs w:val="20"/>
                <w:color w:val="auto"/>
              </w:rPr>
            </w:pPr>
            <w:r>
              <w:rPr>
                <w:rFonts w:ascii="Arial" w:cs="Arial" w:eastAsia="Arial" w:hAnsi="Arial"/>
                <w:sz w:val="18"/>
                <w:szCs w:val="18"/>
                <w:color w:val="auto"/>
                <w:w w:val="97"/>
              </w:rPr>
              <w:t>A+</w:t>
            </w:r>
          </w:p>
        </w:tc>
        <w:tc>
          <w:tcPr>
            <w:tcW w:w="1660" w:type="dxa"/>
            <w:vAlign w:val="bottom"/>
            <w:gridSpan w:val="2"/>
          </w:tcPr>
          <w:p>
            <w:pPr>
              <w:ind w:left="520"/>
              <w:spacing w:after="0"/>
              <w:rPr>
                <w:sz w:val="20"/>
                <w:szCs w:val="20"/>
                <w:color w:val="auto"/>
              </w:rPr>
            </w:pPr>
            <w:r>
              <w:rPr>
                <w:rFonts w:ascii="Arial" w:cs="Arial" w:eastAsia="Arial" w:hAnsi="Arial"/>
                <w:sz w:val="18"/>
                <w:szCs w:val="18"/>
                <w:color w:val="auto"/>
              </w:rPr>
              <w:t>AA-</w:t>
            </w:r>
          </w:p>
        </w:tc>
        <w:tc>
          <w:tcPr>
            <w:tcW w:w="1680" w:type="dxa"/>
            <w:vAlign w:val="bottom"/>
            <w:gridSpan w:val="2"/>
          </w:tcPr>
          <w:p>
            <w:pPr>
              <w:jc w:val="center"/>
              <w:ind w:right="280"/>
              <w:spacing w:after="0"/>
              <w:rPr>
                <w:sz w:val="20"/>
                <w:szCs w:val="20"/>
                <w:color w:val="auto"/>
              </w:rPr>
            </w:pPr>
            <w:r>
              <w:rPr>
                <w:rFonts w:ascii="Arial" w:cs="Arial" w:eastAsia="Arial" w:hAnsi="Arial"/>
                <w:sz w:val="18"/>
                <w:szCs w:val="18"/>
                <w:color w:val="auto"/>
              </w:rPr>
              <w:t>A+</w:t>
            </w:r>
          </w:p>
        </w:tc>
        <w:tc>
          <w:tcPr>
            <w:tcW w:w="1400" w:type="dxa"/>
            <w:vAlign w:val="bottom"/>
          </w:tcPr>
          <w:p>
            <w:pPr>
              <w:jc w:val="center"/>
              <w:spacing w:after="0"/>
              <w:rPr>
                <w:sz w:val="20"/>
                <w:szCs w:val="20"/>
                <w:color w:val="auto"/>
              </w:rPr>
            </w:pPr>
            <w:r>
              <w:rPr>
                <w:rFonts w:ascii="Arial" w:cs="Arial" w:eastAsia="Arial" w:hAnsi="Arial"/>
                <w:sz w:val="18"/>
                <w:szCs w:val="18"/>
                <w:color w:val="auto"/>
                <w:w w:val="99"/>
              </w:rPr>
              <w:t>A1</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Issuer Credit Rating</w:t>
            </w:r>
          </w:p>
        </w:tc>
        <w:tc>
          <w:tcPr>
            <w:tcW w:w="166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84"/>
              </w:rPr>
              <w:t>aa-</w:t>
            </w:r>
          </w:p>
        </w:tc>
        <w:tc>
          <w:tcPr>
            <w:tcW w:w="1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Commercial Paper</w:t>
            </w:r>
          </w:p>
        </w:tc>
        <w:tc>
          <w:tcPr>
            <w:tcW w:w="1660" w:type="dxa"/>
            <w:vAlign w:val="bottom"/>
            <w:gridSpan w:val="2"/>
          </w:tcPr>
          <w:p>
            <w:pPr>
              <w:jc w:val="center"/>
              <w:ind w:right="280"/>
              <w:spacing w:after="0"/>
              <w:rPr>
                <w:sz w:val="20"/>
                <w:szCs w:val="20"/>
                <w:color w:val="auto"/>
              </w:rPr>
            </w:pPr>
            <w:r>
              <w:rPr>
                <w:rFonts w:ascii="Arial" w:cs="Arial" w:eastAsia="Arial" w:hAnsi="Arial"/>
                <w:sz w:val="18"/>
                <w:szCs w:val="18"/>
                <w:color w:val="auto"/>
              </w:rPr>
              <w:t>AMB-1+</w:t>
            </w: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80" w:type="dxa"/>
            <w:vAlign w:val="bottom"/>
            <w:gridSpan w:val="2"/>
          </w:tcPr>
          <w:p>
            <w:pPr>
              <w:jc w:val="center"/>
              <w:ind w:right="300"/>
              <w:spacing w:after="0"/>
              <w:rPr>
                <w:sz w:val="20"/>
                <w:szCs w:val="20"/>
                <w:color w:val="auto"/>
              </w:rPr>
            </w:pPr>
            <w:r>
              <w:rPr>
                <w:rFonts w:ascii="Arial" w:cs="Arial" w:eastAsia="Arial" w:hAnsi="Arial"/>
                <w:sz w:val="18"/>
                <w:szCs w:val="18"/>
                <w:color w:val="auto"/>
                <w:w w:val="98"/>
              </w:rPr>
              <w:t>A-1+</w:t>
            </w:r>
          </w:p>
        </w:tc>
        <w:tc>
          <w:tcPr>
            <w:tcW w:w="1400" w:type="dxa"/>
            <w:vAlign w:val="bottom"/>
          </w:tcPr>
          <w:p>
            <w:pPr>
              <w:jc w:val="center"/>
              <w:spacing w:after="0"/>
              <w:rPr>
                <w:sz w:val="20"/>
                <w:szCs w:val="20"/>
                <w:color w:val="auto"/>
              </w:rPr>
            </w:pPr>
            <w:r>
              <w:rPr>
                <w:rFonts w:ascii="Arial" w:cs="Arial" w:eastAsia="Arial" w:hAnsi="Arial"/>
                <w:sz w:val="18"/>
                <w:szCs w:val="18"/>
                <w:color w:val="auto"/>
                <w:w w:val="85"/>
              </w:rPr>
              <w:t>P-1</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Enterprise Risk Management Rating</w:t>
            </w:r>
          </w:p>
        </w:tc>
        <w:tc>
          <w:tcPr>
            <w:tcW w:w="1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0"/>
              </w:rPr>
              <w:t>Strong</w:t>
            </w:r>
          </w:p>
        </w:tc>
        <w:tc>
          <w:tcPr>
            <w:tcW w:w="1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b w:val="1"/>
                <w:bCs w:val="1"/>
                <w:color w:val="auto"/>
              </w:rPr>
              <w:t>Principal National Life Insurance Company</w:t>
            </w: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Insurer Financial Strength</w:t>
            </w:r>
          </w:p>
        </w:tc>
        <w:tc>
          <w:tcPr>
            <w:tcW w:w="166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7"/>
              </w:rPr>
              <w:t>A+</w:t>
            </w:r>
          </w:p>
        </w:tc>
        <w:tc>
          <w:tcPr>
            <w:tcW w:w="16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AA-</w:t>
            </w:r>
          </w:p>
        </w:tc>
        <w:tc>
          <w:tcPr>
            <w:tcW w:w="168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rPr>
              <w:t>A+</w:t>
            </w: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A1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60" w:hanging="352"/>
        <w:spacing w:after="0"/>
        <w:tabs>
          <w:tab w:leader="none" w:pos="3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Principal Financial Group’s senior debt issuance has been rated “Baa1” by Moody’s.</w:t>
      </w:r>
    </w:p>
    <w:p>
      <w:pPr>
        <w:spacing w:after="0" w:line="23" w:lineRule="exact"/>
        <w:rPr>
          <w:rFonts w:ascii="Arial" w:cs="Arial" w:eastAsia="Arial" w:hAnsi="Arial"/>
          <w:sz w:val="18"/>
          <w:szCs w:val="18"/>
          <w:color w:val="auto"/>
        </w:rPr>
      </w:pPr>
    </w:p>
    <w:p>
      <w:pPr>
        <w:ind w:left="360" w:hanging="352"/>
        <w:spacing w:after="0"/>
        <w:tabs>
          <w:tab w:leader="none" w:pos="3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Principal Financial Group’s junior subordinated debt issuance has been rated “BBB-” by S&amp;P, and “Baa2” by Moody’s.</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w:t>
      </w:r>
    </w:p>
    <w:p>
      <w:pPr>
        <w:spacing w:after="0" w:line="229"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Fair value is defined as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The fair value hierarchy gives the highest priority (Level 1) to quoted prices in active markets for identical assets or liabilities and gives the lowest priority (Level 3) to unobservable inputs. An asset or liability’s classification within the fair value hierarchy is based on the lowest level of significant input to its valuation. See Item 1. “Financial Statements, Notes to Unaudited Consolidated Financial Statements, Note 10, Fair Value Measurements” for further details, including a reconciliation of changes in Level 3 fair value measurements.</w:t>
      </w:r>
    </w:p>
    <w:p>
      <w:pPr>
        <w:sectPr>
          <w:pgSz w:w="11900" w:h="16838" w:orient="portrait"/>
          <w:cols w:equalWidth="0" w:num="1">
            <w:col w:w="11420"/>
          </w:cols>
          <w:pgMar w:left="240" w:top="125" w:right="239" w:bottom="107" w:gutter="0" w:footer="0" w:header="0"/>
        </w:sectPr>
      </w:pPr>
    </w:p>
    <w:bookmarkStart w:id="78" w:name="page79"/>
    <w:bookmarkEnd w:id="78"/>
    <w:p>
      <w:pPr>
        <w:spacing w:after="0" w:line="74" w:lineRule="exact"/>
        <w:rPr>
          <w:sz w:val="20"/>
          <w:szCs w:val="20"/>
          <w:color w:val="auto"/>
        </w:rPr>
      </w:pPr>
    </w:p>
    <w:p>
      <w:pPr>
        <w:ind w:right="380" w:firstLine="648"/>
        <w:spacing w:after="0" w:line="308" w:lineRule="auto"/>
        <w:rPr>
          <w:sz w:val="20"/>
          <w:szCs w:val="20"/>
          <w:color w:val="auto"/>
        </w:rPr>
      </w:pPr>
      <w:r>
        <w:rPr>
          <w:rFonts w:ascii="Arial" w:cs="Arial" w:eastAsia="Arial" w:hAnsi="Arial"/>
          <w:sz w:val="17"/>
          <w:szCs w:val="17"/>
          <w:color w:val="auto"/>
        </w:rPr>
        <w:t>As of September 30, 2015, 38% of our net assets (liabilities) were Level 1, 58% were Level 2 and 4% were Level 3. Excluding separate account assets as of September 30, 2015, 3% of our net assets (liabilities) were Level 1, 96% were Level 2 and 1% were Level 3.</w:t>
      </w:r>
    </w:p>
    <w:p>
      <w:pPr>
        <w:spacing w:after="0" w:line="147"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As of December 31, 2014, 39% of our net assets (liabilities) were Level 1, 58% were Level 2 and 3% were Level 3. Excluding separate account assets as of December 31, 2014, 2% of our net assets (liabilities) were Level 1, 97% were Level 2 and 1% were Level 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Level 3 Fair Value Measurements</w:t>
      </w:r>
    </w:p>
    <w:p>
      <w:pPr>
        <w:spacing w:after="0" w:line="225" w:lineRule="exact"/>
        <w:rPr>
          <w:sz w:val="20"/>
          <w:szCs w:val="20"/>
          <w:color w:val="auto"/>
        </w:rPr>
      </w:pPr>
    </w:p>
    <w:p>
      <w:pPr>
        <w:jc w:val="both"/>
        <w:ind w:right="340" w:firstLine="648"/>
        <w:spacing w:after="0" w:line="264" w:lineRule="auto"/>
        <w:rPr>
          <w:sz w:val="20"/>
          <w:szCs w:val="20"/>
          <w:color w:val="auto"/>
        </w:rPr>
      </w:pPr>
      <w:r>
        <w:rPr>
          <w:rFonts w:ascii="Arial" w:cs="Arial" w:eastAsia="Arial" w:hAnsi="Arial"/>
          <w:sz w:val="18"/>
          <w:szCs w:val="18"/>
          <w:color w:val="auto"/>
        </w:rPr>
        <w:t>Net assets (liabilities) measured at fair value on a recurring basis using significant unobservable inputs (Level 3) as of September 30, 2015, were $7,020.2 million as compared to $6,350.1 million as of December 31, 2014. The increase was primarily related to gains on other invested assets and real estate included in our separate account assets.</w:t>
      </w:r>
    </w:p>
    <w:p>
      <w:pPr>
        <w:spacing w:after="0" w:line="181" w:lineRule="exact"/>
        <w:rPr>
          <w:sz w:val="20"/>
          <w:szCs w:val="20"/>
          <w:color w:val="auto"/>
        </w:rPr>
      </w:pPr>
    </w:p>
    <w:p>
      <w:pPr>
        <w:jc w:val="both"/>
        <w:ind w:right="340" w:firstLine="648"/>
        <w:spacing w:after="0" w:line="264" w:lineRule="auto"/>
        <w:rPr>
          <w:sz w:val="20"/>
          <w:szCs w:val="20"/>
          <w:color w:val="auto"/>
        </w:rPr>
      </w:pPr>
      <w:r>
        <w:rPr>
          <w:rFonts w:ascii="Arial" w:cs="Arial" w:eastAsia="Arial" w:hAnsi="Arial"/>
          <w:sz w:val="18"/>
          <w:szCs w:val="18"/>
          <w:color w:val="auto"/>
        </w:rPr>
        <w:t>Net assets (liabilities) measured at fair value on a recurring basis using significant unobservable inputs (Level 3) as of September 30, 2014, were $6,301.1 million as compared to $5,885.5 million as of December 31, 2013. The increase was primarily related to gains on other invested assets and real estate included in our separate account assets.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w:t>
      </w:r>
    </w:p>
    <w:p>
      <w:pPr>
        <w:spacing w:after="0" w:line="229" w:lineRule="exact"/>
        <w:rPr>
          <w:sz w:val="20"/>
          <w:szCs w:val="20"/>
          <w:color w:val="auto"/>
        </w:rPr>
      </w:pPr>
    </w:p>
    <w:p>
      <w:pPr>
        <w:jc w:val="both"/>
        <w:ind w:right="180" w:firstLine="648"/>
        <w:spacing w:after="0" w:line="286" w:lineRule="auto"/>
        <w:rPr>
          <w:sz w:val="20"/>
          <w:szCs w:val="20"/>
          <w:color w:val="auto"/>
        </w:rPr>
      </w:pPr>
      <w:r>
        <w:rPr>
          <w:rFonts w:ascii="Arial" w:cs="Arial" w:eastAsia="Arial" w:hAnsi="Arial"/>
          <w:sz w:val="17"/>
          <w:szCs w:val="17"/>
          <w:color w:val="auto"/>
        </w:rPr>
        <w:t>We had total consolidated assets as of September 30, 2015, of $215,365.4 million, of which $69,565.5 million were invested assets. The rest of our total consolidated assets are comprised primarily of separate account assets for which we do not bear investment risk. Because we generally do not bear any investment risk on assets held in separate accounts, the discussion and financial information below does not include such assets.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Overall Composition of Invested Assets</w:t>
      </w:r>
    </w:p>
    <w:p>
      <w:pPr>
        <w:spacing w:after="0" w:line="229" w:lineRule="exact"/>
        <w:rPr>
          <w:sz w:val="20"/>
          <w:szCs w:val="20"/>
          <w:color w:val="auto"/>
        </w:rPr>
      </w:pPr>
    </w:p>
    <w:p>
      <w:pPr>
        <w:jc w:val="both"/>
        <w:ind w:right="100" w:firstLine="648"/>
        <w:spacing w:after="0" w:line="279" w:lineRule="auto"/>
        <w:rPr>
          <w:sz w:val="20"/>
          <w:szCs w:val="20"/>
          <w:color w:val="auto"/>
        </w:rPr>
      </w:pPr>
      <w:r>
        <w:rPr>
          <w:rFonts w:ascii="Arial" w:cs="Arial" w:eastAsia="Arial" w:hAnsi="Arial"/>
          <w:sz w:val="17"/>
          <w:szCs w:val="17"/>
          <w:color w:val="auto"/>
        </w:rPr>
        <w:t>Invested assets as of September 30, 2015, were predominantly high quality and broadly diversified across asset class, individual credit, industry and geographic location. Asset allocation is determined based on cash flow and the risk/return requirements of our products. As shown in the following table, the major categories of invested assets are fixed maturities and commercial mortgage loans. The remainder is invested in other investments, residential mortgage loans, real estate and equity securities. In addition, policy loans are included in our invested assets.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40" w:type="dxa"/>
            <w:vAlign w:val="bottom"/>
            <w:gridSpan w:val="3"/>
          </w:tcPr>
          <w:p>
            <w:pPr>
              <w:ind w:left="780"/>
              <w:spacing w:after="0"/>
              <w:rPr>
                <w:sz w:val="20"/>
                <w:szCs w:val="20"/>
                <w:color w:val="auto"/>
              </w:rPr>
            </w:pPr>
            <w:r>
              <w:rPr>
                <w:rFonts w:ascii="Arial" w:cs="Arial" w:eastAsia="Arial" w:hAnsi="Arial"/>
                <w:sz w:val="14"/>
                <w:szCs w:val="14"/>
                <w:b w:val="1"/>
                <w:bCs w:val="1"/>
                <w:color w:val="auto"/>
              </w:rPr>
              <w:t>September 30, 2015</w:t>
            </w: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40" w:type="dxa"/>
            <w:vAlign w:val="bottom"/>
            <w:gridSpan w:val="5"/>
          </w:tcPr>
          <w:p>
            <w:pPr>
              <w:jc w:val="right"/>
              <w:ind w:right="1080"/>
              <w:spacing w:after="0"/>
              <w:rPr>
                <w:sz w:val="20"/>
                <w:szCs w:val="20"/>
                <w:color w:val="auto"/>
              </w:rPr>
            </w:pPr>
            <w:r>
              <w:rPr>
                <w:rFonts w:ascii="Arial" w:cs="Arial" w:eastAsia="Arial" w:hAnsi="Arial"/>
                <w:sz w:val="14"/>
                <w:szCs w:val="14"/>
                <w:b w:val="1"/>
                <w:bCs w:val="1"/>
                <w:color w:val="auto"/>
              </w:rPr>
              <w:t>December 31, 2014</w:t>
            </w: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520" w:type="dxa"/>
            <w:vAlign w:val="bottom"/>
            <w:tcBorders>
              <w:top w:val="single" w:sz="8" w:color="auto"/>
              <w:bottom w:val="single" w:sz="8" w:color="auto"/>
            </w:tcBorders>
            <w:gridSpan w:val="2"/>
          </w:tcPr>
          <w:p>
            <w:pPr>
              <w:jc w:val="right"/>
              <w:ind w:right="420"/>
              <w:spacing w:after="0" w:line="142" w:lineRule="exact"/>
              <w:rPr>
                <w:sz w:val="20"/>
                <w:szCs w:val="20"/>
                <w:color w:val="auto"/>
              </w:rPr>
            </w:pPr>
            <w:r>
              <w:rPr>
                <w:rFonts w:ascii="Arial" w:cs="Arial" w:eastAsia="Arial" w:hAnsi="Arial"/>
                <w:sz w:val="14"/>
                <w:szCs w:val="14"/>
                <w:b w:val="1"/>
                <w:bCs w:val="1"/>
                <w:color w:val="auto"/>
                <w:w w:val="96"/>
              </w:rPr>
              <w:t>Carrying amount</w:t>
            </w:r>
          </w:p>
        </w:tc>
        <w:tc>
          <w:tcPr>
            <w:tcW w:w="1020" w:type="dxa"/>
            <w:vAlign w:val="bottom"/>
            <w:tcBorders>
              <w:top w:val="single" w:sz="8" w:color="auto"/>
              <w:bottom w:val="single" w:sz="8" w:color="auto"/>
            </w:tcBorders>
          </w:tcPr>
          <w:p>
            <w:pPr>
              <w:ind w:left="360"/>
              <w:spacing w:after="0" w:line="142" w:lineRule="exact"/>
              <w:rPr>
                <w:sz w:val="20"/>
                <w:szCs w:val="20"/>
                <w:color w:val="auto"/>
              </w:rPr>
            </w:pPr>
            <w:r>
              <w:rPr>
                <w:rFonts w:ascii="Arial" w:cs="Arial" w:eastAsia="Arial" w:hAnsi="Arial"/>
                <w:sz w:val="14"/>
                <w:szCs w:val="14"/>
                <w:b w:val="1"/>
                <w:bCs w:val="1"/>
                <w:color w:val="auto"/>
              </w:rPr>
              <w:t>% of total</w:t>
            </w:r>
          </w:p>
        </w:tc>
        <w:tc>
          <w:tcPr>
            <w:tcW w:w="340" w:type="dxa"/>
            <w:vAlign w:val="bottom"/>
            <w:tcBorders>
              <w:top w:val="single" w:sz="8" w:color="auto"/>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260" w:type="dxa"/>
            <w:vAlign w:val="bottom"/>
            <w:tcBorders>
              <w:top w:val="single" w:sz="8" w:color="auto"/>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rPr>
              <w:t>Carrying amount</w:t>
            </w:r>
          </w:p>
        </w:tc>
        <w:tc>
          <w:tcPr>
            <w:tcW w:w="260" w:type="dxa"/>
            <w:vAlign w:val="bottom"/>
            <w:tcBorders>
              <w:top w:val="single" w:sz="8" w:color="auto"/>
              <w:bottom w:val="single" w:sz="8" w:color="auto"/>
            </w:tcBorders>
          </w:tcPr>
          <w:p>
            <w:pPr>
              <w:spacing w:after="0"/>
              <w:rPr>
                <w:sz w:val="12"/>
                <w:szCs w:val="12"/>
                <w:color w:val="auto"/>
              </w:rPr>
            </w:pPr>
          </w:p>
        </w:tc>
        <w:tc>
          <w:tcPr>
            <w:tcW w:w="1360" w:type="dxa"/>
            <w:vAlign w:val="bottom"/>
            <w:tcBorders>
              <w:top w:val="single" w:sz="8" w:color="auto"/>
              <w:bottom w:val="single" w:sz="8" w:color="auto"/>
            </w:tcBorders>
          </w:tcPr>
          <w:p>
            <w:pPr>
              <w:jc w:val="right"/>
              <w:ind w:right="296"/>
              <w:spacing w:after="0" w:line="142" w:lineRule="exact"/>
              <w:rPr>
                <w:sz w:val="20"/>
                <w:szCs w:val="20"/>
                <w:color w:val="auto"/>
              </w:rPr>
            </w:pPr>
            <w:r>
              <w:rPr>
                <w:rFonts w:ascii="Arial" w:cs="Arial" w:eastAsia="Arial" w:hAnsi="Arial"/>
                <w:sz w:val="14"/>
                <w:szCs w:val="14"/>
                <w:b w:val="1"/>
                <w:bCs w:val="1"/>
                <w:color w:val="auto"/>
              </w:rPr>
              <w:t>% of 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000" w:type="dxa"/>
            <w:vAlign w:val="bottom"/>
            <w:gridSpan w:val="5"/>
          </w:tcPr>
          <w:p>
            <w:pPr>
              <w:ind w:left="60"/>
              <w:spacing w:after="0" w:line="142" w:lineRule="exact"/>
              <w:rPr>
                <w:sz w:val="20"/>
                <w:szCs w:val="20"/>
                <w:color w:val="auto"/>
              </w:rPr>
            </w:pPr>
            <w:r>
              <w:rPr>
                <w:rFonts w:ascii="Arial" w:cs="Arial" w:eastAsia="Arial" w:hAnsi="Arial"/>
                <w:sz w:val="14"/>
                <w:szCs w:val="14"/>
                <w:b w:val="1"/>
                <w:bCs w:val="1"/>
                <w:color w:val="auto"/>
              </w:rPr>
              <w:t>($ in millions)</w:t>
            </w:r>
          </w:p>
        </w:tc>
        <w:tc>
          <w:tcPr>
            <w:tcW w:w="26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w:t>
            </w: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200"/>
              <w:spacing w:after="0"/>
              <w:rPr>
                <w:sz w:val="20"/>
                <w:szCs w:val="20"/>
                <w:color w:val="auto"/>
              </w:rPr>
            </w:pPr>
            <w:r>
              <w:rPr>
                <w:rFonts w:ascii="Arial" w:cs="Arial" w:eastAsia="Arial" w:hAnsi="Arial"/>
                <w:sz w:val="18"/>
                <w:szCs w:val="18"/>
                <w:color w:val="auto"/>
              </w:rPr>
              <w:t>Public</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34,961.6</w:t>
            </w:r>
          </w:p>
        </w:tc>
        <w:tc>
          <w:tcPr>
            <w:tcW w:w="1020" w:type="dxa"/>
            <w:vAlign w:val="bottom"/>
          </w:tcPr>
          <w:p>
            <w:pPr>
              <w:spacing w:after="0"/>
              <w:rPr>
                <w:sz w:val="18"/>
                <w:szCs w:val="18"/>
                <w:color w:val="auto"/>
              </w:rPr>
            </w:pPr>
          </w:p>
        </w:tc>
        <w:tc>
          <w:tcPr>
            <w:tcW w:w="740" w:type="dxa"/>
            <w:vAlign w:val="bottom"/>
            <w:gridSpan w:val="3"/>
          </w:tcPr>
          <w:p>
            <w:pPr>
              <w:jc w:val="right"/>
              <w:spacing w:after="0"/>
              <w:rPr>
                <w:sz w:val="20"/>
                <w:szCs w:val="20"/>
                <w:color w:val="auto"/>
              </w:rPr>
            </w:pPr>
            <w:r>
              <w:rPr>
                <w:rFonts w:ascii="Arial" w:cs="Arial" w:eastAsia="Arial" w:hAnsi="Arial"/>
                <w:sz w:val="18"/>
                <w:szCs w:val="18"/>
                <w:b w:val="1"/>
                <w:bCs w:val="1"/>
                <w:color w:val="auto"/>
              </w:rPr>
              <w:t xml:space="preserve">50% </w:t>
            </w:r>
            <w:r>
              <w:rPr>
                <w:rFonts w:ascii="Arial" w:cs="Arial" w:eastAsia="Arial" w:hAnsi="Arial"/>
                <w:sz w:val="18"/>
                <w:szCs w:val="18"/>
                <w:color w:val="auto"/>
              </w:rPr>
              <w:t>$</w:t>
            </w: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34,863.2</w:t>
            </w:r>
          </w:p>
        </w:tc>
        <w:tc>
          <w:tcPr>
            <w:tcW w:w="1780" w:type="dxa"/>
            <w:vAlign w:val="bottom"/>
            <w:gridSpan w:val="3"/>
          </w:tcPr>
          <w:p>
            <w:pPr>
              <w:jc w:val="right"/>
              <w:ind w:right="2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Private</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15,529.2</w:t>
            </w:r>
          </w:p>
        </w:tc>
        <w:tc>
          <w:tcPr>
            <w:tcW w:w="10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22</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15,412.2</w:t>
            </w:r>
          </w:p>
        </w:tc>
        <w:tc>
          <w:tcPr>
            <w:tcW w:w="1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Arial" w:cs="Arial" w:eastAsia="Arial" w:hAnsi="Arial"/>
                <w:sz w:val="18"/>
                <w:szCs w:val="18"/>
                <w:color w:val="auto"/>
              </w:rPr>
              <w:t>Equity securities</w:t>
            </w:r>
          </w:p>
        </w:tc>
        <w:tc>
          <w:tcPr>
            <w:tcW w:w="12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1,334.4</w:t>
            </w:r>
          </w:p>
        </w:tc>
        <w:tc>
          <w:tcPr>
            <w:tcW w:w="1020" w:type="dxa"/>
            <w:vAlign w:val="bottom"/>
          </w:tcPr>
          <w:p>
            <w:pPr>
              <w:spacing w:after="0"/>
              <w:rPr>
                <w:sz w:val="18"/>
                <w:szCs w:val="18"/>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w:t>
            </w:r>
          </w:p>
        </w:tc>
        <w:tc>
          <w:tcPr>
            <w:tcW w:w="12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963.2</w:t>
            </w:r>
          </w:p>
        </w:tc>
        <w:tc>
          <w:tcPr>
            <w:tcW w:w="1780" w:type="dxa"/>
            <w:vAlign w:val="bottom"/>
            <w:gridSpan w:val="3"/>
          </w:tcPr>
          <w:p>
            <w:pPr>
              <w:jc w:val="right"/>
              <w:ind w:right="1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Mortgage loans:</w:t>
            </w: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200"/>
              <w:spacing w:after="0"/>
              <w:rPr>
                <w:sz w:val="20"/>
                <w:szCs w:val="20"/>
                <w:color w:val="auto"/>
              </w:rPr>
            </w:pPr>
            <w:r>
              <w:rPr>
                <w:rFonts w:ascii="Arial" w:cs="Arial" w:eastAsia="Arial" w:hAnsi="Arial"/>
                <w:sz w:val="18"/>
                <w:szCs w:val="18"/>
                <w:color w:val="auto"/>
              </w:rPr>
              <w:t>Commercial</w:t>
            </w:r>
          </w:p>
        </w:tc>
        <w:tc>
          <w:tcPr>
            <w:tcW w:w="12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11,149.3</w:t>
            </w:r>
          </w:p>
        </w:tc>
        <w:tc>
          <w:tcPr>
            <w:tcW w:w="1020" w:type="dxa"/>
            <w:vAlign w:val="bottom"/>
          </w:tcPr>
          <w:p>
            <w:pPr>
              <w:spacing w:after="0"/>
              <w:rPr>
                <w:sz w:val="18"/>
                <w:szCs w:val="18"/>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16</w:t>
            </w:r>
          </w:p>
        </w:tc>
        <w:tc>
          <w:tcPr>
            <w:tcW w:w="12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10,696.9</w:t>
            </w:r>
          </w:p>
        </w:tc>
        <w:tc>
          <w:tcPr>
            <w:tcW w:w="1780" w:type="dxa"/>
            <w:vAlign w:val="bottom"/>
            <w:gridSpan w:val="3"/>
          </w:tcPr>
          <w:p>
            <w:pPr>
              <w:jc w:val="right"/>
              <w:ind w:right="16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Residential</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1,082.8</w:t>
            </w:r>
          </w:p>
        </w:tc>
        <w:tc>
          <w:tcPr>
            <w:tcW w:w="10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1,114.7</w:t>
            </w:r>
          </w:p>
        </w:tc>
        <w:tc>
          <w:tcPr>
            <w:tcW w:w="1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Arial" w:cs="Arial" w:eastAsia="Arial" w:hAnsi="Arial"/>
                <w:sz w:val="18"/>
                <w:szCs w:val="18"/>
                <w:color w:val="auto"/>
              </w:rPr>
              <w:t>Real estate held for sale</w:t>
            </w:r>
          </w:p>
        </w:tc>
        <w:tc>
          <w:tcPr>
            <w:tcW w:w="12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158.6</w:t>
            </w:r>
          </w:p>
        </w:tc>
        <w:tc>
          <w:tcPr>
            <w:tcW w:w="1020" w:type="dxa"/>
            <w:vAlign w:val="bottom"/>
          </w:tcPr>
          <w:p>
            <w:pPr>
              <w:spacing w:after="0"/>
              <w:rPr>
                <w:sz w:val="18"/>
                <w:szCs w:val="18"/>
                <w:color w:val="auto"/>
              </w:rPr>
            </w:pPr>
          </w:p>
        </w:tc>
        <w:tc>
          <w:tcPr>
            <w:tcW w:w="740" w:type="dxa"/>
            <w:vAlign w:val="bottom"/>
            <w:gridSpan w:val="3"/>
          </w:tcPr>
          <w:p>
            <w:pPr>
              <w:jc w:val="right"/>
              <w:ind w:right="325"/>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174.0</w:t>
            </w:r>
          </w:p>
        </w:tc>
        <w:tc>
          <w:tcPr>
            <w:tcW w:w="26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Real estate held for investment</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1,256.4</w:t>
            </w:r>
          </w:p>
        </w:tc>
        <w:tc>
          <w:tcPr>
            <w:tcW w:w="10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1,170.6</w:t>
            </w:r>
          </w:p>
        </w:tc>
        <w:tc>
          <w:tcPr>
            <w:tcW w:w="20" w:type="dxa"/>
            <w:vAlign w:val="bottom"/>
            <w:shd w:val="clear" w:color="auto" w:fill="CCEEFF"/>
          </w:tcPr>
          <w:p>
            <w:pPr>
              <w:spacing w:after="0"/>
              <w:rPr>
                <w:sz w:val="18"/>
                <w:szCs w:val="18"/>
                <w:color w:val="auto"/>
              </w:rPr>
            </w:pPr>
          </w:p>
        </w:tc>
        <w:tc>
          <w:tcPr>
            <w:tcW w:w="1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Arial" w:cs="Arial" w:eastAsia="Arial" w:hAnsi="Arial"/>
                <w:sz w:val="18"/>
                <w:szCs w:val="18"/>
                <w:color w:val="auto"/>
              </w:rPr>
              <w:t>Policy loans</w:t>
            </w:r>
          </w:p>
        </w:tc>
        <w:tc>
          <w:tcPr>
            <w:tcW w:w="12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822.8</w:t>
            </w:r>
          </w:p>
        </w:tc>
        <w:tc>
          <w:tcPr>
            <w:tcW w:w="1020" w:type="dxa"/>
            <w:vAlign w:val="bottom"/>
          </w:tcPr>
          <w:p>
            <w:pPr>
              <w:spacing w:after="0"/>
              <w:rPr>
                <w:sz w:val="18"/>
                <w:szCs w:val="18"/>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w:t>
            </w:r>
          </w:p>
        </w:tc>
        <w:tc>
          <w:tcPr>
            <w:tcW w:w="12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829.2</w:t>
            </w:r>
          </w:p>
        </w:tc>
        <w:tc>
          <w:tcPr>
            <w:tcW w:w="1780" w:type="dxa"/>
            <w:vAlign w:val="bottom"/>
            <w:gridSpan w:val="3"/>
          </w:tcPr>
          <w:p>
            <w:pPr>
              <w:jc w:val="right"/>
              <w:ind w:right="1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3,270.4</w:t>
            </w:r>
          </w:p>
        </w:tc>
        <w:tc>
          <w:tcPr>
            <w:tcW w:w="10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3,209.8</w:t>
            </w:r>
          </w:p>
        </w:tc>
        <w:tc>
          <w:tcPr>
            <w:tcW w:w="20" w:type="dxa"/>
            <w:vAlign w:val="bottom"/>
            <w:shd w:val="clear" w:color="auto" w:fill="CCEEFF"/>
          </w:tcPr>
          <w:p>
            <w:pPr>
              <w:spacing w:after="0"/>
              <w:rPr>
                <w:sz w:val="18"/>
                <w:szCs w:val="18"/>
                <w:color w:val="auto"/>
              </w:rPr>
            </w:pPr>
          </w:p>
        </w:tc>
        <w:tc>
          <w:tcPr>
            <w:tcW w:w="1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4980" w:type="dxa"/>
            <w:vAlign w:val="bottom"/>
            <w:vMerge w:val="restart"/>
          </w:tcPr>
          <w:p>
            <w:pPr>
              <w:ind w:left="200"/>
              <w:spacing w:after="0"/>
              <w:rPr>
                <w:sz w:val="20"/>
                <w:szCs w:val="20"/>
                <w:color w:val="auto"/>
              </w:rPr>
            </w:pPr>
            <w:r>
              <w:rPr>
                <w:rFonts w:ascii="Arial" w:cs="Arial" w:eastAsia="Arial" w:hAnsi="Arial"/>
                <w:sz w:val="18"/>
                <w:szCs w:val="18"/>
                <w:color w:val="auto"/>
              </w:rPr>
              <w:t>Total invested assets</w:t>
            </w:r>
          </w:p>
        </w:tc>
        <w:tc>
          <w:tcPr>
            <w:tcW w:w="12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60" w:type="dxa"/>
            <w:vAlign w:val="bottom"/>
            <w:vMerge w:val="restart"/>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980" w:type="dxa"/>
            <w:vAlign w:val="bottom"/>
            <w:vMerge w:val="continue"/>
          </w:tcPr>
          <w:p>
            <w:pPr>
              <w:spacing w:after="0"/>
              <w:rPr>
                <w:sz w:val="21"/>
                <w:szCs w:val="21"/>
                <w:color w:val="auto"/>
              </w:rPr>
            </w:pP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69,565.5</w:t>
            </w:r>
          </w:p>
        </w:tc>
        <w:tc>
          <w:tcPr>
            <w:tcW w:w="300" w:type="dxa"/>
            <w:vAlign w:val="bottom"/>
            <w:vMerge w:val="continue"/>
          </w:tcPr>
          <w:p>
            <w:pPr>
              <w:spacing w:after="0"/>
              <w:rPr>
                <w:sz w:val="21"/>
                <w:szCs w:val="21"/>
                <w:color w:val="auto"/>
              </w:rPr>
            </w:pPr>
          </w:p>
        </w:tc>
        <w:tc>
          <w:tcPr>
            <w:tcW w:w="1020" w:type="dxa"/>
            <w:vAlign w:val="bottom"/>
          </w:tcPr>
          <w:p>
            <w:pPr>
              <w:spacing w:after="0"/>
              <w:rPr>
                <w:sz w:val="21"/>
                <w:szCs w:val="21"/>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100%</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68,433.8</w:t>
            </w:r>
          </w:p>
        </w:tc>
        <w:tc>
          <w:tcPr>
            <w:tcW w:w="20" w:type="dxa"/>
            <w:vAlign w:val="bottom"/>
            <w:vMerge w:val="continue"/>
          </w:tcPr>
          <w:p>
            <w:pPr>
              <w:spacing w:after="0"/>
              <w:rPr>
                <w:sz w:val="21"/>
                <w:szCs w:val="21"/>
                <w:color w:val="auto"/>
              </w:rPr>
            </w:pPr>
          </w:p>
        </w:tc>
        <w:tc>
          <w:tcPr>
            <w:tcW w:w="260" w:type="dxa"/>
            <w:vAlign w:val="bottom"/>
            <w:vMerge w:val="continue"/>
          </w:tcPr>
          <w:p>
            <w:pPr>
              <w:spacing w:after="0"/>
              <w:rPr>
                <w:sz w:val="21"/>
                <w:szCs w:val="21"/>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70"/>
        </w:trPr>
        <w:tc>
          <w:tcPr>
            <w:tcW w:w="4980" w:type="dxa"/>
            <w:vAlign w:val="bottom"/>
            <w:tcBorders>
              <w:top w:val="single" w:sz="8" w:color="CCEEFF"/>
            </w:tcBorders>
            <w:shd w:val="clear" w:color="auto" w:fill="CCEEFF"/>
          </w:tcPr>
          <w:p>
            <w:pPr>
              <w:spacing w:after="0" w:line="170" w:lineRule="exact"/>
              <w:rPr>
                <w:sz w:val="20"/>
                <w:szCs w:val="20"/>
                <w:color w:val="auto"/>
              </w:rPr>
            </w:pPr>
            <w:r>
              <w:rPr>
                <w:rFonts w:ascii="Arial" w:cs="Arial" w:eastAsia="Arial" w:hAnsi="Arial"/>
                <w:sz w:val="18"/>
                <w:szCs w:val="18"/>
                <w:color w:val="auto"/>
              </w:rPr>
              <w:t>Cash and cash equivalents</w:t>
            </w:r>
          </w:p>
        </w:tc>
        <w:tc>
          <w:tcPr>
            <w:tcW w:w="120" w:type="dxa"/>
            <w:vAlign w:val="bottom"/>
            <w:tcBorders>
              <w:top w:val="single" w:sz="8" w:color="CCEEFF"/>
            </w:tcBorders>
            <w:shd w:val="clear" w:color="auto" w:fill="CCEEFF"/>
          </w:tcPr>
          <w:p>
            <w:pPr>
              <w:spacing w:after="0"/>
              <w:rPr>
                <w:sz w:val="14"/>
                <w:szCs w:val="14"/>
                <w:color w:val="auto"/>
              </w:rPr>
            </w:pPr>
          </w:p>
        </w:tc>
        <w:tc>
          <w:tcPr>
            <w:tcW w:w="1520" w:type="dxa"/>
            <w:vAlign w:val="bottom"/>
            <w:tcBorders>
              <w:top w:val="single" w:sz="8" w:color="CCEEFF"/>
            </w:tcBorders>
            <w:gridSpan w:val="2"/>
            <w:shd w:val="clear" w:color="auto" w:fill="CCEEFF"/>
          </w:tcPr>
          <w:p>
            <w:pPr>
              <w:jc w:val="right"/>
              <w:ind w:right="300"/>
              <w:spacing w:after="0" w:line="170" w:lineRule="exact"/>
              <w:rPr>
                <w:sz w:val="20"/>
                <w:szCs w:val="20"/>
                <w:color w:val="auto"/>
              </w:rPr>
            </w:pPr>
            <w:r>
              <w:rPr>
                <w:rFonts w:ascii="Arial" w:cs="Arial" w:eastAsia="Arial" w:hAnsi="Arial"/>
                <w:sz w:val="18"/>
                <w:szCs w:val="18"/>
                <w:b w:val="1"/>
                <w:bCs w:val="1"/>
                <w:color w:val="auto"/>
              </w:rPr>
              <w:t>2,514.2</w:t>
            </w:r>
          </w:p>
        </w:tc>
        <w:tc>
          <w:tcPr>
            <w:tcW w:w="1020" w:type="dxa"/>
            <w:vAlign w:val="bottom"/>
            <w:tcBorders>
              <w:top w:val="single" w:sz="8" w:color="auto"/>
            </w:tcBorders>
            <w:shd w:val="clear" w:color="auto" w:fill="CCEEFF"/>
          </w:tcPr>
          <w:p>
            <w:pPr>
              <w:spacing w:after="0"/>
              <w:rPr>
                <w:sz w:val="14"/>
                <w:szCs w:val="14"/>
                <w:color w:val="auto"/>
              </w:rPr>
            </w:pPr>
          </w:p>
        </w:tc>
        <w:tc>
          <w:tcPr>
            <w:tcW w:w="340" w:type="dxa"/>
            <w:vAlign w:val="bottom"/>
            <w:tcBorders>
              <w:top w:val="single" w:sz="8" w:color="auto"/>
            </w:tcBorders>
            <w:shd w:val="clear" w:color="auto" w:fill="CCEEFF"/>
          </w:tcPr>
          <w:p>
            <w:pPr>
              <w:spacing w:after="0"/>
              <w:rPr>
                <w:sz w:val="14"/>
                <w:szCs w:val="14"/>
                <w:color w:val="auto"/>
              </w:rPr>
            </w:pPr>
          </w:p>
        </w:tc>
        <w:tc>
          <w:tcPr>
            <w:tcW w:w="2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1240" w:type="dxa"/>
            <w:vAlign w:val="bottom"/>
            <w:tcBorders>
              <w:top w:val="single" w:sz="8" w:color="CCEEFF"/>
            </w:tcBorders>
            <w:shd w:val="clear" w:color="auto" w:fill="CCEEFF"/>
          </w:tcPr>
          <w:p>
            <w:pPr>
              <w:jc w:val="right"/>
              <w:spacing w:after="0" w:line="170" w:lineRule="exact"/>
              <w:rPr>
                <w:sz w:val="20"/>
                <w:szCs w:val="20"/>
                <w:color w:val="auto"/>
              </w:rPr>
            </w:pPr>
            <w:r>
              <w:rPr>
                <w:rFonts w:ascii="Arial" w:cs="Arial" w:eastAsia="Arial" w:hAnsi="Arial"/>
                <w:sz w:val="18"/>
                <w:szCs w:val="18"/>
                <w:color w:val="auto"/>
              </w:rPr>
              <w:t>1,863.9</w:t>
            </w:r>
          </w:p>
        </w:tc>
        <w:tc>
          <w:tcPr>
            <w:tcW w:w="20" w:type="dxa"/>
            <w:vAlign w:val="bottom"/>
            <w:tcBorders>
              <w:top w:val="single" w:sz="8" w:color="CCEEFF"/>
            </w:tcBorders>
            <w:shd w:val="clear" w:color="auto" w:fill="CCEEFF"/>
          </w:tcPr>
          <w:p>
            <w:pPr>
              <w:spacing w:after="0"/>
              <w:rPr>
                <w:sz w:val="14"/>
                <w:szCs w:val="14"/>
                <w:color w:val="auto"/>
              </w:rPr>
            </w:pPr>
          </w:p>
        </w:tc>
        <w:tc>
          <w:tcPr>
            <w:tcW w:w="260" w:type="dxa"/>
            <w:vAlign w:val="bottom"/>
            <w:tcBorders>
              <w:top w:val="single" w:sz="8" w:color="CCEEFF"/>
            </w:tcBorders>
            <w:shd w:val="clear" w:color="auto" w:fill="CCEEFF"/>
          </w:tcPr>
          <w:p>
            <w:pPr>
              <w:spacing w:after="0"/>
              <w:rPr>
                <w:sz w:val="14"/>
                <w:szCs w:val="14"/>
                <w:color w:val="auto"/>
              </w:rPr>
            </w:pPr>
          </w:p>
        </w:tc>
        <w:tc>
          <w:tcPr>
            <w:tcW w:w="13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980" w:type="dxa"/>
            <w:vAlign w:val="bottom"/>
          </w:tcPr>
          <w:p>
            <w:pPr>
              <w:ind w:left="200"/>
              <w:spacing w:after="0"/>
              <w:rPr>
                <w:sz w:val="20"/>
                <w:szCs w:val="20"/>
                <w:color w:val="auto"/>
              </w:rPr>
            </w:pPr>
            <w:r>
              <w:rPr>
                <w:rFonts w:ascii="Arial" w:cs="Arial" w:eastAsia="Arial" w:hAnsi="Arial"/>
                <w:sz w:val="18"/>
                <w:szCs w:val="18"/>
                <w:color w:val="auto"/>
              </w:rPr>
              <w:t>Total invested assets and cash</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72,079.7</w:t>
            </w:r>
          </w:p>
        </w:tc>
        <w:tc>
          <w:tcPr>
            <w:tcW w:w="3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70,297.7</w:t>
            </w:r>
          </w:p>
        </w:tc>
        <w:tc>
          <w:tcPr>
            <w:tcW w:w="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Results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Investment Income</w:t>
      </w:r>
    </w:p>
    <w:p>
      <w:pPr>
        <w:spacing w:after="0" w:line="225"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The following table presents the yield and investment income, excluding net realized capital gains and losses, for our invested assets for the periods indicated. We calculate annualized yields using a simple average of asset classes at the beginning and end of the reporting period. The yields for available-for-sale fixed maturities and available-for-sale equity securities are calculated using amortized cost and cost, respectively. All other yields are calculated using carrying amounts.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20" w:type="dxa"/>
            <w:vAlign w:val="bottom"/>
          </w:tcPr>
          <w:p>
            <w:pPr>
              <w:spacing w:after="0"/>
              <w:rPr>
                <w:sz w:val="13"/>
                <w:szCs w:val="13"/>
                <w:color w:val="auto"/>
              </w:rPr>
            </w:pPr>
          </w:p>
        </w:tc>
        <w:tc>
          <w:tcPr>
            <w:tcW w:w="2460" w:type="dxa"/>
            <w:vAlign w:val="bottom"/>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020" w:type="dxa"/>
            <w:vAlign w:val="bottom"/>
            <w:tcBorders>
              <w:bottom w:val="single" w:sz="8" w:color="auto"/>
            </w:tcBorders>
            <w:gridSpan w:val="10"/>
          </w:tcPr>
          <w:p>
            <w:pPr>
              <w:jc w:val="right"/>
              <w:ind w:right="473"/>
              <w:spacing w:after="0"/>
              <w:rPr>
                <w:sz w:val="20"/>
                <w:szCs w:val="20"/>
                <w:color w:val="auto"/>
              </w:rPr>
            </w:pPr>
            <w:r>
              <w:rPr>
                <w:rFonts w:ascii="Arial" w:cs="Arial" w:eastAsia="Arial" w:hAnsi="Arial"/>
                <w:sz w:val="13"/>
                <w:szCs w:val="13"/>
                <w:b w:val="1"/>
                <w:bCs w:val="1"/>
                <w:color w:val="auto"/>
                <w:w w:val="93"/>
              </w:rPr>
              <w:t>For the three months ended September 30,</w:t>
            </w:r>
          </w:p>
        </w:tc>
        <w:tc>
          <w:tcPr>
            <w:tcW w:w="52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940" w:type="dxa"/>
            <w:vAlign w:val="bottom"/>
            <w:tcBorders>
              <w:bottom w:val="single" w:sz="8" w:color="auto"/>
            </w:tcBorders>
            <w:gridSpan w:val="9"/>
          </w:tcPr>
          <w:p>
            <w:pPr>
              <w:jc w:val="right"/>
              <w:ind w:right="417"/>
              <w:spacing w:after="0"/>
              <w:rPr>
                <w:sz w:val="20"/>
                <w:szCs w:val="20"/>
                <w:color w:val="auto"/>
              </w:rPr>
            </w:pPr>
            <w:r>
              <w:rPr>
                <w:rFonts w:ascii="Arial" w:cs="Arial" w:eastAsia="Arial" w:hAnsi="Arial"/>
                <w:sz w:val="13"/>
                <w:szCs w:val="13"/>
                <w:b w:val="1"/>
                <w:bCs w:val="1"/>
                <w:color w:val="auto"/>
                <w:w w:val="94"/>
              </w:rPr>
              <w:t>For the nine months ended September 30,</w:t>
            </w:r>
          </w:p>
        </w:tc>
        <w:tc>
          <w:tcPr>
            <w:tcW w:w="140" w:type="dxa"/>
            <w:vAlign w:val="bottom"/>
            <w:tcBorders>
              <w:bottom w:val="single" w:sz="8" w:color="auto"/>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82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3"/>
                <w:szCs w:val="13"/>
                <w:b w:val="1"/>
                <w:bCs w:val="1"/>
                <w:color w:val="auto"/>
              </w:rPr>
              <w:t>2015</w:t>
            </w:r>
          </w:p>
        </w:tc>
        <w:tc>
          <w:tcPr>
            <w:tcW w:w="52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3"/>
                <w:szCs w:val="13"/>
                <w:b w:val="1"/>
                <w:bCs w:val="1"/>
                <w:color w:val="auto"/>
              </w:rPr>
              <w:t>2014</w:t>
            </w:r>
          </w:p>
        </w:tc>
        <w:tc>
          <w:tcPr>
            <w:tcW w:w="50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340" w:type="dxa"/>
            <w:vAlign w:val="bottom"/>
            <w:tcBorders>
              <w:bottom w:val="single" w:sz="8" w:color="auto"/>
            </w:tcBorders>
            <w:gridSpan w:val="4"/>
          </w:tcPr>
          <w:p>
            <w:pPr>
              <w:ind w:left="160"/>
              <w:spacing w:after="0" w:line="129" w:lineRule="exact"/>
              <w:rPr>
                <w:sz w:val="20"/>
                <w:szCs w:val="20"/>
                <w:color w:val="auto"/>
              </w:rPr>
            </w:pPr>
            <w:r>
              <w:rPr>
                <w:rFonts w:ascii="Arial" w:cs="Arial" w:eastAsia="Arial" w:hAnsi="Arial"/>
                <w:sz w:val="13"/>
                <w:szCs w:val="13"/>
                <w:b w:val="1"/>
                <w:bCs w:val="1"/>
                <w:color w:val="auto"/>
                <w:w w:val="95"/>
              </w:rPr>
              <w:t>Increase (decrease)</w:t>
            </w:r>
          </w:p>
        </w:tc>
        <w:tc>
          <w:tcPr>
            <w:tcW w:w="160" w:type="dxa"/>
            <w:vAlign w:val="bottom"/>
          </w:tcPr>
          <w:p>
            <w:pPr>
              <w:spacing w:after="0"/>
              <w:rPr>
                <w:sz w:val="11"/>
                <w:szCs w:val="11"/>
                <w:color w:val="auto"/>
              </w:rPr>
            </w:pPr>
          </w:p>
        </w:tc>
        <w:tc>
          <w:tcPr>
            <w:tcW w:w="82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3"/>
                <w:szCs w:val="13"/>
                <w:b w:val="1"/>
                <w:bCs w:val="1"/>
                <w:color w:val="auto"/>
              </w:rPr>
              <w:t>2015</w:t>
            </w:r>
          </w:p>
        </w:tc>
        <w:tc>
          <w:tcPr>
            <w:tcW w:w="54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3"/>
                <w:szCs w:val="13"/>
                <w:b w:val="1"/>
                <w:bCs w:val="1"/>
                <w:color w:val="auto"/>
              </w:rPr>
              <w:t>2014</w:t>
            </w:r>
          </w:p>
        </w:tc>
        <w:tc>
          <w:tcPr>
            <w:tcW w:w="54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300" w:type="dxa"/>
            <w:vAlign w:val="bottom"/>
            <w:tcBorders>
              <w:bottom w:val="single" w:sz="8" w:color="auto"/>
            </w:tcBorders>
            <w:gridSpan w:val="4"/>
          </w:tcPr>
          <w:p>
            <w:pPr>
              <w:jc w:val="right"/>
              <w:ind w:right="77"/>
              <w:spacing w:after="0" w:line="129" w:lineRule="exact"/>
              <w:rPr>
                <w:sz w:val="20"/>
                <w:szCs w:val="20"/>
                <w:color w:val="auto"/>
              </w:rPr>
            </w:pPr>
            <w:r>
              <w:rPr>
                <w:rFonts w:ascii="Arial" w:cs="Arial" w:eastAsia="Arial" w:hAnsi="Arial"/>
                <w:sz w:val="13"/>
                <w:szCs w:val="13"/>
                <w:b w:val="1"/>
                <w:bCs w:val="1"/>
                <w:color w:val="auto"/>
                <w:w w:val="93"/>
              </w:rPr>
              <w:t>Increase (decrease)</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820" w:type="dxa"/>
            <w:vAlign w:val="bottom"/>
            <w:tcBorders>
              <w:bottom w:val="single" w:sz="8" w:color="auto"/>
            </w:tcBorders>
            <w:gridSpan w:val="3"/>
          </w:tcPr>
          <w:p>
            <w:pPr>
              <w:jc w:val="right"/>
              <w:ind w:right="333"/>
              <w:spacing w:after="0" w:line="129" w:lineRule="exact"/>
              <w:rPr>
                <w:sz w:val="20"/>
                <w:szCs w:val="20"/>
                <w:color w:val="auto"/>
              </w:rPr>
            </w:pPr>
            <w:r>
              <w:rPr>
                <w:rFonts w:ascii="Arial" w:cs="Arial" w:eastAsia="Arial" w:hAnsi="Arial"/>
                <w:sz w:val="13"/>
                <w:szCs w:val="13"/>
                <w:b w:val="1"/>
                <w:bCs w:val="1"/>
                <w:color w:val="auto"/>
              </w:rPr>
              <w:t>Yield</w:t>
            </w:r>
          </w:p>
        </w:tc>
        <w:tc>
          <w:tcPr>
            <w:tcW w:w="520" w:type="dxa"/>
            <w:vAlign w:val="bottom"/>
            <w:tcBorders>
              <w:bottom w:val="single" w:sz="8" w:color="auto"/>
            </w:tcBorders>
          </w:tcPr>
          <w:p>
            <w:pPr>
              <w:jc w:val="right"/>
              <w:ind w:right="17"/>
              <w:spacing w:after="0" w:line="129" w:lineRule="exact"/>
              <w:rPr>
                <w:sz w:val="20"/>
                <w:szCs w:val="20"/>
                <w:color w:val="auto"/>
              </w:rPr>
            </w:pPr>
            <w:r>
              <w:rPr>
                <w:rFonts w:ascii="Arial" w:cs="Arial" w:eastAsia="Arial" w:hAnsi="Arial"/>
                <w:sz w:val="13"/>
                <w:szCs w:val="13"/>
                <w:b w:val="1"/>
                <w:bCs w:val="1"/>
                <w:color w:val="auto"/>
                <w:w w:val="85"/>
              </w:rPr>
              <w:t>Amount</w:t>
            </w:r>
          </w:p>
        </w:tc>
        <w:tc>
          <w:tcPr>
            <w:tcW w:w="18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gridSpan w:val="2"/>
          </w:tcPr>
          <w:p>
            <w:pPr>
              <w:jc w:val="right"/>
              <w:ind w:right="262"/>
              <w:spacing w:after="0" w:line="129" w:lineRule="exact"/>
              <w:rPr>
                <w:sz w:val="20"/>
                <w:szCs w:val="20"/>
                <w:color w:val="auto"/>
              </w:rPr>
            </w:pPr>
            <w:r>
              <w:rPr>
                <w:rFonts w:ascii="Arial" w:cs="Arial" w:eastAsia="Arial" w:hAnsi="Arial"/>
                <w:sz w:val="13"/>
                <w:szCs w:val="13"/>
                <w:b w:val="1"/>
                <w:bCs w:val="1"/>
                <w:color w:val="auto"/>
              </w:rPr>
              <w:t>Yield</w:t>
            </w:r>
          </w:p>
        </w:tc>
        <w:tc>
          <w:tcPr>
            <w:tcW w:w="8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3"/>
                <w:szCs w:val="13"/>
                <w:b w:val="1"/>
                <w:bCs w:val="1"/>
                <w:color w:val="auto"/>
                <w:w w:val="85"/>
              </w:rPr>
              <w:t>Amount</w:t>
            </w:r>
          </w:p>
        </w:tc>
        <w:tc>
          <w:tcPr>
            <w:tcW w:w="18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gridSpan w:val="3"/>
          </w:tcPr>
          <w:p>
            <w:pPr>
              <w:ind w:left="160"/>
              <w:spacing w:after="0" w:line="129" w:lineRule="exact"/>
              <w:rPr>
                <w:sz w:val="20"/>
                <w:szCs w:val="20"/>
                <w:color w:val="auto"/>
              </w:rPr>
            </w:pPr>
            <w:r>
              <w:rPr>
                <w:rFonts w:ascii="Arial" w:cs="Arial" w:eastAsia="Arial" w:hAnsi="Arial"/>
                <w:sz w:val="13"/>
                <w:szCs w:val="13"/>
                <w:b w:val="1"/>
                <w:bCs w:val="1"/>
                <w:color w:val="auto"/>
              </w:rPr>
              <w:t>Yield</w:t>
            </w:r>
          </w:p>
        </w:tc>
        <w:tc>
          <w:tcPr>
            <w:tcW w:w="52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3"/>
                <w:szCs w:val="13"/>
                <w:b w:val="1"/>
                <w:bCs w:val="1"/>
                <w:color w:val="auto"/>
                <w:w w:val="89"/>
              </w:rPr>
              <w:t>Amount</w:t>
            </w:r>
          </w:p>
        </w:tc>
        <w:tc>
          <w:tcPr>
            <w:tcW w:w="16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gridSpan w:val="3"/>
          </w:tcPr>
          <w:p>
            <w:pPr>
              <w:jc w:val="right"/>
              <w:ind w:right="353"/>
              <w:spacing w:after="0" w:line="129" w:lineRule="exact"/>
              <w:rPr>
                <w:sz w:val="20"/>
                <w:szCs w:val="20"/>
                <w:color w:val="auto"/>
              </w:rPr>
            </w:pPr>
            <w:r>
              <w:rPr>
                <w:rFonts w:ascii="Arial" w:cs="Arial" w:eastAsia="Arial" w:hAnsi="Arial"/>
                <w:sz w:val="13"/>
                <w:szCs w:val="13"/>
                <w:b w:val="1"/>
                <w:bCs w:val="1"/>
                <w:color w:val="auto"/>
              </w:rPr>
              <w:t>Yield</w:t>
            </w:r>
          </w:p>
        </w:tc>
        <w:tc>
          <w:tcPr>
            <w:tcW w:w="540" w:type="dxa"/>
            <w:vAlign w:val="bottom"/>
            <w:tcBorders>
              <w:bottom w:val="single" w:sz="8" w:color="auto"/>
            </w:tcBorders>
          </w:tcPr>
          <w:p>
            <w:pPr>
              <w:jc w:val="right"/>
              <w:ind w:right="37"/>
              <w:spacing w:after="0" w:line="129" w:lineRule="exact"/>
              <w:rPr>
                <w:sz w:val="20"/>
                <w:szCs w:val="20"/>
                <w:color w:val="auto"/>
              </w:rPr>
            </w:pPr>
            <w:r>
              <w:rPr>
                <w:rFonts w:ascii="Arial" w:cs="Arial" w:eastAsia="Arial" w:hAnsi="Arial"/>
                <w:sz w:val="13"/>
                <w:szCs w:val="13"/>
                <w:b w:val="1"/>
                <w:bCs w:val="1"/>
                <w:color w:val="auto"/>
                <w:w w:val="85"/>
              </w:rPr>
              <w:t>Amount</w:t>
            </w:r>
          </w:p>
        </w:tc>
        <w:tc>
          <w:tcPr>
            <w:tcW w:w="1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gridSpan w:val="3"/>
          </w:tcPr>
          <w:p>
            <w:pPr>
              <w:jc w:val="right"/>
              <w:ind w:right="333"/>
              <w:spacing w:after="0" w:line="129" w:lineRule="exact"/>
              <w:rPr>
                <w:sz w:val="20"/>
                <w:szCs w:val="20"/>
                <w:color w:val="auto"/>
              </w:rPr>
            </w:pPr>
            <w:r>
              <w:rPr>
                <w:rFonts w:ascii="Arial" w:cs="Arial" w:eastAsia="Arial" w:hAnsi="Arial"/>
                <w:sz w:val="13"/>
                <w:szCs w:val="13"/>
                <w:b w:val="1"/>
                <w:bCs w:val="1"/>
                <w:color w:val="auto"/>
              </w:rPr>
              <w:t>Yield</w:t>
            </w:r>
          </w:p>
        </w:tc>
        <w:tc>
          <w:tcPr>
            <w:tcW w:w="540" w:type="dxa"/>
            <w:vAlign w:val="bottom"/>
            <w:tcBorders>
              <w:bottom w:val="single" w:sz="8" w:color="auto"/>
            </w:tcBorders>
          </w:tcPr>
          <w:p>
            <w:pPr>
              <w:jc w:val="right"/>
              <w:ind w:right="17"/>
              <w:spacing w:after="0" w:line="129" w:lineRule="exact"/>
              <w:rPr>
                <w:sz w:val="20"/>
                <w:szCs w:val="20"/>
                <w:color w:val="auto"/>
              </w:rPr>
            </w:pPr>
            <w:r>
              <w:rPr>
                <w:rFonts w:ascii="Arial" w:cs="Arial" w:eastAsia="Arial" w:hAnsi="Arial"/>
                <w:sz w:val="13"/>
                <w:szCs w:val="13"/>
                <w:b w:val="1"/>
                <w:bCs w:val="1"/>
                <w:color w:val="auto"/>
                <w:w w:val="89"/>
              </w:rPr>
              <w:t>Amount</w:t>
            </w:r>
          </w:p>
        </w:tc>
        <w:tc>
          <w:tcPr>
            <w:tcW w:w="16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gridSpan w:val="2"/>
          </w:tcPr>
          <w:p>
            <w:pPr>
              <w:jc w:val="right"/>
              <w:ind w:right="237"/>
              <w:spacing w:after="0" w:line="129" w:lineRule="exact"/>
              <w:rPr>
                <w:sz w:val="20"/>
                <w:szCs w:val="20"/>
                <w:color w:val="auto"/>
              </w:rPr>
            </w:pPr>
            <w:r>
              <w:rPr>
                <w:rFonts w:ascii="Arial" w:cs="Arial" w:eastAsia="Arial" w:hAnsi="Arial"/>
                <w:sz w:val="13"/>
                <w:szCs w:val="13"/>
                <w:b w:val="1"/>
                <w:bCs w:val="1"/>
                <w:color w:val="auto"/>
              </w:rPr>
              <w:t>Yield</w:t>
            </w:r>
          </w:p>
        </w:tc>
        <w:tc>
          <w:tcPr>
            <w:tcW w:w="560" w:type="dxa"/>
            <w:vAlign w:val="bottom"/>
            <w:tcBorders>
              <w:bottom w:val="single" w:sz="8" w:color="auto"/>
            </w:tcBorders>
            <w:gridSpan w:val="2"/>
          </w:tcPr>
          <w:p>
            <w:pPr>
              <w:jc w:val="right"/>
              <w:spacing w:after="0" w:line="129" w:lineRule="exact"/>
              <w:rPr>
                <w:sz w:val="20"/>
                <w:szCs w:val="20"/>
                <w:color w:val="auto"/>
              </w:rPr>
            </w:pPr>
            <w:r>
              <w:rPr>
                <w:rFonts w:ascii="Arial" w:cs="Arial" w:eastAsia="Arial" w:hAnsi="Arial"/>
                <w:sz w:val="13"/>
                <w:szCs w:val="13"/>
                <w:b w:val="1"/>
                <w:bCs w:val="1"/>
                <w:color w:val="auto"/>
                <w:w w:val="97"/>
              </w:rPr>
              <w:t>Amount</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2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500" w:type="dxa"/>
            <w:vAlign w:val="bottom"/>
            <w:gridSpan w:val="5"/>
          </w:tcPr>
          <w:p>
            <w:pPr>
              <w:jc w:val="right"/>
              <w:ind w:right="513"/>
              <w:spacing w:after="0"/>
              <w:rPr>
                <w:sz w:val="20"/>
                <w:szCs w:val="20"/>
                <w:color w:val="auto"/>
              </w:rPr>
            </w:pPr>
            <w:r>
              <w:rPr>
                <w:rFonts w:ascii="Arial" w:cs="Arial" w:eastAsia="Arial" w:hAnsi="Arial"/>
                <w:sz w:val="13"/>
                <w:szCs w:val="13"/>
                <w:b w:val="1"/>
                <w:bCs w:val="1"/>
                <w:color w:val="auto"/>
              </w:rPr>
              <w:t>($ in millions)</w:t>
            </w: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0" w:type="dxa"/>
            <w:vAlign w:val="bottom"/>
            <w:vMerge w:val="restart"/>
          </w:tcPr>
          <w:p>
            <w:pPr>
              <w:spacing w:after="0"/>
              <w:rPr>
                <w:sz w:val="9"/>
                <w:szCs w:val="9"/>
                <w:color w:val="auto"/>
              </w:rPr>
            </w:pPr>
          </w:p>
        </w:tc>
        <w:tc>
          <w:tcPr>
            <w:tcW w:w="2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80" w:type="dxa"/>
            <w:vAlign w:val="bottom"/>
          </w:tcPr>
          <w:p>
            <w:pPr>
              <w:spacing w:after="0"/>
              <w:rPr>
                <w:sz w:val="9"/>
                <w:szCs w:val="9"/>
                <w:color w:val="auto"/>
              </w:rPr>
            </w:pPr>
          </w:p>
        </w:tc>
        <w:tc>
          <w:tcPr>
            <w:tcW w:w="5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300" w:type="dxa"/>
            <w:vAlign w:val="bottom"/>
            <w:gridSpan w:val="2"/>
          </w:tcPr>
          <w:p>
            <w:pPr>
              <w:spacing w:after="0"/>
              <w:rPr>
                <w:sz w:val="9"/>
                <w:szCs w:val="9"/>
                <w:color w:val="auto"/>
              </w:rPr>
            </w:pPr>
          </w:p>
        </w:tc>
        <w:tc>
          <w:tcPr>
            <w:tcW w:w="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246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Fixed maturities</w:t>
            </w:r>
          </w:p>
        </w:tc>
        <w:tc>
          <w:tcPr>
            <w:tcW w:w="820" w:type="dxa"/>
            <w:vAlign w:val="bottom"/>
            <w:gridSpan w:val="3"/>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4.5% $</w:t>
            </w:r>
          </w:p>
        </w:tc>
        <w:tc>
          <w:tcPr>
            <w:tcW w:w="70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541.9</w:t>
            </w:r>
          </w:p>
        </w:tc>
        <w:tc>
          <w:tcPr>
            <w:tcW w:w="740" w:type="dxa"/>
            <w:vAlign w:val="bottom"/>
            <w:gridSpan w:val="2"/>
            <w:shd w:val="clear" w:color="auto" w:fill="CCEEFF"/>
          </w:tcPr>
          <w:p>
            <w:pPr>
              <w:jc w:val="right"/>
              <w:ind w:right="2"/>
              <w:spacing w:after="0" w:line="135" w:lineRule="exact"/>
              <w:rPr>
                <w:sz w:val="20"/>
                <w:szCs w:val="20"/>
                <w:color w:val="auto"/>
              </w:rPr>
            </w:pPr>
            <w:r>
              <w:rPr>
                <w:rFonts w:ascii="Arial" w:cs="Arial" w:eastAsia="Arial" w:hAnsi="Arial"/>
                <w:sz w:val="13"/>
                <w:szCs w:val="13"/>
                <w:color w:val="auto"/>
              </w:rPr>
              <w:t>4.6%</w:t>
            </w:r>
          </w:p>
        </w:tc>
        <w:tc>
          <w:tcPr>
            <w:tcW w:w="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548.6</w:t>
            </w:r>
          </w:p>
        </w:tc>
        <w:tc>
          <w:tcPr>
            <w:tcW w:w="820" w:type="dxa"/>
            <w:vAlign w:val="bottom"/>
            <w:gridSpan w:val="3"/>
            <w:shd w:val="clear" w:color="auto" w:fill="CCEEFF"/>
          </w:tcPr>
          <w:p>
            <w:pPr>
              <w:jc w:val="right"/>
              <w:spacing w:after="0" w:line="135" w:lineRule="exact"/>
              <w:rPr>
                <w:sz w:val="20"/>
                <w:szCs w:val="20"/>
                <w:color w:val="auto"/>
              </w:rPr>
            </w:pPr>
            <w:r>
              <w:rPr>
                <w:rFonts w:ascii="Arial" w:cs="Arial" w:eastAsia="Arial" w:hAnsi="Arial"/>
                <w:sz w:val="13"/>
                <w:szCs w:val="13"/>
                <w:color w:val="auto"/>
              </w:rPr>
              <w:t>(0.1)% $</w:t>
            </w:r>
          </w:p>
        </w:tc>
        <w:tc>
          <w:tcPr>
            <w:tcW w:w="680" w:type="dxa"/>
            <w:vAlign w:val="bottom"/>
            <w:gridSpan w:val="2"/>
            <w:shd w:val="clear" w:color="auto" w:fill="CCEEFF"/>
          </w:tcPr>
          <w:p>
            <w:pPr>
              <w:jc w:val="right"/>
              <w:ind w:right="78"/>
              <w:spacing w:after="0" w:line="135" w:lineRule="exact"/>
              <w:rPr>
                <w:sz w:val="20"/>
                <w:szCs w:val="20"/>
                <w:color w:val="auto"/>
              </w:rPr>
            </w:pPr>
            <w:r>
              <w:rPr>
                <w:rFonts w:ascii="Arial" w:cs="Arial" w:eastAsia="Arial" w:hAnsi="Arial"/>
                <w:sz w:val="13"/>
                <w:szCs w:val="13"/>
                <w:color w:val="auto"/>
              </w:rPr>
              <w:t>(6.7)</w:t>
            </w:r>
          </w:p>
        </w:tc>
        <w:tc>
          <w:tcPr>
            <w:tcW w:w="820" w:type="dxa"/>
            <w:vAlign w:val="bottom"/>
            <w:gridSpan w:val="3"/>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4.5% $</w:t>
            </w: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1,604.7</w:t>
            </w:r>
          </w:p>
        </w:tc>
        <w:tc>
          <w:tcPr>
            <w:tcW w:w="160" w:type="dxa"/>
            <w:vAlign w:val="bottom"/>
            <w:shd w:val="clear" w:color="auto" w:fill="CCEEFF"/>
          </w:tcPr>
          <w:p>
            <w:pPr>
              <w:spacing w:after="0"/>
              <w:rPr>
                <w:sz w:val="11"/>
                <w:szCs w:val="11"/>
                <w:color w:val="auto"/>
              </w:rPr>
            </w:pPr>
          </w:p>
        </w:tc>
        <w:tc>
          <w:tcPr>
            <w:tcW w:w="800" w:type="dxa"/>
            <w:vAlign w:val="bottom"/>
            <w:gridSpan w:val="3"/>
            <w:shd w:val="clear" w:color="auto" w:fill="CCEEFF"/>
          </w:tcPr>
          <w:p>
            <w:pPr>
              <w:jc w:val="right"/>
              <w:spacing w:after="0" w:line="135" w:lineRule="exact"/>
              <w:rPr>
                <w:sz w:val="20"/>
                <w:szCs w:val="20"/>
                <w:color w:val="auto"/>
              </w:rPr>
            </w:pPr>
            <w:r>
              <w:rPr>
                <w:rFonts w:ascii="Arial" w:cs="Arial" w:eastAsia="Arial" w:hAnsi="Arial"/>
                <w:sz w:val="13"/>
                <w:szCs w:val="13"/>
                <w:color w:val="auto"/>
              </w:rPr>
              <w:t>4.8% $</w:t>
            </w: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1,719.3</w:t>
            </w:r>
          </w:p>
        </w:tc>
        <w:tc>
          <w:tcPr>
            <w:tcW w:w="160" w:type="dxa"/>
            <w:vAlign w:val="bottom"/>
            <w:shd w:val="clear" w:color="auto" w:fill="CCEEFF"/>
          </w:tcPr>
          <w:p>
            <w:pPr>
              <w:spacing w:after="0"/>
              <w:rPr>
                <w:sz w:val="11"/>
                <w:szCs w:val="11"/>
                <w:color w:val="auto"/>
              </w:rPr>
            </w:pPr>
          </w:p>
        </w:tc>
        <w:tc>
          <w:tcPr>
            <w:tcW w:w="880" w:type="dxa"/>
            <w:vAlign w:val="bottom"/>
            <w:gridSpan w:val="3"/>
            <w:shd w:val="clear" w:color="auto" w:fill="CCEEFF"/>
          </w:tcPr>
          <w:p>
            <w:pPr>
              <w:jc w:val="right"/>
              <w:ind w:right="25"/>
              <w:spacing w:after="0" w:line="135" w:lineRule="exact"/>
              <w:rPr>
                <w:sz w:val="20"/>
                <w:szCs w:val="20"/>
                <w:color w:val="auto"/>
              </w:rPr>
            </w:pPr>
            <w:r>
              <w:rPr>
                <w:rFonts w:ascii="Arial" w:cs="Arial" w:eastAsia="Arial" w:hAnsi="Arial"/>
                <w:sz w:val="13"/>
                <w:szCs w:val="13"/>
                <w:color w:val="auto"/>
              </w:rPr>
              <w:t>(0.3)% $</w:t>
            </w:r>
          </w:p>
        </w:tc>
        <w:tc>
          <w:tcPr>
            <w:tcW w:w="520" w:type="dxa"/>
            <w:vAlign w:val="bottom"/>
            <w:gridSpan w:val="2"/>
            <w:shd w:val="clear" w:color="auto" w:fill="CCEEFF"/>
          </w:tcPr>
          <w:p>
            <w:pPr>
              <w:jc w:val="right"/>
              <w:ind w:right="18"/>
              <w:spacing w:after="0" w:line="135" w:lineRule="exact"/>
              <w:rPr>
                <w:sz w:val="20"/>
                <w:szCs w:val="20"/>
                <w:color w:val="auto"/>
              </w:rPr>
            </w:pPr>
            <w:r>
              <w:rPr>
                <w:rFonts w:ascii="Arial" w:cs="Arial" w:eastAsia="Arial" w:hAnsi="Arial"/>
                <w:sz w:val="13"/>
                <w:szCs w:val="13"/>
                <w:color w:val="auto"/>
              </w:rPr>
              <w:t>(114.6)</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60" w:type="dxa"/>
            <w:vAlign w:val="bottom"/>
          </w:tcPr>
          <w:p>
            <w:pPr>
              <w:spacing w:after="0" w:line="135" w:lineRule="exact"/>
              <w:rPr>
                <w:sz w:val="20"/>
                <w:szCs w:val="20"/>
                <w:color w:val="auto"/>
              </w:rPr>
            </w:pPr>
            <w:r>
              <w:rPr>
                <w:rFonts w:ascii="Arial" w:cs="Arial" w:eastAsia="Arial" w:hAnsi="Arial"/>
                <w:sz w:val="13"/>
                <w:szCs w:val="13"/>
                <w:color w:val="auto"/>
              </w:rPr>
              <w:t>Equity securities</w:t>
            </w:r>
          </w:p>
        </w:tc>
        <w:tc>
          <w:tcPr>
            <w:tcW w:w="58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1.0</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3.1</w:t>
            </w:r>
          </w:p>
        </w:tc>
        <w:tc>
          <w:tcPr>
            <w:tcW w:w="740" w:type="dxa"/>
            <w:vAlign w:val="bottom"/>
            <w:gridSpan w:val="2"/>
          </w:tcPr>
          <w:p>
            <w:pPr>
              <w:jc w:val="right"/>
              <w:ind w:right="102"/>
              <w:spacing w:after="0" w:line="135" w:lineRule="exact"/>
              <w:rPr>
                <w:sz w:val="20"/>
                <w:szCs w:val="20"/>
                <w:color w:val="auto"/>
              </w:rPr>
            </w:pPr>
            <w:r>
              <w:rPr>
                <w:rFonts w:ascii="Arial" w:cs="Arial" w:eastAsia="Arial" w:hAnsi="Arial"/>
                <w:sz w:val="13"/>
                <w:szCs w:val="13"/>
                <w:color w:val="auto"/>
              </w:rPr>
              <w:t>11.3</w:t>
            </w:r>
          </w:p>
        </w:tc>
        <w:tc>
          <w:tcPr>
            <w:tcW w:w="80" w:type="dxa"/>
            <w:vAlign w:val="bottom"/>
          </w:tcPr>
          <w:p>
            <w:pPr>
              <w:spacing w:after="0"/>
              <w:rPr>
                <w:sz w:val="11"/>
                <w:szCs w:val="11"/>
                <w:color w:val="auto"/>
              </w:rPr>
            </w:pPr>
          </w:p>
        </w:tc>
        <w:tc>
          <w:tcPr>
            <w:tcW w:w="68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26.3</w:t>
            </w:r>
          </w:p>
        </w:tc>
        <w:tc>
          <w:tcPr>
            <w:tcW w:w="760" w:type="dxa"/>
            <w:vAlign w:val="bottom"/>
            <w:gridSpan w:val="2"/>
          </w:tcPr>
          <w:p>
            <w:pPr>
              <w:jc w:val="right"/>
              <w:ind w:right="77"/>
              <w:spacing w:after="0" w:line="135" w:lineRule="exact"/>
              <w:rPr>
                <w:sz w:val="20"/>
                <w:szCs w:val="20"/>
                <w:color w:val="auto"/>
              </w:rPr>
            </w:pPr>
            <w:r>
              <w:rPr>
                <w:rFonts w:ascii="Arial" w:cs="Arial" w:eastAsia="Arial" w:hAnsi="Arial"/>
                <w:sz w:val="13"/>
                <w:szCs w:val="13"/>
                <w:color w:val="auto"/>
              </w:rPr>
              <w:t>(10.3)</w:t>
            </w:r>
          </w:p>
        </w:tc>
        <w:tc>
          <w:tcPr>
            <w:tcW w:w="60" w:type="dxa"/>
            <w:vAlign w:val="bottom"/>
          </w:tcPr>
          <w:p>
            <w:pPr>
              <w:spacing w:after="0"/>
              <w:rPr>
                <w:sz w:val="11"/>
                <w:szCs w:val="11"/>
                <w:color w:val="auto"/>
              </w:rPr>
            </w:pPr>
          </w:p>
        </w:tc>
        <w:tc>
          <w:tcPr>
            <w:tcW w:w="680" w:type="dxa"/>
            <w:vAlign w:val="bottom"/>
            <w:gridSpan w:val="2"/>
          </w:tcPr>
          <w:p>
            <w:pPr>
              <w:jc w:val="right"/>
              <w:ind w:right="78"/>
              <w:spacing w:after="0" w:line="135" w:lineRule="exact"/>
              <w:rPr>
                <w:sz w:val="20"/>
                <w:szCs w:val="20"/>
                <w:color w:val="auto"/>
              </w:rPr>
            </w:pPr>
            <w:r>
              <w:rPr>
                <w:rFonts w:ascii="Arial" w:cs="Arial" w:eastAsia="Arial" w:hAnsi="Arial"/>
                <w:sz w:val="13"/>
                <w:szCs w:val="13"/>
                <w:color w:val="auto"/>
              </w:rPr>
              <w:t>(23.2)</w:t>
            </w:r>
          </w:p>
        </w:tc>
        <w:tc>
          <w:tcPr>
            <w:tcW w:w="740" w:type="dxa"/>
            <w:vAlign w:val="bottom"/>
            <w:gridSpan w:val="2"/>
          </w:tcPr>
          <w:p>
            <w:pPr>
              <w:jc w:val="right"/>
              <w:ind w:right="97"/>
              <w:spacing w:after="0" w:line="135" w:lineRule="exact"/>
              <w:rPr>
                <w:sz w:val="20"/>
                <w:szCs w:val="20"/>
                <w:color w:val="auto"/>
              </w:rPr>
            </w:pPr>
            <w:r>
              <w:rPr>
                <w:rFonts w:ascii="Arial" w:cs="Arial" w:eastAsia="Arial" w:hAnsi="Arial"/>
                <w:sz w:val="13"/>
                <w:szCs w:val="13"/>
                <w:b w:val="1"/>
                <w:bCs w:val="1"/>
                <w:color w:val="auto"/>
              </w:rPr>
              <w:t>3.7</w:t>
            </w:r>
          </w:p>
        </w:tc>
        <w:tc>
          <w:tcPr>
            <w:tcW w:w="8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31.7</w:t>
            </w:r>
          </w:p>
        </w:tc>
        <w:tc>
          <w:tcPr>
            <w:tcW w:w="720" w:type="dxa"/>
            <w:vAlign w:val="bottom"/>
            <w:gridSpan w:val="2"/>
          </w:tcPr>
          <w:p>
            <w:pPr>
              <w:jc w:val="right"/>
              <w:ind w:right="102"/>
              <w:spacing w:after="0" w:line="135" w:lineRule="exact"/>
              <w:rPr>
                <w:sz w:val="20"/>
                <w:szCs w:val="20"/>
                <w:color w:val="auto"/>
              </w:rPr>
            </w:pPr>
            <w:r>
              <w:rPr>
                <w:rFonts w:ascii="Arial" w:cs="Arial" w:eastAsia="Arial" w:hAnsi="Arial"/>
                <w:sz w:val="13"/>
                <w:szCs w:val="13"/>
                <w:color w:val="auto"/>
              </w:rPr>
              <w:t>9.6</w:t>
            </w:r>
          </w:p>
        </w:tc>
        <w:tc>
          <w:tcPr>
            <w:tcW w:w="8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63.5</w:t>
            </w:r>
          </w:p>
        </w:tc>
        <w:tc>
          <w:tcPr>
            <w:tcW w:w="740" w:type="dxa"/>
            <w:vAlign w:val="bottom"/>
            <w:gridSpan w:val="2"/>
          </w:tcPr>
          <w:p>
            <w:pPr>
              <w:jc w:val="right"/>
              <w:ind w:right="57"/>
              <w:spacing w:after="0" w:line="135" w:lineRule="exact"/>
              <w:rPr>
                <w:sz w:val="20"/>
                <w:szCs w:val="20"/>
                <w:color w:val="auto"/>
              </w:rPr>
            </w:pPr>
            <w:r>
              <w:rPr>
                <w:rFonts w:ascii="Arial" w:cs="Arial" w:eastAsia="Arial" w:hAnsi="Arial"/>
                <w:sz w:val="13"/>
                <w:szCs w:val="13"/>
                <w:color w:val="auto"/>
              </w:rPr>
              <w:t>(5.9)</w:t>
            </w:r>
          </w:p>
        </w:tc>
        <w:tc>
          <w:tcPr>
            <w:tcW w:w="14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color w:val="auto"/>
              </w:rPr>
              <w:t>(31.8)</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6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Mortgage loans — commercial</w:t>
            </w: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4.4</w:t>
            </w:r>
          </w:p>
        </w:tc>
        <w:tc>
          <w:tcPr>
            <w:tcW w:w="1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120.6</w:t>
            </w: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5.1</w:t>
            </w: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134.2</w:t>
            </w:r>
          </w:p>
        </w:tc>
        <w:tc>
          <w:tcPr>
            <w:tcW w:w="760" w:type="dxa"/>
            <w:vAlign w:val="bottom"/>
            <w:gridSpan w:val="2"/>
            <w:shd w:val="clear" w:color="auto" w:fill="CCEEFF"/>
          </w:tcPr>
          <w:p>
            <w:pPr>
              <w:jc w:val="right"/>
              <w:ind w:right="77"/>
              <w:spacing w:after="0" w:line="135" w:lineRule="exact"/>
              <w:rPr>
                <w:sz w:val="20"/>
                <w:szCs w:val="20"/>
                <w:color w:val="auto"/>
              </w:rPr>
            </w:pPr>
            <w:r>
              <w:rPr>
                <w:rFonts w:ascii="Arial" w:cs="Arial" w:eastAsia="Arial" w:hAnsi="Arial"/>
                <w:sz w:val="13"/>
                <w:szCs w:val="13"/>
                <w:color w:val="auto"/>
              </w:rPr>
              <w:t>(0.7)</w:t>
            </w:r>
          </w:p>
        </w:tc>
        <w:tc>
          <w:tcPr>
            <w:tcW w:w="6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78"/>
              <w:spacing w:after="0" w:line="135" w:lineRule="exact"/>
              <w:rPr>
                <w:sz w:val="20"/>
                <w:szCs w:val="20"/>
                <w:color w:val="auto"/>
              </w:rPr>
            </w:pPr>
            <w:r>
              <w:rPr>
                <w:rFonts w:ascii="Arial" w:cs="Arial" w:eastAsia="Arial" w:hAnsi="Arial"/>
                <w:sz w:val="13"/>
                <w:szCs w:val="13"/>
                <w:color w:val="auto"/>
              </w:rPr>
              <w:t>(13.6)</w:t>
            </w:r>
          </w:p>
        </w:tc>
        <w:tc>
          <w:tcPr>
            <w:tcW w:w="740" w:type="dxa"/>
            <w:vAlign w:val="bottom"/>
            <w:gridSpan w:val="2"/>
            <w:shd w:val="clear" w:color="auto" w:fill="CCEEFF"/>
          </w:tcPr>
          <w:p>
            <w:pPr>
              <w:jc w:val="right"/>
              <w:ind w:right="97"/>
              <w:spacing w:after="0" w:line="135" w:lineRule="exact"/>
              <w:rPr>
                <w:sz w:val="20"/>
                <w:szCs w:val="20"/>
                <w:color w:val="auto"/>
              </w:rPr>
            </w:pPr>
            <w:r>
              <w:rPr>
                <w:rFonts w:ascii="Arial" w:cs="Arial" w:eastAsia="Arial" w:hAnsi="Arial"/>
                <w:sz w:val="13"/>
                <w:szCs w:val="13"/>
                <w:b w:val="1"/>
                <w:bCs w:val="1"/>
                <w:color w:val="auto"/>
              </w:rPr>
              <w:t>4.5</w:t>
            </w: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371.9</w:t>
            </w:r>
          </w:p>
        </w:tc>
        <w:tc>
          <w:tcPr>
            <w:tcW w:w="720" w:type="dxa"/>
            <w:vAlign w:val="bottom"/>
            <w:gridSpan w:val="2"/>
            <w:shd w:val="clear" w:color="auto" w:fill="CCEEFF"/>
          </w:tcPr>
          <w:p>
            <w:pPr>
              <w:jc w:val="right"/>
              <w:ind w:right="102"/>
              <w:spacing w:after="0" w:line="135" w:lineRule="exact"/>
              <w:rPr>
                <w:sz w:val="20"/>
                <w:szCs w:val="20"/>
                <w:color w:val="auto"/>
              </w:rPr>
            </w:pPr>
            <w:r>
              <w:rPr>
                <w:rFonts w:ascii="Arial" w:cs="Arial" w:eastAsia="Arial" w:hAnsi="Arial"/>
                <w:sz w:val="13"/>
                <w:szCs w:val="13"/>
                <w:color w:val="auto"/>
              </w:rPr>
              <w:t>5.2</w:t>
            </w: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411.9</w:t>
            </w:r>
          </w:p>
        </w:tc>
        <w:tc>
          <w:tcPr>
            <w:tcW w:w="160" w:type="dxa"/>
            <w:vAlign w:val="bottom"/>
            <w:shd w:val="clear" w:color="auto" w:fill="CCEEFF"/>
          </w:tcPr>
          <w:p>
            <w:pPr>
              <w:spacing w:after="0"/>
              <w:rPr>
                <w:sz w:val="11"/>
                <w:szCs w:val="11"/>
                <w:color w:val="auto"/>
              </w:rPr>
            </w:pPr>
          </w:p>
        </w:tc>
        <w:tc>
          <w:tcPr>
            <w:tcW w:w="740" w:type="dxa"/>
            <w:vAlign w:val="bottom"/>
            <w:gridSpan w:val="2"/>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(0.7)</w:t>
            </w:r>
          </w:p>
        </w:tc>
        <w:tc>
          <w:tcPr>
            <w:tcW w:w="14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
              <w:spacing w:after="0" w:line="135" w:lineRule="exact"/>
              <w:rPr>
                <w:sz w:val="20"/>
                <w:szCs w:val="20"/>
                <w:color w:val="auto"/>
              </w:rPr>
            </w:pPr>
            <w:r>
              <w:rPr>
                <w:rFonts w:ascii="Arial" w:cs="Arial" w:eastAsia="Arial" w:hAnsi="Arial"/>
                <w:sz w:val="13"/>
                <w:szCs w:val="13"/>
                <w:color w:val="auto"/>
              </w:rPr>
              <w:t>(40.0)</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60" w:type="dxa"/>
            <w:vAlign w:val="bottom"/>
          </w:tcPr>
          <w:p>
            <w:pPr>
              <w:spacing w:after="0" w:line="135" w:lineRule="exact"/>
              <w:rPr>
                <w:sz w:val="20"/>
                <w:szCs w:val="20"/>
                <w:color w:val="auto"/>
              </w:rPr>
            </w:pPr>
            <w:r>
              <w:rPr>
                <w:rFonts w:ascii="Arial" w:cs="Arial" w:eastAsia="Arial" w:hAnsi="Arial"/>
                <w:sz w:val="13"/>
                <w:szCs w:val="13"/>
                <w:color w:val="auto"/>
              </w:rPr>
              <w:t>Mortgage loans — residential</w:t>
            </w:r>
          </w:p>
        </w:tc>
        <w:tc>
          <w:tcPr>
            <w:tcW w:w="58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7.1</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19.3</w:t>
            </w:r>
          </w:p>
        </w:tc>
        <w:tc>
          <w:tcPr>
            <w:tcW w:w="580" w:type="dxa"/>
            <w:vAlign w:val="bottom"/>
          </w:tcPr>
          <w:p>
            <w:pPr>
              <w:jc w:val="right"/>
              <w:spacing w:after="0" w:line="135" w:lineRule="exact"/>
              <w:rPr>
                <w:sz w:val="20"/>
                <w:szCs w:val="20"/>
                <w:color w:val="auto"/>
              </w:rPr>
            </w:pPr>
            <w:r>
              <w:rPr>
                <w:rFonts w:ascii="Arial" w:cs="Arial" w:eastAsia="Arial" w:hAnsi="Arial"/>
                <w:sz w:val="13"/>
                <w:szCs w:val="13"/>
                <w:color w:val="auto"/>
              </w:rPr>
              <w:t>5.6</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16.8</w:t>
            </w:r>
          </w:p>
        </w:tc>
        <w:tc>
          <w:tcPr>
            <w:tcW w:w="760" w:type="dxa"/>
            <w:vAlign w:val="bottom"/>
            <w:gridSpan w:val="2"/>
          </w:tcPr>
          <w:p>
            <w:pPr>
              <w:jc w:val="right"/>
              <w:ind w:right="117"/>
              <w:spacing w:after="0" w:line="135" w:lineRule="exact"/>
              <w:rPr>
                <w:sz w:val="20"/>
                <w:szCs w:val="20"/>
                <w:color w:val="auto"/>
              </w:rPr>
            </w:pPr>
            <w:r>
              <w:rPr>
                <w:rFonts w:ascii="Arial" w:cs="Arial" w:eastAsia="Arial" w:hAnsi="Arial"/>
                <w:sz w:val="13"/>
                <w:szCs w:val="13"/>
                <w:color w:val="auto"/>
              </w:rPr>
              <w:t>1.5</w:t>
            </w:r>
          </w:p>
        </w:tc>
        <w:tc>
          <w:tcPr>
            <w:tcW w:w="60" w:type="dxa"/>
            <w:vAlign w:val="bottom"/>
          </w:tcPr>
          <w:p>
            <w:pPr>
              <w:spacing w:after="0"/>
              <w:rPr>
                <w:sz w:val="11"/>
                <w:szCs w:val="11"/>
                <w:color w:val="auto"/>
              </w:rPr>
            </w:pPr>
          </w:p>
        </w:tc>
        <w:tc>
          <w:tcPr>
            <w:tcW w:w="680" w:type="dxa"/>
            <w:vAlign w:val="bottom"/>
            <w:gridSpan w:val="2"/>
          </w:tcPr>
          <w:p>
            <w:pPr>
              <w:jc w:val="right"/>
              <w:ind w:right="118"/>
              <w:spacing w:after="0" w:line="135" w:lineRule="exact"/>
              <w:rPr>
                <w:sz w:val="20"/>
                <w:szCs w:val="20"/>
                <w:color w:val="auto"/>
              </w:rPr>
            </w:pPr>
            <w:r>
              <w:rPr>
                <w:rFonts w:ascii="Arial" w:cs="Arial" w:eastAsia="Arial" w:hAnsi="Arial"/>
                <w:sz w:val="13"/>
                <w:szCs w:val="13"/>
                <w:color w:val="auto"/>
              </w:rPr>
              <w:t>2.5</w:t>
            </w:r>
          </w:p>
        </w:tc>
        <w:tc>
          <w:tcPr>
            <w:tcW w:w="740" w:type="dxa"/>
            <w:vAlign w:val="bottom"/>
            <w:gridSpan w:val="2"/>
          </w:tcPr>
          <w:p>
            <w:pPr>
              <w:jc w:val="right"/>
              <w:ind w:right="97"/>
              <w:spacing w:after="0" w:line="135" w:lineRule="exact"/>
              <w:rPr>
                <w:sz w:val="20"/>
                <w:szCs w:val="20"/>
                <w:color w:val="auto"/>
              </w:rPr>
            </w:pPr>
            <w:r>
              <w:rPr>
                <w:rFonts w:ascii="Arial" w:cs="Arial" w:eastAsia="Arial" w:hAnsi="Arial"/>
                <w:sz w:val="13"/>
                <w:szCs w:val="13"/>
                <w:b w:val="1"/>
                <w:bCs w:val="1"/>
                <w:color w:val="auto"/>
              </w:rPr>
              <w:t>6.2</w:t>
            </w:r>
          </w:p>
        </w:tc>
        <w:tc>
          <w:tcPr>
            <w:tcW w:w="8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51.5</w:t>
            </w:r>
          </w:p>
        </w:tc>
        <w:tc>
          <w:tcPr>
            <w:tcW w:w="720" w:type="dxa"/>
            <w:vAlign w:val="bottom"/>
            <w:gridSpan w:val="2"/>
          </w:tcPr>
          <w:p>
            <w:pPr>
              <w:jc w:val="right"/>
              <w:ind w:right="102"/>
              <w:spacing w:after="0" w:line="135" w:lineRule="exact"/>
              <w:rPr>
                <w:sz w:val="20"/>
                <w:szCs w:val="20"/>
                <w:color w:val="auto"/>
              </w:rPr>
            </w:pPr>
            <w:r>
              <w:rPr>
                <w:rFonts w:ascii="Arial" w:cs="Arial" w:eastAsia="Arial" w:hAnsi="Arial"/>
                <w:sz w:val="13"/>
                <w:szCs w:val="13"/>
                <w:color w:val="auto"/>
              </w:rPr>
              <w:t>7.1</w:t>
            </w:r>
          </w:p>
        </w:tc>
        <w:tc>
          <w:tcPr>
            <w:tcW w:w="8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64.7</w:t>
            </w:r>
          </w:p>
        </w:tc>
        <w:tc>
          <w:tcPr>
            <w:tcW w:w="740" w:type="dxa"/>
            <w:vAlign w:val="bottom"/>
            <w:gridSpan w:val="2"/>
          </w:tcPr>
          <w:p>
            <w:pPr>
              <w:jc w:val="right"/>
              <w:ind w:right="57"/>
              <w:spacing w:after="0" w:line="135" w:lineRule="exact"/>
              <w:rPr>
                <w:sz w:val="20"/>
                <w:szCs w:val="20"/>
                <w:color w:val="auto"/>
              </w:rPr>
            </w:pPr>
            <w:r>
              <w:rPr>
                <w:rFonts w:ascii="Arial" w:cs="Arial" w:eastAsia="Arial" w:hAnsi="Arial"/>
                <w:sz w:val="13"/>
                <w:szCs w:val="13"/>
                <w:color w:val="auto"/>
              </w:rPr>
              <w:t>(0.9)</w:t>
            </w:r>
          </w:p>
        </w:tc>
        <w:tc>
          <w:tcPr>
            <w:tcW w:w="14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color w:val="auto"/>
              </w:rPr>
              <w:t>(13.2)</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6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Real estate</w:t>
            </w: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6.0</w:t>
            </w:r>
          </w:p>
        </w:tc>
        <w:tc>
          <w:tcPr>
            <w:tcW w:w="1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21.6</w:t>
            </w: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4.7</w:t>
            </w: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15.5</w:t>
            </w:r>
          </w:p>
        </w:tc>
        <w:tc>
          <w:tcPr>
            <w:tcW w:w="760" w:type="dxa"/>
            <w:vAlign w:val="bottom"/>
            <w:gridSpan w:val="2"/>
            <w:shd w:val="clear" w:color="auto" w:fill="CCEEFF"/>
          </w:tcPr>
          <w:p>
            <w:pPr>
              <w:jc w:val="right"/>
              <w:ind w:right="117"/>
              <w:spacing w:after="0" w:line="135" w:lineRule="exact"/>
              <w:rPr>
                <w:sz w:val="20"/>
                <w:szCs w:val="20"/>
                <w:color w:val="auto"/>
              </w:rPr>
            </w:pPr>
            <w:r>
              <w:rPr>
                <w:rFonts w:ascii="Arial" w:cs="Arial" w:eastAsia="Arial" w:hAnsi="Arial"/>
                <w:sz w:val="13"/>
                <w:szCs w:val="13"/>
                <w:color w:val="auto"/>
              </w:rPr>
              <w:t>1.3</w:t>
            </w:r>
          </w:p>
        </w:tc>
        <w:tc>
          <w:tcPr>
            <w:tcW w:w="6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118"/>
              <w:spacing w:after="0" w:line="135" w:lineRule="exact"/>
              <w:rPr>
                <w:sz w:val="20"/>
                <w:szCs w:val="20"/>
                <w:color w:val="auto"/>
              </w:rPr>
            </w:pPr>
            <w:r>
              <w:rPr>
                <w:rFonts w:ascii="Arial" w:cs="Arial" w:eastAsia="Arial" w:hAnsi="Arial"/>
                <w:sz w:val="13"/>
                <w:szCs w:val="13"/>
                <w:color w:val="auto"/>
              </w:rPr>
              <w:t>6.1</w:t>
            </w:r>
          </w:p>
        </w:tc>
        <w:tc>
          <w:tcPr>
            <w:tcW w:w="740" w:type="dxa"/>
            <w:vAlign w:val="bottom"/>
            <w:gridSpan w:val="2"/>
            <w:shd w:val="clear" w:color="auto" w:fill="CCEEFF"/>
          </w:tcPr>
          <w:p>
            <w:pPr>
              <w:jc w:val="right"/>
              <w:ind w:right="97"/>
              <w:spacing w:after="0" w:line="135" w:lineRule="exact"/>
              <w:rPr>
                <w:sz w:val="20"/>
                <w:szCs w:val="20"/>
                <w:color w:val="auto"/>
              </w:rPr>
            </w:pPr>
            <w:r>
              <w:rPr>
                <w:rFonts w:ascii="Arial" w:cs="Arial" w:eastAsia="Arial" w:hAnsi="Arial"/>
                <w:sz w:val="13"/>
                <w:szCs w:val="13"/>
                <w:b w:val="1"/>
                <w:bCs w:val="1"/>
                <w:color w:val="auto"/>
              </w:rPr>
              <w:t>7.8</w:t>
            </w: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80.5</w:t>
            </w:r>
          </w:p>
        </w:tc>
        <w:tc>
          <w:tcPr>
            <w:tcW w:w="720" w:type="dxa"/>
            <w:vAlign w:val="bottom"/>
            <w:gridSpan w:val="2"/>
            <w:shd w:val="clear" w:color="auto" w:fill="CCEEFF"/>
          </w:tcPr>
          <w:p>
            <w:pPr>
              <w:jc w:val="right"/>
              <w:ind w:right="102"/>
              <w:spacing w:after="0" w:line="135" w:lineRule="exact"/>
              <w:rPr>
                <w:sz w:val="20"/>
                <w:szCs w:val="20"/>
                <w:color w:val="auto"/>
              </w:rPr>
            </w:pPr>
            <w:r>
              <w:rPr>
                <w:rFonts w:ascii="Arial" w:cs="Arial" w:eastAsia="Arial" w:hAnsi="Arial"/>
                <w:sz w:val="13"/>
                <w:szCs w:val="13"/>
                <w:color w:val="auto"/>
              </w:rPr>
              <w:t>9.5</w:t>
            </w: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93.6</w:t>
            </w:r>
          </w:p>
        </w:tc>
        <w:tc>
          <w:tcPr>
            <w:tcW w:w="740" w:type="dxa"/>
            <w:vAlign w:val="bottom"/>
            <w:gridSpan w:val="2"/>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(1.7)</w:t>
            </w:r>
          </w:p>
        </w:tc>
        <w:tc>
          <w:tcPr>
            <w:tcW w:w="14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
              <w:spacing w:after="0" w:line="135" w:lineRule="exact"/>
              <w:rPr>
                <w:sz w:val="20"/>
                <w:szCs w:val="20"/>
                <w:color w:val="auto"/>
              </w:rPr>
            </w:pPr>
            <w:r>
              <w:rPr>
                <w:rFonts w:ascii="Arial" w:cs="Arial" w:eastAsia="Arial" w:hAnsi="Arial"/>
                <w:sz w:val="13"/>
                <w:szCs w:val="13"/>
                <w:color w:val="auto"/>
              </w:rPr>
              <w:t>(13.1)</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60" w:type="dxa"/>
            <w:vAlign w:val="bottom"/>
          </w:tcPr>
          <w:p>
            <w:pPr>
              <w:spacing w:after="0" w:line="135" w:lineRule="exact"/>
              <w:rPr>
                <w:sz w:val="20"/>
                <w:szCs w:val="20"/>
                <w:color w:val="auto"/>
              </w:rPr>
            </w:pPr>
            <w:r>
              <w:rPr>
                <w:rFonts w:ascii="Arial" w:cs="Arial" w:eastAsia="Arial" w:hAnsi="Arial"/>
                <w:sz w:val="13"/>
                <w:szCs w:val="13"/>
                <w:color w:val="auto"/>
              </w:rPr>
              <w:t>Policy loans</w:t>
            </w:r>
          </w:p>
        </w:tc>
        <w:tc>
          <w:tcPr>
            <w:tcW w:w="58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5.6</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11.5</w:t>
            </w:r>
          </w:p>
        </w:tc>
        <w:tc>
          <w:tcPr>
            <w:tcW w:w="580" w:type="dxa"/>
            <w:vAlign w:val="bottom"/>
          </w:tcPr>
          <w:p>
            <w:pPr>
              <w:jc w:val="right"/>
              <w:spacing w:after="0" w:line="135" w:lineRule="exact"/>
              <w:rPr>
                <w:sz w:val="20"/>
                <w:szCs w:val="20"/>
                <w:color w:val="auto"/>
              </w:rPr>
            </w:pPr>
            <w:r>
              <w:rPr>
                <w:rFonts w:ascii="Arial" w:cs="Arial" w:eastAsia="Arial" w:hAnsi="Arial"/>
                <w:sz w:val="13"/>
                <w:szCs w:val="13"/>
                <w:color w:val="auto"/>
              </w:rPr>
              <w:t>5.9</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12.3</w:t>
            </w:r>
          </w:p>
        </w:tc>
        <w:tc>
          <w:tcPr>
            <w:tcW w:w="760" w:type="dxa"/>
            <w:vAlign w:val="bottom"/>
            <w:gridSpan w:val="2"/>
          </w:tcPr>
          <w:p>
            <w:pPr>
              <w:jc w:val="right"/>
              <w:ind w:right="77"/>
              <w:spacing w:after="0" w:line="135" w:lineRule="exact"/>
              <w:rPr>
                <w:sz w:val="20"/>
                <w:szCs w:val="20"/>
                <w:color w:val="auto"/>
              </w:rPr>
            </w:pPr>
            <w:r>
              <w:rPr>
                <w:rFonts w:ascii="Arial" w:cs="Arial" w:eastAsia="Arial" w:hAnsi="Arial"/>
                <w:sz w:val="13"/>
                <w:szCs w:val="13"/>
                <w:color w:val="auto"/>
              </w:rPr>
              <w:t>(0.3)</w:t>
            </w:r>
          </w:p>
        </w:tc>
        <w:tc>
          <w:tcPr>
            <w:tcW w:w="60" w:type="dxa"/>
            <w:vAlign w:val="bottom"/>
          </w:tcPr>
          <w:p>
            <w:pPr>
              <w:spacing w:after="0"/>
              <w:rPr>
                <w:sz w:val="11"/>
                <w:szCs w:val="11"/>
                <w:color w:val="auto"/>
              </w:rPr>
            </w:pPr>
          </w:p>
        </w:tc>
        <w:tc>
          <w:tcPr>
            <w:tcW w:w="680" w:type="dxa"/>
            <w:vAlign w:val="bottom"/>
            <w:gridSpan w:val="2"/>
          </w:tcPr>
          <w:p>
            <w:pPr>
              <w:jc w:val="right"/>
              <w:ind w:right="78"/>
              <w:spacing w:after="0" w:line="135" w:lineRule="exact"/>
              <w:rPr>
                <w:sz w:val="20"/>
                <w:szCs w:val="20"/>
                <w:color w:val="auto"/>
              </w:rPr>
            </w:pPr>
            <w:r>
              <w:rPr>
                <w:rFonts w:ascii="Arial" w:cs="Arial" w:eastAsia="Arial" w:hAnsi="Arial"/>
                <w:sz w:val="13"/>
                <w:szCs w:val="13"/>
                <w:color w:val="auto"/>
              </w:rPr>
              <w:t>(0.8)</w:t>
            </w:r>
          </w:p>
        </w:tc>
        <w:tc>
          <w:tcPr>
            <w:tcW w:w="740" w:type="dxa"/>
            <w:vAlign w:val="bottom"/>
            <w:gridSpan w:val="2"/>
          </w:tcPr>
          <w:p>
            <w:pPr>
              <w:jc w:val="right"/>
              <w:ind w:right="97"/>
              <w:spacing w:after="0" w:line="135" w:lineRule="exact"/>
              <w:rPr>
                <w:sz w:val="20"/>
                <w:szCs w:val="20"/>
                <w:color w:val="auto"/>
              </w:rPr>
            </w:pPr>
            <w:r>
              <w:rPr>
                <w:rFonts w:ascii="Arial" w:cs="Arial" w:eastAsia="Arial" w:hAnsi="Arial"/>
                <w:sz w:val="13"/>
                <w:szCs w:val="13"/>
                <w:b w:val="1"/>
                <w:bCs w:val="1"/>
                <w:color w:val="auto"/>
              </w:rPr>
              <w:t>5.6</w:t>
            </w:r>
          </w:p>
        </w:tc>
        <w:tc>
          <w:tcPr>
            <w:tcW w:w="8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35.0</w:t>
            </w:r>
          </w:p>
        </w:tc>
        <w:tc>
          <w:tcPr>
            <w:tcW w:w="720" w:type="dxa"/>
            <w:vAlign w:val="bottom"/>
            <w:gridSpan w:val="2"/>
          </w:tcPr>
          <w:p>
            <w:pPr>
              <w:jc w:val="right"/>
              <w:ind w:right="102"/>
              <w:spacing w:after="0" w:line="135" w:lineRule="exact"/>
              <w:rPr>
                <w:sz w:val="20"/>
                <w:szCs w:val="20"/>
                <w:color w:val="auto"/>
              </w:rPr>
            </w:pPr>
            <w:r>
              <w:rPr>
                <w:rFonts w:ascii="Arial" w:cs="Arial" w:eastAsia="Arial" w:hAnsi="Arial"/>
                <w:sz w:val="13"/>
                <w:szCs w:val="13"/>
                <w:color w:val="auto"/>
              </w:rPr>
              <w:t>5.8</w:t>
            </w:r>
          </w:p>
        </w:tc>
        <w:tc>
          <w:tcPr>
            <w:tcW w:w="8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37.0</w:t>
            </w:r>
          </w:p>
        </w:tc>
        <w:tc>
          <w:tcPr>
            <w:tcW w:w="740" w:type="dxa"/>
            <w:vAlign w:val="bottom"/>
            <w:gridSpan w:val="2"/>
          </w:tcPr>
          <w:p>
            <w:pPr>
              <w:jc w:val="right"/>
              <w:ind w:right="57"/>
              <w:spacing w:after="0" w:line="135" w:lineRule="exact"/>
              <w:rPr>
                <w:sz w:val="20"/>
                <w:szCs w:val="20"/>
                <w:color w:val="auto"/>
              </w:rPr>
            </w:pPr>
            <w:r>
              <w:rPr>
                <w:rFonts w:ascii="Arial" w:cs="Arial" w:eastAsia="Arial" w:hAnsi="Arial"/>
                <w:sz w:val="13"/>
                <w:szCs w:val="13"/>
                <w:color w:val="auto"/>
              </w:rPr>
              <w:t>(0.2)</w:t>
            </w:r>
          </w:p>
        </w:tc>
        <w:tc>
          <w:tcPr>
            <w:tcW w:w="14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color w:val="auto"/>
              </w:rPr>
              <w:t>(2.0)</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6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Cash and cash equivalents</w:t>
            </w: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0.4</w:t>
            </w:r>
          </w:p>
        </w:tc>
        <w:tc>
          <w:tcPr>
            <w:tcW w:w="1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b w:val="1"/>
                <w:bCs w:val="1"/>
                <w:color w:val="auto"/>
              </w:rPr>
              <w:t>2.4</w:t>
            </w: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0.4</w:t>
            </w: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1.6</w:t>
            </w:r>
          </w:p>
        </w:tc>
        <w:tc>
          <w:tcPr>
            <w:tcW w:w="820" w:type="dxa"/>
            <w:vAlign w:val="bottom"/>
            <w:gridSpan w:val="3"/>
            <w:shd w:val="clear" w:color="auto" w:fill="CCEEFF"/>
          </w:tcPr>
          <w:p>
            <w:pPr>
              <w:jc w:val="right"/>
              <w:ind w:right="193"/>
              <w:spacing w:after="0" w:line="135"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ind w:right="118"/>
              <w:spacing w:after="0" w:line="135" w:lineRule="exact"/>
              <w:rPr>
                <w:sz w:val="20"/>
                <w:szCs w:val="20"/>
                <w:color w:val="auto"/>
              </w:rPr>
            </w:pPr>
            <w:r>
              <w:rPr>
                <w:rFonts w:ascii="Arial" w:cs="Arial" w:eastAsia="Arial" w:hAnsi="Arial"/>
                <w:sz w:val="13"/>
                <w:szCs w:val="13"/>
                <w:color w:val="auto"/>
              </w:rPr>
              <w:t>0.8</w:t>
            </w:r>
          </w:p>
        </w:tc>
        <w:tc>
          <w:tcPr>
            <w:tcW w:w="740" w:type="dxa"/>
            <w:vAlign w:val="bottom"/>
            <w:gridSpan w:val="2"/>
            <w:shd w:val="clear" w:color="auto" w:fill="CCEEFF"/>
          </w:tcPr>
          <w:p>
            <w:pPr>
              <w:jc w:val="right"/>
              <w:ind w:right="97"/>
              <w:spacing w:after="0" w:line="135" w:lineRule="exact"/>
              <w:rPr>
                <w:sz w:val="20"/>
                <w:szCs w:val="20"/>
                <w:color w:val="auto"/>
              </w:rPr>
            </w:pPr>
            <w:r>
              <w:rPr>
                <w:rFonts w:ascii="Arial" w:cs="Arial" w:eastAsia="Arial" w:hAnsi="Arial"/>
                <w:sz w:val="13"/>
                <w:szCs w:val="13"/>
                <w:b w:val="1"/>
                <w:bCs w:val="1"/>
                <w:color w:val="auto"/>
              </w:rPr>
              <w:t>0.4</w:t>
            </w: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b w:val="1"/>
                <w:bCs w:val="1"/>
                <w:color w:val="auto"/>
              </w:rPr>
              <w:t>6.2</w:t>
            </w:r>
          </w:p>
        </w:tc>
        <w:tc>
          <w:tcPr>
            <w:tcW w:w="720" w:type="dxa"/>
            <w:vAlign w:val="bottom"/>
            <w:gridSpan w:val="2"/>
            <w:shd w:val="clear" w:color="auto" w:fill="CCEEFF"/>
          </w:tcPr>
          <w:p>
            <w:pPr>
              <w:jc w:val="right"/>
              <w:ind w:right="102"/>
              <w:spacing w:after="0" w:line="135" w:lineRule="exact"/>
              <w:rPr>
                <w:sz w:val="20"/>
                <w:szCs w:val="20"/>
                <w:color w:val="auto"/>
              </w:rPr>
            </w:pPr>
            <w:r>
              <w:rPr>
                <w:rFonts w:ascii="Arial" w:cs="Arial" w:eastAsia="Arial" w:hAnsi="Arial"/>
                <w:sz w:val="13"/>
                <w:szCs w:val="13"/>
                <w:color w:val="auto"/>
              </w:rPr>
              <w:t>0.4</w:t>
            </w: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4.9</w:t>
            </w:r>
          </w:p>
        </w:tc>
        <w:tc>
          <w:tcPr>
            <w:tcW w:w="740" w:type="dxa"/>
            <w:vAlign w:val="bottom"/>
            <w:gridSpan w:val="2"/>
            <w:shd w:val="clear" w:color="auto" w:fill="CCEEFF"/>
          </w:tcPr>
          <w:p>
            <w:pPr>
              <w:jc w:val="right"/>
              <w:ind w:right="97"/>
              <w:spacing w:after="0" w:line="135"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1.3</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60" w:type="dxa"/>
            <w:vAlign w:val="bottom"/>
          </w:tcPr>
          <w:p>
            <w:pPr>
              <w:spacing w:after="0" w:line="135" w:lineRule="exact"/>
              <w:rPr>
                <w:sz w:val="20"/>
                <w:szCs w:val="20"/>
                <w:color w:val="auto"/>
              </w:rPr>
            </w:pPr>
            <w:r>
              <w:rPr>
                <w:rFonts w:ascii="Arial" w:cs="Arial" w:eastAsia="Arial" w:hAnsi="Arial"/>
                <w:sz w:val="13"/>
                <w:szCs w:val="13"/>
                <w:color w:val="auto"/>
              </w:rPr>
              <w:t>Other investments</w:t>
            </w:r>
          </w:p>
        </w:tc>
        <w:tc>
          <w:tcPr>
            <w:tcW w:w="58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6.3</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jc w:val="right"/>
              <w:ind w:right="180"/>
              <w:spacing w:after="0" w:line="135" w:lineRule="exact"/>
              <w:rPr>
                <w:sz w:val="20"/>
                <w:szCs w:val="20"/>
                <w:color w:val="auto"/>
              </w:rPr>
            </w:pPr>
            <w:r>
              <w:rPr>
                <w:rFonts w:ascii="Arial" w:cs="Arial" w:eastAsia="Arial" w:hAnsi="Arial"/>
                <w:sz w:val="13"/>
                <w:szCs w:val="13"/>
                <w:b w:val="1"/>
                <w:bCs w:val="1"/>
                <w:color w:val="auto"/>
              </w:rPr>
              <w:t>51.8</w:t>
            </w:r>
          </w:p>
        </w:tc>
        <w:tc>
          <w:tcPr>
            <w:tcW w:w="580" w:type="dxa"/>
            <w:vAlign w:val="bottom"/>
          </w:tcPr>
          <w:p>
            <w:pPr>
              <w:jc w:val="right"/>
              <w:spacing w:after="0" w:line="135" w:lineRule="exact"/>
              <w:rPr>
                <w:sz w:val="20"/>
                <w:szCs w:val="20"/>
                <w:color w:val="auto"/>
              </w:rPr>
            </w:pPr>
            <w:r>
              <w:rPr>
                <w:rFonts w:ascii="Arial" w:cs="Arial" w:eastAsia="Arial" w:hAnsi="Arial"/>
                <w:sz w:val="13"/>
                <w:szCs w:val="13"/>
                <w:color w:val="auto"/>
              </w:rPr>
              <w:t>4.5</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34.0</w:t>
            </w:r>
          </w:p>
        </w:tc>
        <w:tc>
          <w:tcPr>
            <w:tcW w:w="760" w:type="dxa"/>
            <w:vAlign w:val="bottom"/>
            <w:gridSpan w:val="2"/>
          </w:tcPr>
          <w:p>
            <w:pPr>
              <w:jc w:val="right"/>
              <w:ind w:right="117"/>
              <w:spacing w:after="0" w:line="135" w:lineRule="exact"/>
              <w:rPr>
                <w:sz w:val="20"/>
                <w:szCs w:val="20"/>
                <w:color w:val="auto"/>
              </w:rPr>
            </w:pPr>
            <w:r>
              <w:rPr>
                <w:rFonts w:ascii="Arial" w:cs="Arial" w:eastAsia="Arial" w:hAnsi="Arial"/>
                <w:sz w:val="13"/>
                <w:szCs w:val="13"/>
                <w:color w:val="auto"/>
              </w:rPr>
              <w:t>1.8</w:t>
            </w:r>
          </w:p>
        </w:tc>
        <w:tc>
          <w:tcPr>
            <w:tcW w:w="60" w:type="dxa"/>
            <w:vAlign w:val="bottom"/>
          </w:tcPr>
          <w:p>
            <w:pPr>
              <w:spacing w:after="0"/>
              <w:rPr>
                <w:sz w:val="11"/>
                <w:szCs w:val="11"/>
                <w:color w:val="auto"/>
              </w:rPr>
            </w:pPr>
          </w:p>
        </w:tc>
        <w:tc>
          <w:tcPr>
            <w:tcW w:w="680" w:type="dxa"/>
            <w:vAlign w:val="bottom"/>
            <w:gridSpan w:val="2"/>
          </w:tcPr>
          <w:p>
            <w:pPr>
              <w:jc w:val="right"/>
              <w:ind w:right="118"/>
              <w:spacing w:after="0" w:line="135" w:lineRule="exact"/>
              <w:rPr>
                <w:sz w:val="20"/>
                <w:szCs w:val="20"/>
                <w:color w:val="auto"/>
              </w:rPr>
            </w:pPr>
            <w:r>
              <w:rPr>
                <w:rFonts w:ascii="Arial" w:cs="Arial" w:eastAsia="Arial" w:hAnsi="Arial"/>
                <w:sz w:val="13"/>
                <w:szCs w:val="13"/>
                <w:color w:val="auto"/>
              </w:rPr>
              <w:t>17.8</w:t>
            </w:r>
          </w:p>
        </w:tc>
        <w:tc>
          <w:tcPr>
            <w:tcW w:w="740" w:type="dxa"/>
            <w:vAlign w:val="bottom"/>
            <w:gridSpan w:val="2"/>
          </w:tcPr>
          <w:p>
            <w:pPr>
              <w:jc w:val="right"/>
              <w:ind w:right="97"/>
              <w:spacing w:after="0" w:line="135" w:lineRule="exact"/>
              <w:rPr>
                <w:sz w:val="20"/>
                <w:szCs w:val="20"/>
                <w:color w:val="auto"/>
              </w:rPr>
            </w:pPr>
            <w:r>
              <w:rPr>
                <w:rFonts w:ascii="Arial" w:cs="Arial" w:eastAsia="Arial" w:hAnsi="Arial"/>
                <w:sz w:val="13"/>
                <w:szCs w:val="13"/>
                <w:b w:val="1"/>
                <w:bCs w:val="1"/>
                <w:color w:val="auto"/>
              </w:rPr>
              <w:t>5.9</w:t>
            </w:r>
          </w:p>
        </w:tc>
        <w:tc>
          <w:tcPr>
            <w:tcW w:w="8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b w:val="1"/>
                <w:bCs w:val="1"/>
                <w:color w:val="auto"/>
              </w:rPr>
              <w:t>143.1</w:t>
            </w:r>
          </w:p>
        </w:tc>
        <w:tc>
          <w:tcPr>
            <w:tcW w:w="720" w:type="dxa"/>
            <w:vAlign w:val="bottom"/>
            <w:gridSpan w:val="2"/>
          </w:tcPr>
          <w:p>
            <w:pPr>
              <w:jc w:val="right"/>
              <w:ind w:right="102"/>
              <w:spacing w:after="0" w:line="135" w:lineRule="exact"/>
              <w:rPr>
                <w:sz w:val="20"/>
                <w:szCs w:val="20"/>
                <w:color w:val="auto"/>
              </w:rPr>
            </w:pPr>
            <w:r>
              <w:rPr>
                <w:rFonts w:ascii="Arial" w:cs="Arial" w:eastAsia="Arial" w:hAnsi="Arial"/>
                <w:sz w:val="13"/>
                <w:szCs w:val="13"/>
                <w:color w:val="auto"/>
              </w:rPr>
              <w:t>4.8</w:t>
            </w:r>
          </w:p>
        </w:tc>
        <w:tc>
          <w:tcPr>
            <w:tcW w:w="8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106.4</w:t>
            </w:r>
          </w:p>
        </w:tc>
        <w:tc>
          <w:tcPr>
            <w:tcW w:w="740" w:type="dxa"/>
            <w:vAlign w:val="bottom"/>
            <w:gridSpan w:val="2"/>
          </w:tcPr>
          <w:p>
            <w:pPr>
              <w:jc w:val="right"/>
              <w:ind w:right="97"/>
              <w:spacing w:after="0" w:line="135" w:lineRule="exact"/>
              <w:rPr>
                <w:sz w:val="20"/>
                <w:szCs w:val="20"/>
                <w:color w:val="auto"/>
              </w:rPr>
            </w:pPr>
            <w:r>
              <w:rPr>
                <w:rFonts w:ascii="Arial" w:cs="Arial" w:eastAsia="Arial" w:hAnsi="Arial"/>
                <w:sz w:val="13"/>
                <w:szCs w:val="13"/>
                <w:color w:val="auto"/>
              </w:rPr>
              <w:t>1.1</w:t>
            </w:r>
          </w:p>
        </w:tc>
        <w:tc>
          <w:tcPr>
            <w:tcW w:w="140" w:type="dxa"/>
            <w:vAlign w:val="bottom"/>
          </w:tcPr>
          <w:p>
            <w:pPr>
              <w:spacing w:after="0"/>
              <w:rPr>
                <w:sz w:val="11"/>
                <w:szCs w:val="11"/>
                <w:color w:val="auto"/>
              </w:rPr>
            </w:pPr>
          </w:p>
        </w:tc>
        <w:tc>
          <w:tcPr>
            <w:tcW w:w="520" w:type="dxa"/>
            <w:vAlign w:val="bottom"/>
            <w:gridSpan w:val="2"/>
          </w:tcPr>
          <w:p>
            <w:pPr>
              <w:jc w:val="right"/>
              <w:ind w:right="58"/>
              <w:spacing w:after="0" w:line="135" w:lineRule="exact"/>
              <w:rPr>
                <w:sz w:val="20"/>
                <w:szCs w:val="20"/>
                <w:color w:val="auto"/>
              </w:rPr>
            </w:pPr>
            <w:r>
              <w:rPr>
                <w:rFonts w:ascii="Arial" w:cs="Arial" w:eastAsia="Arial" w:hAnsi="Arial"/>
                <w:sz w:val="13"/>
                <w:szCs w:val="13"/>
                <w:color w:val="auto"/>
              </w:rPr>
              <w:t>36.7</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460" w:type="dxa"/>
            <w:vAlign w:val="bottom"/>
            <w:tcBorders>
              <w:top w:val="single" w:sz="8" w:color="CCEEFF"/>
            </w:tcBorders>
            <w:shd w:val="clear" w:color="auto" w:fill="CCEEFF"/>
          </w:tcPr>
          <w:p>
            <w:pPr>
              <w:ind w:left="180"/>
              <w:spacing w:after="0" w:line="129" w:lineRule="exact"/>
              <w:rPr>
                <w:sz w:val="20"/>
                <w:szCs w:val="20"/>
                <w:color w:val="auto"/>
              </w:rPr>
            </w:pPr>
            <w:r>
              <w:rPr>
                <w:rFonts w:ascii="Arial" w:cs="Arial" w:eastAsia="Arial" w:hAnsi="Arial"/>
                <w:sz w:val="13"/>
                <w:szCs w:val="13"/>
                <w:color w:val="auto"/>
              </w:rPr>
              <w:t>Total before investment expenses</w:t>
            </w:r>
          </w:p>
        </w:tc>
        <w:tc>
          <w:tcPr>
            <w:tcW w:w="58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b w:val="1"/>
                <w:bCs w:val="1"/>
                <w:color w:val="auto"/>
              </w:rPr>
              <w:t>4.5</w:t>
            </w:r>
          </w:p>
        </w:tc>
        <w:tc>
          <w:tcPr>
            <w:tcW w:w="18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52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b w:val="1"/>
                <w:bCs w:val="1"/>
                <w:color w:val="auto"/>
              </w:rPr>
              <w:t>772.2</w:t>
            </w:r>
          </w:p>
        </w:tc>
        <w:tc>
          <w:tcPr>
            <w:tcW w:w="180" w:type="dxa"/>
            <w:vAlign w:val="bottom"/>
            <w:tcBorders>
              <w:top w:val="single" w:sz="8" w:color="CCEEFF"/>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4.7</w:t>
            </w:r>
          </w:p>
        </w:tc>
        <w:tc>
          <w:tcPr>
            <w:tcW w:w="16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789.3</w:t>
            </w:r>
          </w:p>
        </w:tc>
        <w:tc>
          <w:tcPr>
            <w:tcW w:w="180" w:type="dxa"/>
            <w:vAlign w:val="bottom"/>
            <w:tcBorders>
              <w:top w:val="single" w:sz="8" w:color="CCEEFF"/>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(0.2)</w:t>
            </w:r>
          </w:p>
        </w:tc>
        <w:tc>
          <w:tcPr>
            <w:tcW w:w="18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52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(17.1)</w:t>
            </w:r>
          </w:p>
        </w:tc>
        <w:tc>
          <w:tcPr>
            <w:tcW w:w="160" w:type="dxa"/>
            <w:vAlign w:val="bottom"/>
            <w:tcBorders>
              <w:top w:val="single" w:sz="8" w:color="CCEEFF"/>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b w:val="1"/>
                <w:bCs w:val="1"/>
                <w:color w:val="auto"/>
              </w:rPr>
              <w:t>4.5</w:t>
            </w:r>
          </w:p>
        </w:tc>
        <w:tc>
          <w:tcPr>
            <w:tcW w:w="16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b w:val="1"/>
                <w:bCs w:val="1"/>
                <w:color w:val="auto"/>
              </w:rPr>
              <w:t>2,324.6</w:t>
            </w:r>
          </w:p>
        </w:tc>
        <w:tc>
          <w:tcPr>
            <w:tcW w:w="160" w:type="dxa"/>
            <w:vAlign w:val="bottom"/>
            <w:tcBorders>
              <w:top w:val="single" w:sz="8" w:color="CCEEFF"/>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5.0</w:t>
            </w:r>
          </w:p>
        </w:tc>
        <w:tc>
          <w:tcPr>
            <w:tcW w:w="16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2,501.3</w:t>
            </w:r>
          </w:p>
        </w:tc>
        <w:tc>
          <w:tcPr>
            <w:tcW w:w="160" w:type="dxa"/>
            <w:vAlign w:val="bottom"/>
            <w:tcBorders>
              <w:top w:val="single" w:sz="8" w:color="CCEEFF"/>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(0.5)</w:t>
            </w:r>
          </w:p>
        </w:tc>
        <w:tc>
          <w:tcPr>
            <w:tcW w:w="16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42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w w:val="97"/>
              </w:rPr>
              <w:t>(176.7)</w:t>
            </w:r>
          </w:p>
        </w:tc>
        <w:tc>
          <w:tcPr>
            <w:tcW w:w="10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460" w:type="dxa"/>
            <w:vAlign w:val="bottom"/>
          </w:tcPr>
          <w:p>
            <w:pPr>
              <w:spacing w:after="0" w:line="135" w:lineRule="exact"/>
              <w:rPr>
                <w:sz w:val="20"/>
                <w:szCs w:val="20"/>
                <w:color w:val="auto"/>
              </w:rPr>
            </w:pPr>
            <w:r>
              <w:rPr>
                <w:rFonts w:ascii="Arial" w:cs="Arial" w:eastAsia="Arial" w:hAnsi="Arial"/>
                <w:sz w:val="13"/>
                <w:szCs w:val="13"/>
                <w:color w:val="auto"/>
              </w:rPr>
              <w:t>Investment expenses</w:t>
            </w:r>
          </w:p>
        </w:tc>
        <w:tc>
          <w:tcPr>
            <w:tcW w:w="760" w:type="dxa"/>
            <w:vAlign w:val="bottom"/>
            <w:gridSpan w:val="2"/>
          </w:tcPr>
          <w:p>
            <w:pPr>
              <w:jc w:val="right"/>
              <w:ind w:right="77"/>
              <w:spacing w:after="0" w:line="135" w:lineRule="exact"/>
              <w:rPr>
                <w:sz w:val="20"/>
                <w:szCs w:val="20"/>
                <w:color w:val="auto"/>
              </w:rPr>
            </w:pPr>
            <w:r>
              <w:rPr>
                <w:rFonts w:ascii="Arial" w:cs="Arial" w:eastAsia="Arial" w:hAnsi="Arial"/>
                <w:sz w:val="13"/>
                <w:szCs w:val="13"/>
                <w:b w:val="1"/>
                <w:bCs w:val="1"/>
                <w:color w:val="auto"/>
              </w:rPr>
              <w:t>(0.1)</w:t>
            </w:r>
          </w:p>
        </w:tc>
        <w:tc>
          <w:tcPr>
            <w:tcW w:w="60" w:type="dxa"/>
            <w:vAlign w:val="bottom"/>
          </w:tcPr>
          <w:p>
            <w:pPr>
              <w:spacing w:after="0"/>
              <w:rPr>
                <w:sz w:val="11"/>
                <w:szCs w:val="11"/>
                <w:color w:val="auto"/>
              </w:rPr>
            </w:pPr>
          </w:p>
        </w:tc>
        <w:tc>
          <w:tcPr>
            <w:tcW w:w="700" w:type="dxa"/>
            <w:vAlign w:val="bottom"/>
            <w:gridSpan w:val="2"/>
          </w:tcPr>
          <w:p>
            <w:pPr>
              <w:jc w:val="right"/>
              <w:ind w:right="140"/>
              <w:spacing w:after="0" w:line="135" w:lineRule="exact"/>
              <w:rPr>
                <w:sz w:val="20"/>
                <w:szCs w:val="20"/>
                <w:color w:val="auto"/>
              </w:rPr>
            </w:pPr>
            <w:r>
              <w:rPr>
                <w:rFonts w:ascii="Arial" w:cs="Arial" w:eastAsia="Arial" w:hAnsi="Arial"/>
                <w:sz w:val="13"/>
                <w:szCs w:val="13"/>
                <w:b w:val="1"/>
                <w:bCs w:val="1"/>
                <w:color w:val="auto"/>
              </w:rPr>
              <w:t>(18.7)</w:t>
            </w:r>
          </w:p>
        </w:tc>
        <w:tc>
          <w:tcPr>
            <w:tcW w:w="740" w:type="dxa"/>
            <w:vAlign w:val="bottom"/>
            <w:gridSpan w:val="2"/>
          </w:tcPr>
          <w:p>
            <w:pPr>
              <w:jc w:val="right"/>
              <w:ind w:right="62"/>
              <w:spacing w:after="0" w:line="135" w:lineRule="exact"/>
              <w:rPr>
                <w:sz w:val="20"/>
                <w:szCs w:val="20"/>
                <w:color w:val="auto"/>
              </w:rPr>
            </w:pPr>
            <w:r>
              <w:rPr>
                <w:rFonts w:ascii="Arial" w:cs="Arial" w:eastAsia="Arial" w:hAnsi="Arial"/>
                <w:sz w:val="13"/>
                <w:szCs w:val="13"/>
                <w:color w:val="auto"/>
              </w:rPr>
              <w:t>(0.1)</w:t>
            </w:r>
          </w:p>
        </w:tc>
        <w:tc>
          <w:tcPr>
            <w:tcW w:w="80" w:type="dxa"/>
            <w:vAlign w:val="bottom"/>
          </w:tcPr>
          <w:p>
            <w:pPr>
              <w:spacing w:after="0"/>
              <w:rPr>
                <w:sz w:val="11"/>
                <w:szCs w:val="11"/>
                <w:color w:val="auto"/>
              </w:rPr>
            </w:pPr>
          </w:p>
        </w:tc>
        <w:tc>
          <w:tcPr>
            <w:tcW w:w="68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(18.9)</w:t>
            </w:r>
          </w:p>
        </w:tc>
        <w:tc>
          <w:tcPr>
            <w:tcW w:w="820" w:type="dxa"/>
            <w:vAlign w:val="bottom"/>
            <w:gridSpan w:val="3"/>
          </w:tcPr>
          <w:p>
            <w:pPr>
              <w:jc w:val="right"/>
              <w:ind w:right="193"/>
              <w:spacing w:after="0" w:line="135" w:lineRule="exact"/>
              <w:rPr>
                <w:sz w:val="20"/>
                <w:szCs w:val="20"/>
                <w:color w:val="auto"/>
              </w:rPr>
            </w:pPr>
            <w:r>
              <w:rPr>
                <w:rFonts w:ascii="Arial" w:cs="Arial" w:eastAsia="Arial" w:hAnsi="Arial"/>
                <w:sz w:val="13"/>
                <w:szCs w:val="13"/>
                <w:color w:val="auto"/>
              </w:rPr>
              <w:t>—</w:t>
            </w:r>
          </w:p>
        </w:tc>
        <w:tc>
          <w:tcPr>
            <w:tcW w:w="680" w:type="dxa"/>
            <w:vAlign w:val="bottom"/>
            <w:gridSpan w:val="2"/>
          </w:tcPr>
          <w:p>
            <w:pPr>
              <w:jc w:val="right"/>
              <w:ind w:right="118"/>
              <w:spacing w:after="0" w:line="135" w:lineRule="exact"/>
              <w:rPr>
                <w:sz w:val="20"/>
                <w:szCs w:val="20"/>
                <w:color w:val="auto"/>
              </w:rPr>
            </w:pPr>
            <w:r>
              <w:rPr>
                <w:rFonts w:ascii="Arial" w:cs="Arial" w:eastAsia="Arial" w:hAnsi="Arial"/>
                <w:sz w:val="13"/>
                <w:szCs w:val="13"/>
                <w:color w:val="auto"/>
              </w:rPr>
              <w:t>0.2</w:t>
            </w:r>
          </w:p>
        </w:tc>
        <w:tc>
          <w:tcPr>
            <w:tcW w:w="740" w:type="dxa"/>
            <w:vAlign w:val="bottom"/>
            <w:gridSpan w:val="2"/>
          </w:tcPr>
          <w:p>
            <w:pPr>
              <w:jc w:val="right"/>
              <w:ind w:right="57"/>
              <w:spacing w:after="0" w:line="135" w:lineRule="exact"/>
              <w:rPr>
                <w:sz w:val="20"/>
                <w:szCs w:val="20"/>
                <w:color w:val="auto"/>
              </w:rPr>
            </w:pPr>
            <w:r>
              <w:rPr>
                <w:rFonts w:ascii="Arial" w:cs="Arial" w:eastAsia="Arial" w:hAnsi="Arial"/>
                <w:sz w:val="13"/>
                <w:szCs w:val="13"/>
                <w:b w:val="1"/>
                <w:bCs w:val="1"/>
                <w:color w:val="auto"/>
              </w:rPr>
              <w:t>(0.1)</w:t>
            </w:r>
          </w:p>
        </w:tc>
        <w:tc>
          <w:tcPr>
            <w:tcW w:w="80" w:type="dxa"/>
            <w:vAlign w:val="bottom"/>
          </w:tcPr>
          <w:p>
            <w:pPr>
              <w:spacing w:after="0"/>
              <w:rPr>
                <w:sz w:val="11"/>
                <w:szCs w:val="11"/>
                <w:color w:val="auto"/>
              </w:rPr>
            </w:pPr>
          </w:p>
        </w:tc>
        <w:tc>
          <w:tcPr>
            <w:tcW w:w="700" w:type="dxa"/>
            <w:vAlign w:val="bottom"/>
            <w:gridSpan w:val="2"/>
          </w:tcPr>
          <w:p>
            <w:pPr>
              <w:jc w:val="right"/>
              <w:ind w:right="120"/>
              <w:spacing w:after="0" w:line="135" w:lineRule="exact"/>
              <w:rPr>
                <w:sz w:val="20"/>
                <w:szCs w:val="20"/>
                <w:color w:val="auto"/>
              </w:rPr>
            </w:pPr>
            <w:r>
              <w:rPr>
                <w:rFonts w:ascii="Arial" w:cs="Arial" w:eastAsia="Arial" w:hAnsi="Arial"/>
                <w:sz w:val="13"/>
                <w:szCs w:val="13"/>
                <w:b w:val="1"/>
                <w:bCs w:val="1"/>
                <w:color w:val="auto"/>
              </w:rPr>
              <w:t>(57.3)</w:t>
            </w:r>
          </w:p>
        </w:tc>
        <w:tc>
          <w:tcPr>
            <w:tcW w:w="720" w:type="dxa"/>
            <w:vAlign w:val="bottom"/>
            <w:gridSpan w:val="2"/>
          </w:tcPr>
          <w:p>
            <w:pPr>
              <w:jc w:val="right"/>
              <w:ind w:right="62"/>
              <w:spacing w:after="0" w:line="135" w:lineRule="exact"/>
              <w:rPr>
                <w:sz w:val="20"/>
                <w:szCs w:val="20"/>
                <w:color w:val="auto"/>
              </w:rPr>
            </w:pPr>
            <w:r>
              <w:rPr>
                <w:rFonts w:ascii="Arial" w:cs="Arial" w:eastAsia="Arial" w:hAnsi="Arial"/>
                <w:sz w:val="13"/>
                <w:szCs w:val="13"/>
                <w:color w:val="auto"/>
              </w:rPr>
              <w:t>(0.1)</w:t>
            </w:r>
          </w:p>
        </w:tc>
        <w:tc>
          <w:tcPr>
            <w:tcW w:w="80" w:type="dxa"/>
            <w:vAlign w:val="bottom"/>
          </w:tcPr>
          <w:p>
            <w:pPr>
              <w:spacing w:after="0"/>
              <w:rPr>
                <w:sz w:val="11"/>
                <w:szCs w:val="11"/>
                <w:color w:val="auto"/>
              </w:rPr>
            </w:pPr>
          </w:p>
        </w:tc>
        <w:tc>
          <w:tcPr>
            <w:tcW w:w="7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(57.2)</w:t>
            </w:r>
          </w:p>
        </w:tc>
        <w:tc>
          <w:tcPr>
            <w:tcW w:w="740" w:type="dxa"/>
            <w:vAlign w:val="bottom"/>
            <w:gridSpan w:val="2"/>
          </w:tcPr>
          <w:p>
            <w:pPr>
              <w:jc w:val="right"/>
              <w:ind w:right="97"/>
              <w:spacing w:after="0" w:line="135"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1"/>
                <w:szCs w:val="11"/>
                <w:color w:val="auto"/>
              </w:rPr>
            </w:pPr>
          </w:p>
        </w:tc>
        <w:tc>
          <w:tcPr>
            <w:tcW w:w="520" w:type="dxa"/>
            <w:vAlign w:val="bottom"/>
            <w:gridSpan w:val="2"/>
          </w:tcPr>
          <w:p>
            <w:pPr>
              <w:jc w:val="right"/>
              <w:ind w:right="18"/>
              <w:spacing w:after="0" w:line="135" w:lineRule="exact"/>
              <w:rPr>
                <w:sz w:val="20"/>
                <w:szCs w:val="20"/>
                <w:color w:val="auto"/>
              </w:rPr>
            </w:pPr>
            <w:r>
              <w:rPr>
                <w:rFonts w:ascii="Arial" w:cs="Arial" w:eastAsia="Arial" w:hAnsi="Arial"/>
                <w:sz w:val="13"/>
                <w:szCs w:val="13"/>
                <w:color w:val="auto"/>
              </w:rPr>
              <w:t>(0.1)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460" w:type="dxa"/>
            <w:vAlign w:val="bottom"/>
            <w:tcBorders>
              <w:top w:val="single" w:sz="8" w:color="CCEEFF"/>
              <w:bottom w:val="single" w:sz="8" w:color="CCEEFF"/>
            </w:tcBorders>
            <w:shd w:val="clear" w:color="auto" w:fill="CCEEFF"/>
          </w:tcPr>
          <w:p>
            <w:pPr>
              <w:ind w:left="180"/>
              <w:spacing w:after="0" w:line="141" w:lineRule="exact"/>
              <w:rPr>
                <w:sz w:val="20"/>
                <w:szCs w:val="20"/>
                <w:color w:val="auto"/>
              </w:rPr>
            </w:pPr>
            <w:r>
              <w:rPr>
                <w:rFonts w:ascii="Arial" w:cs="Arial" w:eastAsia="Arial" w:hAnsi="Arial"/>
                <w:sz w:val="13"/>
                <w:szCs w:val="13"/>
                <w:color w:val="auto"/>
              </w:rPr>
              <w:t>Net investment income</w:t>
            </w:r>
          </w:p>
        </w:tc>
        <w:tc>
          <w:tcPr>
            <w:tcW w:w="58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b w:val="1"/>
                <w:bCs w:val="1"/>
                <w:color w:val="auto"/>
              </w:rPr>
              <w:t>4.4</w:t>
            </w:r>
          </w:p>
        </w:tc>
        <w:tc>
          <w:tcPr>
            <w:tcW w:w="180" w:type="dxa"/>
            <w:vAlign w:val="bottom"/>
            <w:tcBorders>
              <w:top w:val="single" w:sz="8" w:color="CCEEFF"/>
              <w:bottom w:val="single" w:sz="8" w:color="CCEEFF"/>
            </w:tcBorders>
            <w:shd w:val="clear" w:color="auto" w:fill="CCEEFF"/>
          </w:tcPr>
          <w:p>
            <w:pPr>
              <w:jc w:val="right"/>
              <w:spacing w:after="0" w:line="143" w:lineRule="exact"/>
              <w:rPr>
                <w:sz w:val="20"/>
                <w:szCs w:val="20"/>
                <w:color w:val="auto"/>
              </w:rPr>
            </w:pPr>
            <w:r>
              <w:rPr>
                <w:rFonts w:ascii="Arial" w:cs="Arial" w:eastAsia="Arial" w:hAnsi="Arial"/>
                <w:sz w:val="13"/>
                <w:szCs w:val="13"/>
                <w:b w:val="1"/>
                <w:bCs w:val="1"/>
                <w:color w:val="auto"/>
                <w:w w:val="86"/>
              </w:rPr>
              <w:t>%</w:t>
            </w:r>
          </w:p>
        </w:tc>
        <w:tc>
          <w:tcPr>
            <w:tcW w:w="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52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b w:val="1"/>
                <w:bCs w:val="1"/>
                <w:color w:val="auto"/>
              </w:rPr>
              <w:t>753.5</w:t>
            </w:r>
          </w:p>
        </w:tc>
        <w:tc>
          <w:tcPr>
            <w:tcW w:w="180" w:type="dxa"/>
            <w:vAlign w:val="bottom"/>
            <w:tcBorders>
              <w:top w:val="single" w:sz="8" w:color="CCEEFF"/>
              <w:bottom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4.6</w:t>
            </w:r>
          </w:p>
        </w:tc>
        <w:tc>
          <w:tcPr>
            <w:tcW w:w="160" w:type="dxa"/>
            <w:vAlign w:val="bottom"/>
            <w:tcBorders>
              <w:top w:val="single" w:sz="8" w:color="CCEEFF"/>
              <w:bottom w:val="single" w:sz="8" w:color="CCEEFF"/>
            </w:tcBorders>
            <w:shd w:val="clear" w:color="auto" w:fill="CCEEFF"/>
          </w:tcPr>
          <w:p>
            <w:pPr>
              <w:jc w:val="right"/>
              <w:ind w:right="2"/>
              <w:spacing w:after="0"/>
              <w:rPr>
                <w:sz w:val="20"/>
                <w:szCs w:val="20"/>
                <w:color w:val="auto"/>
              </w:rPr>
            </w:pPr>
            <w:r>
              <w:rPr>
                <w:rFonts w:ascii="Arial" w:cs="Arial" w:eastAsia="Arial" w:hAnsi="Arial"/>
                <w:sz w:val="12"/>
                <w:szCs w:val="12"/>
                <w:color w:val="auto"/>
                <w:w w:val="74"/>
              </w:rPr>
              <w:t>%</w:t>
            </w:r>
          </w:p>
        </w:tc>
        <w:tc>
          <w:tcPr>
            <w:tcW w:w="8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770.4</w:t>
            </w:r>
          </w:p>
        </w:tc>
        <w:tc>
          <w:tcPr>
            <w:tcW w:w="180" w:type="dxa"/>
            <w:vAlign w:val="bottom"/>
            <w:tcBorders>
              <w:top w:val="single" w:sz="8" w:color="CCEEFF"/>
              <w:bottom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(0.2</w:t>
            </w:r>
          </w:p>
        </w:tc>
        <w:tc>
          <w:tcPr>
            <w:tcW w:w="180" w:type="dxa"/>
            <w:vAlign w:val="bottom"/>
            <w:tcBorders>
              <w:top w:val="single" w:sz="8" w:color="CCEEFF"/>
              <w:bottom w:val="single" w:sz="8" w:color="CCEEFF"/>
            </w:tcBorders>
            <w:shd w:val="clear" w:color="auto" w:fill="CCEEFF"/>
          </w:tcPr>
          <w:p>
            <w:pPr>
              <w:jc w:val="right"/>
              <w:spacing w:after="0" w:line="141" w:lineRule="exact"/>
              <w:rPr>
                <w:sz w:val="20"/>
                <w:szCs w:val="20"/>
                <w:color w:val="auto"/>
              </w:rPr>
            </w:pPr>
            <w:r>
              <w:rPr>
                <w:rFonts w:ascii="Arial" w:cs="Arial" w:eastAsia="Arial" w:hAnsi="Arial"/>
                <w:sz w:val="13"/>
                <w:szCs w:val="13"/>
                <w:color w:val="auto"/>
                <w:w w:val="87"/>
              </w:rPr>
              <w:t>)%</w:t>
            </w:r>
          </w:p>
        </w:tc>
        <w:tc>
          <w:tcPr>
            <w:tcW w:w="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52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(16.9</w:t>
            </w:r>
          </w:p>
        </w:tc>
        <w:tc>
          <w:tcPr>
            <w:tcW w:w="160" w:type="dxa"/>
            <w:vAlign w:val="bottom"/>
            <w:tcBorders>
              <w:top w:val="single" w:sz="8" w:color="CCEEFF"/>
              <w:bottom w:val="single" w:sz="8" w:color="CCEEFF"/>
            </w:tcBorders>
            <w:shd w:val="clear" w:color="auto" w:fill="CCEEFF"/>
          </w:tcPr>
          <w:p>
            <w:pPr>
              <w:jc w:val="right"/>
              <w:ind w:right="78"/>
              <w:spacing w:after="0"/>
              <w:rPr>
                <w:sz w:val="20"/>
                <w:szCs w:val="20"/>
                <w:color w:val="auto"/>
              </w:rPr>
            </w:pPr>
            <w:r>
              <w:rPr>
                <w:rFonts w:ascii="Arial" w:cs="Arial" w:eastAsia="Arial" w:hAnsi="Arial"/>
                <w:sz w:val="8"/>
                <w:szCs w:val="8"/>
                <w:color w:val="auto"/>
                <w:w w:val="73"/>
              </w:rPr>
              <w:t>)</w:t>
            </w:r>
          </w:p>
        </w:tc>
        <w:tc>
          <w:tcPr>
            <w:tcW w:w="58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b w:val="1"/>
                <w:bCs w:val="1"/>
                <w:color w:val="auto"/>
              </w:rPr>
              <w:t>4.4</w:t>
            </w:r>
          </w:p>
        </w:tc>
        <w:tc>
          <w:tcPr>
            <w:tcW w:w="160" w:type="dxa"/>
            <w:vAlign w:val="bottom"/>
            <w:tcBorders>
              <w:top w:val="single" w:sz="8" w:color="CCEEFF"/>
              <w:bottom w:val="single" w:sz="8" w:color="CCEEFF"/>
            </w:tcBorders>
            <w:shd w:val="clear" w:color="auto" w:fill="CCEEFF"/>
          </w:tcPr>
          <w:p>
            <w:pPr>
              <w:jc w:val="right"/>
              <w:spacing w:after="0" w:line="143" w:lineRule="exact"/>
              <w:rPr>
                <w:sz w:val="20"/>
                <w:szCs w:val="20"/>
                <w:color w:val="auto"/>
              </w:rPr>
            </w:pPr>
            <w:r>
              <w:rPr>
                <w:rFonts w:ascii="Arial" w:cs="Arial" w:eastAsia="Arial" w:hAnsi="Arial"/>
                <w:sz w:val="13"/>
                <w:szCs w:val="13"/>
                <w:b w:val="1"/>
                <w:bCs w:val="1"/>
                <w:color w:val="auto"/>
                <w:w w:val="86"/>
              </w:rPr>
              <w:t>%</w:t>
            </w: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54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b w:val="1"/>
                <w:bCs w:val="1"/>
                <w:color w:val="auto"/>
              </w:rPr>
              <w:t>2,267.3</w:t>
            </w:r>
          </w:p>
        </w:tc>
        <w:tc>
          <w:tcPr>
            <w:tcW w:w="160" w:type="dxa"/>
            <w:vAlign w:val="bottom"/>
            <w:tcBorders>
              <w:top w:val="single" w:sz="8" w:color="CCEEFF"/>
              <w:bottom w:val="single" w:sz="8" w:color="CCEEFF"/>
            </w:tcBorders>
            <w:shd w:val="clear" w:color="auto" w:fill="CCEEFF"/>
          </w:tcPr>
          <w:p>
            <w:pPr>
              <w:spacing w:after="0"/>
              <w:rPr>
                <w:sz w:val="12"/>
                <w:szCs w:val="12"/>
                <w:color w:val="auto"/>
              </w:rPr>
            </w:pPr>
          </w:p>
        </w:tc>
        <w:tc>
          <w:tcPr>
            <w:tcW w:w="56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4.9</w:t>
            </w:r>
          </w:p>
        </w:tc>
        <w:tc>
          <w:tcPr>
            <w:tcW w:w="160" w:type="dxa"/>
            <w:vAlign w:val="bottom"/>
            <w:tcBorders>
              <w:top w:val="single" w:sz="8" w:color="CCEEFF"/>
              <w:bottom w:val="single" w:sz="8" w:color="CCEEFF"/>
            </w:tcBorders>
            <w:shd w:val="clear" w:color="auto" w:fill="CCEEFF"/>
          </w:tcPr>
          <w:p>
            <w:pPr>
              <w:jc w:val="right"/>
              <w:ind w:right="2"/>
              <w:spacing w:after="0"/>
              <w:rPr>
                <w:sz w:val="20"/>
                <w:szCs w:val="20"/>
                <w:color w:val="auto"/>
              </w:rPr>
            </w:pPr>
            <w:r>
              <w:rPr>
                <w:rFonts w:ascii="Arial" w:cs="Arial" w:eastAsia="Arial" w:hAnsi="Arial"/>
                <w:sz w:val="12"/>
                <w:szCs w:val="12"/>
                <w:color w:val="auto"/>
                <w:w w:val="74"/>
              </w:rPr>
              <w:t>%</w:t>
            </w: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54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2,444.1</w:t>
            </w:r>
          </w:p>
        </w:tc>
        <w:tc>
          <w:tcPr>
            <w:tcW w:w="160" w:type="dxa"/>
            <w:vAlign w:val="bottom"/>
            <w:tcBorders>
              <w:top w:val="single" w:sz="8" w:color="CCEEFF"/>
              <w:bottom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(0.5</w:t>
            </w:r>
          </w:p>
        </w:tc>
        <w:tc>
          <w:tcPr>
            <w:tcW w:w="160" w:type="dxa"/>
            <w:vAlign w:val="bottom"/>
            <w:tcBorders>
              <w:top w:val="single" w:sz="8" w:color="CCEEFF"/>
              <w:bottom w:val="single" w:sz="8" w:color="CCEEFF"/>
            </w:tcBorders>
            <w:shd w:val="clear" w:color="auto" w:fill="CCEEFF"/>
          </w:tcPr>
          <w:p>
            <w:pPr>
              <w:jc w:val="right"/>
              <w:spacing w:after="0" w:line="141" w:lineRule="exact"/>
              <w:rPr>
                <w:sz w:val="20"/>
                <w:szCs w:val="20"/>
                <w:color w:val="auto"/>
              </w:rPr>
            </w:pPr>
            <w:r>
              <w:rPr>
                <w:rFonts w:ascii="Arial" w:cs="Arial" w:eastAsia="Arial" w:hAnsi="Arial"/>
                <w:sz w:val="13"/>
                <w:szCs w:val="13"/>
                <w:color w:val="auto"/>
                <w:w w:val="75"/>
              </w:rPr>
              <w:t>)%</w:t>
            </w:r>
          </w:p>
        </w:tc>
        <w:tc>
          <w:tcPr>
            <w:tcW w:w="14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9"/>
                <w:szCs w:val="9"/>
                <w:color w:val="auto"/>
                <w:w w:val="78"/>
              </w:rPr>
              <w:t>$</w:t>
            </w:r>
          </w:p>
        </w:tc>
        <w:tc>
          <w:tcPr>
            <w:tcW w:w="420" w:type="dxa"/>
            <w:vAlign w:val="bottom"/>
            <w:tcBorders>
              <w:top w:val="single" w:sz="8" w:color="auto"/>
              <w:bottom w:val="single" w:sz="8" w:color="auto"/>
            </w:tcBorders>
            <w:shd w:val="clear" w:color="auto" w:fill="CCEEFF"/>
          </w:tcPr>
          <w:p>
            <w:pPr>
              <w:jc w:val="right"/>
              <w:spacing w:after="0" w:line="143" w:lineRule="exact"/>
              <w:rPr>
                <w:sz w:val="20"/>
                <w:szCs w:val="20"/>
                <w:color w:val="auto"/>
              </w:rPr>
            </w:pPr>
            <w:r>
              <w:rPr>
                <w:rFonts w:ascii="Arial" w:cs="Arial" w:eastAsia="Arial" w:hAnsi="Arial"/>
                <w:sz w:val="13"/>
                <w:szCs w:val="13"/>
                <w:color w:val="auto"/>
              </w:rPr>
              <w:t>(176.8</w:t>
            </w:r>
          </w:p>
        </w:tc>
        <w:tc>
          <w:tcPr>
            <w:tcW w:w="100" w:type="dxa"/>
            <w:vAlign w:val="bottom"/>
            <w:tcBorders>
              <w:top w:val="single" w:sz="8" w:color="CCEEFF"/>
              <w:bottom w:val="single" w:sz="8" w:color="CCEEFF"/>
            </w:tcBorders>
            <w:shd w:val="clear" w:color="auto" w:fill="CCEEFF"/>
          </w:tcPr>
          <w:p>
            <w:pPr>
              <w:jc w:val="right"/>
              <w:ind w:right="18"/>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2015 Compared to Three Months Ended September 30, 2014</w:t>
      </w:r>
    </w:p>
    <w:p>
      <w:pPr>
        <w:spacing w:after="0" w:line="225" w:lineRule="exact"/>
        <w:rPr>
          <w:sz w:val="20"/>
          <w:szCs w:val="20"/>
          <w:color w:val="auto"/>
        </w:rPr>
      </w:pPr>
    </w:p>
    <w:p>
      <w:pPr>
        <w:ind w:right="100" w:firstLine="648"/>
        <w:spacing w:after="0" w:line="308" w:lineRule="auto"/>
        <w:rPr>
          <w:sz w:val="20"/>
          <w:szCs w:val="20"/>
          <w:color w:val="auto"/>
        </w:rPr>
      </w:pPr>
      <w:r>
        <w:rPr>
          <w:rFonts w:ascii="Arial" w:cs="Arial" w:eastAsia="Arial" w:hAnsi="Arial"/>
          <w:sz w:val="17"/>
          <w:szCs w:val="17"/>
          <w:color w:val="auto"/>
        </w:rPr>
        <w:t>Net investment income decreased primarily due to lower investment yields and prepayments on our invested assets and cash in our U.S. Operations, partially offset by higher inflation-based investment returns on average invested assets and cash as a result of higher inflation in Chile.</w:t>
      </w:r>
    </w:p>
    <w:p>
      <w:pPr>
        <w:sectPr>
          <w:pgSz w:w="11900" w:h="16912" w:orient="portrait"/>
          <w:cols w:equalWidth="0" w:num="1">
            <w:col w:w="11420"/>
          </w:cols>
          <w:pgMar w:left="240" w:top="125" w:right="239" w:bottom="0" w:gutter="0" w:footer="0" w:header="0"/>
        </w:sectPr>
      </w:pPr>
    </w:p>
    <w:bookmarkStart w:id="79" w:name="page80"/>
    <w:bookmarkEnd w:id="79"/>
    <w:p>
      <w:pPr>
        <w:spacing w:after="0"/>
        <w:rPr>
          <w:sz w:val="20"/>
          <w:szCs w:val="20"/>
          <w:color w:val="auto"/>
        </w:rPr>
      </w:pPr>
      <w:r>
        <w:rPr>
          <w:rFonts w:ascii="Arial" w:cs="Arial" w:eastAsia="Arial" w:hAnsi="Arial"/>
          <w:sz w:val="18"/>
          <w:szCs w:val="18"/>
          <w:b w:val="1"/>
          <w:bCs w:val="1"/>
          <w:i w:val="1"/>
          <w:iCs w:val="1"/>
          <w:color w:val="auto"/>
        </w:rPr>
        <w:t>Nine Months Ended September 30, 2015 Compared to Nine Months Ended September 30, 2014</w:t>
      </w:r>
    </w:p>
    <w:p>
      <w:pPr>
        <w:spacing w:after="0" w:line="225"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Net investment income decreased primarily due to lower investment yields and prepayments on our invested assets and cash in our U.S. Operations. In addition, net investment income decreased due to the weakening of the Chilean peso and Brazilian real against the U.S. dollar and unfavorable market changes on our regulatory required investment in the pension funds of our Chilean pension company.</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Realized Capital Gains (Losses)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contributors to net realized capital gains and losses for our invested assets for the periods indicated.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360" w:type="dxa"/>
            <w:vAlign w:val="bottom"/>
          </w:tcPr>
          <w:p>
            <w:pPr>
              <w:spacing w:after="0"/>
              <w:rPr>
                <w:sz w:val="14"/>
                <w:szCs w:val="14"/>
                <w:color w:val="auto"/>
              </w:rPr>
            </w:pPr>
          </w:p>
        </w:tc>
        <w:tc>
          <w:tcPr>
            <w:tcW w:w="3640" w:type="dxa"/>
            <w:vAlign w:val="bottom"/>
            <w:gridSpan w:val="10"/>
          </w:tcPr>
          <w:p>
            <w:pPr>
              <w:jc w:val="right"/>
              <w:ind w:right="620"/>
              <w:spacing w:after="0"/>
              <w:rPr>
                <w:sz w:val="20"/>
                <w:szCs w:val="20"/>
                <w:color w:val="auto"/>
              </w:rPr>
            </w:pPr>
            <w:r>
              <w:rPr>
                <w:rFonts w:ascii="Arial" w:cs="Arial" w:eastAsia="Arial" w:hAnsi="Arial"/>
                <w:sz w:val="14"/>
                <w:szCs w:val="14"/>
                <w:b w:val="1"/>
                <w:bCs w:val="1"/>
                <w:color w:val="auto"/>
              </w:rPr>
              <w:t>For the three months ended September 30,</w:t>
            </w:r>
          </w:p>
        </w:tc>
        <w:tc>
          <w:tcPr>
            <w:tcW w:w="280" w:type="dxa"/>
            <w:vAlign w:val="bottom"/>
          </w:tcPr>
          <w:p>
            <w:pPr>
              <w:spacing w:after="0"/>
              <w:rPr>
                <w:sz w:val="14"/>
                <w:szCs w:val="14"/>
                <w:color w:val="auto"/>
              </w:rPr>
            </w:pPr>
          </w:p>
        </w:tc>
        <w:tc>
          <w:tcPr>
            <w:tcW w:w="3140" w:type="dxa"/>
            <w:vAlign w:val="bottom"/>
            <w:gridSpan w:val="10"/>
          </w:tcPr>
          <w:p>
            <w:pPr>
              <w:jc w:val="right"/>
              <w:ind w:right="400"/>
              <w:spacing w:after="0"/>
              <w:rPr>
                <w:sz w:val="20"/>
                <w:szCs w:val="20"/>
                <w:color w:val="auto"/>
              </w:rPr>
            </w:pPr>
            <w:r>
              <w:rPr>
                <w:rFonts w:ascii="Arial" w:cs="Arial" w:eastAsia="Arial" w:hAnsi="Arial"/>
                <w:sz w:val="14"/>
                <w:szCs w:val="14"/>
                <w:b w:val="1"/>
                <w:bCs w:val="1"/>
                <w:color w:val="auto"/>
                <w:w w:val="94"/>
              </w:rPr>
              <w:t>For the nine months ended September 30,</w:t>
            </w:r>
          </w:p>
        </w:tc>
        <w:tc>
          <w:tcPr>
            <w:tcW w:w="0" w:type="dxa"/>
            <w:vAlign w:val="bottom"/>
          </w:tcPr>
          <w:p>
            <w:pPr>
              <w:spacing w:after="0"/>
              <w:rPr>
                <w:sz w:val="1"/>
                <w:szCs w:val="1"/>
                <w:color w:val="auto"/>
              </w:rPr>
            </w:pPr>
          </w:p>
        </w:tc>
      </w:tr>
      <w:tr>
        <w:trPr>
          <w:trHeight w:val="119"/>
        </w:trPr>
        <w:tc>
          <w:tcPr>
            <w:tcW w:w="4360" w:type="dxa"/>
            <w:vAlign w:val="bottom"/>
          </w:tcPr>
          <w:p>
            <w:pPr>
              <w:spacing w:after="0"/>
              <w:rPr>
                <w:sz w:val="10"/>
                <w:szCs w:val="10"/>
                <w:color w:val="auto"/>
              </w:rPr>
            </w:pPr>
          </w:p>
        </w:tc>
        <w:tc>
          <w:tcPr>
            <w:tcW w:w="66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b w:val="1"/>
                <w:bCs w:val="1"/>
                <w:color w:val="auto"/>
              </w:rPr>
              <w:t>2015</w:t>
            </w:r>
          </w:p>
        </w:tc>
        <w:tc>
          <w:tcPr>
            <w:tcW w:w="320" w:type="dxa"/>
            <w:vAlign w:val="bottom"/>
            <w:tcBorders>
              <w:top w:val="single" w:sz="8" w:color="auto"/>
            </w:tcBorders>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vMerge w:val="restart"/>
          </w:tcPr>
          <w:p>
            <w:pPr>
              <w:jc w:val="right"/>
              <w:ind w:right="272"/>
              <w:spacing w:after="0"/>
              <w:rPr>
                <w:sz w:val="20"/>
                <w:szCs w:val="20"/>
                <w:color w:val="auto"/>
              </w:rPr>
            </w:pPr>
            <w:r>
              <w:rPr>
                <w:rFonts w:ascii="Arial" w:cs="Arial" w:eastAsia="Arial" w:hAnsi="Arial"/>
                <w:sz w:val="14"/>
                <w:szCs w:val="14"/>
                <w:b w:val="1"/>
                <w:bCs w:val="1"/>
                <w:color w:val="auto"/>
              </w:rPr>
              <w:t>2014</w:t>
            </w:r>
          </w:p>
        </w:tc>
        <w:tc>
          <w:tcPr>
            <w:tcW w:w="14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right"/>
              <w:ind w:right="156"/>
              <w:spacing w:after="0" w:line="119" w:lineRule="exact"/>
              <w:rPr>
                <w:sz w:val="20"/>
                <w:szCs w:val="20"/>
                <w:color w:val="auto"/>
              </w:rPr>
            </w:pPr>
            <w:r>
              <w:rPr>
                <w:rFonts w:ascii="Arial" w:cs="Arial" w:eastAsia="Arial" w:hAnsi="Arial"/>
                <w:sz w:val="13"/>
                <w:szCs w:val="13"/>
                <w:b w:val="1"/>
                <w:bCs w:val="1"/>
                <w:color w:val="auto"/>
              </w:rPr>
              <w:t>Increase</w:t>
            </w:r>
          </w:p>
        </w:tc>
        <w:tc>
          <w:tcPr>
            <w:tcW w:w="220" w:type="dxa"/>
            <w:vAlign w:val="bottom"/>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vMerge w:val="restart"/>
          </w:tcPr>
          <w:p>
            <w:pPr>
              <w:jc w:val="right"/>
              <w:ind w:right="254"/>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vMerge w:val="restart"/>
          </w:tcPr>
          <w:p>
            <w:pPr>
              <w:jc w:val="right"/>
              <w:ind w:right="252"/>
              <w:spacing w:after="0"/>
              <w:rPr>
                <w:sz w:val="20"/>
                <w:szCs w:val="20"/>
                <w:color w:val="auto"/>
              </w:rPr>
            </w:pPr>
            <w:r>
              <w:rPr>
                <w:rFonts w:ascii="Arial" w:cs="Arial" w:eastAsia="Arial" w:hAnsi="Arial"/>
                <w:sz w:val="14"/>
                <w:szCs w:val="14"/>
                <w:b w:val="1"/>
                <w:bCs w:val="1"/>
                <w:color w:val="auto"/>
              </w:rPr>
              <w:t>2014</w:t>
            </w:r>
          </w:p>
        </w:tc>
        <w:tc>
          <w:tcPr>
            <w:tcW w:w="14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jc w:val="right"/>
              <w:ind w:right="135"/>
              <w:spacing w:after="0" w:line="119" w:lineRule="exact"/>
              <w:rPr>
                <w:sz w:val="20"/>
                <w:szCs w:val="20"/>
                <w:color w:val="auto"/>
              </w:rPr>
            </w:pPr>
            <w:r>
              <w:rPr>
                <w:rFonts w:ascii="Arial" w:cs="Arial" w:eastAsia="Arial" w:hAnsi="Arial"/>
                <w:sz w:val="13"/>
                <w:szCs w:val="13"/>
                <w:b w:val="1"/>
                <w:bCs w:val="1"/>
                <w:color w:val="auto"/>
              </w:rPr>
              <w:t>Increase</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36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94"/>
              </w:rPr>
              <w:t>(decrease)</w:t>
            </w:r>
          </w:p>
        </w:tc>
        <w:tc>
          <w:tcPr>
            <w:tcW w:w="28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91"/>
              </w:rPr>
              <w:t>(decrease)</w:t>
            </w:r>
          </w:p>
        </w:tc>
        <w:tc>
          <w:tcPr>
            <w:tcW w:w="0" w:type="dxa"/>
            <w:vAlign w:val="bottom"/>
          </w:tcPr>
          <w:p>
            <w:pPr>
              <w:spacing w:after="0"/>
              <w:rPr>
                <w:sz w:val="1"/>
                <w:szCs w:val="1"/>
                <w:color w:val="auto"/>
              </w:rPr>
            </w:pPr>
          </w:p>
        </w:tc>
      </w:tr>
      <w:tr>
        <w:trPr>
          <w:trHeight w:val="142"/>
        </w:trPr>
        <w:tc>
          <w:tcPr>
            <w:tcW w:w="4360" w:type="dxa"/>
            <w:vAlign w:val="bottom"/>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36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(in millions)</w:t>
            </w:r>
          </w:p>
        </w:tc>
        <w:tc>
          <w:tcPr>
            <w:tcW w:w="68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2"/>
        </w:trPr>
        <w:tc>
          <w:tcPr>
            <w:tcW w:w="43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Fixed maturities, available-for-sale — credit</w:t>
            </w:r>
          </w:p>
        </w:tc>
        <w:tc>
          <w:tcPr>
            <w:tcW w:w="660" w:type="dxa"/>
            <w:vAlign w:val="bottom"/>
            <w:vMerge w:val="restart"/>
            <w:shd w:val="clear" w:color="auto" w:fill="CCEEFF"/>
          </w:tcPr>
          <w:p>
            <w:pPr>
              <w:jc w:val="right"/>
              <w:ind w:right="507"/>
              <w:spacing w:after="0"/>
              <w:rPr>
                <w:sz w:val="20"/>
                <w:szCs w:val="20"/>
                <w:color w:val="auto"/>
              </w:rPr>
            </w:pPr>
            <w:r>
              <w:rPr>
                <w:rFonts w:ascii="Arial" w:cs="Arial" w:eastAsia="Arial" w:hAnsi="Arial"/>
                <w:sz w:val="15"/>
                <w:szCs w:val="15"/>
                <w:b w:val="1"/>
                <w:bCs w:val="1"/>
                <w:color w:val="auto"/>
                <w:w w:val="71"/>
              </w:rPr>
              <w:t>$</w:t>
            </w:r>
          </w:p>
        </w:tc>
        <w:tc>
          <w:tcPr>
            <w:tcW w:w="56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8"/>
                <w:szCs w:val="18"/>
                <w:b w:val="1"/>
                <w:bCs w:val="1"/>
                <w:color w:val="auto"/>
                <w:w w:val="97"/>
              </w:rPr>
              <w:t>(7.6)</w:t>
            </w: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vMerge w:val="restart"/>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82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(21.1)</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impairments (1)</w:t>
            </w:r>
          </w:p>
        </w:tc>
        <w:tc>
          <w:tcPr>
            <w:tcW w:w="660" w:type="dxa"/>
            <w:vAlign w:val="bottom"/>
            <w:vMerge w:val="continue"/>
            <w:shd w:val="clear" w:color="auto" w:fill="CCEEFF"/>
          </w:tcPr>
          <w:p>
            <w:pPr>
              <w:spacing w:after="0"/>
              <w:rPr>
                <w:sz w:val="20"/>
                <w:szCs w:val="20"/>
                <w:color w:val="auto"/>
              </w:rPr>
            </w:pPr>
          </w:p>
        </w:tc>
        <w:tc>
          <w:tcPr>
            <w:tcW w:w="560" w:type="dxa"/>
            <w:vAlign w:val="bottom"/>
            <w:gridSpan w:val="2"/>
            <w:vMerge w:val="continue"/>
            <w:shd w:val="clear" w:color="auto" w:fill="CCEEFF"/>
          </w:tcPr>
          <w:p>
            <w:pPr>
              <w:spacing w:after="0"/>
              <w:rPr>
                <w:sz w:val="20"/>
                <w:szCs w:val="20"/>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14.0</w:t>
            </w:r>
          </w:p>
        </w:tc>
        <w:tc>
          <w:tcPr>
            <w:tcW w:w="280" w:type="dxa"/>
            <w:vAlign w:val="bottom"/>
            <w:vMerge w:val="continue"/>
            <w:shd w:val="clear" w:color="auto" w:fill="CCEEFF"/>
          </w:tcPr>
          <w:p>
            <w:pPr>
              <w:spacing w:after="0"/>
              <w:rPr>
                <w:sz w:val="20"/>
                <w:szCs w:val="20"/>
                <w:color w:val="auto"/>
              </w:rPr>
            </w:pPr>
          </w:p>
        </w:tc>
        <w:tc>
          <w:tcPr>
            <w:tcW w:w="820" w:type="dxa"/>
            <w:vAlign w:val="bottom"/>
            <w:gridSpan w:val="2"/>
            <w:vMerge w:val="continue"/>
            <w:shd w:val="clear" w:color="auto" w:fill="CCEEFF"/>
          </w:tcPr>
          <w:p>
            <w:pPr>
              <w:spacing w:after="0"/>
              <w:rPr>
                <w:sz w:val="20"/>
                <w:szCs w:val="20"/>
                <w:color w:val="auto"/>
              </w:rPr>
            </w:pPr>
          </w:p>
        </w:tc>
        <w:tc>
          <w:tcPr>
            <w:tcW w:w="30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(68.6)</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47.5</w:t>
            </w: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Commercial mortgages — credit impairments</w:t>
            </w:r>
          </w:p>
        </w:tc>
        <w:tc>
          <w:tcPr>
            <w:tcW w:w="660" w:type="dxa"/>
            <w:vAlign w:val="bottom"/>
          </w:tcPr>
          <w:p>
            <w:pPr>
              <w:spacing w:after="0"/>
              <w:rPr>
                <w:sz w:val="18"/>
                <w:szCs w:val="18"/>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w w:val="97"/>
              </w:rPr>
              <w:t>(2.0)</w:t>
            </w:r>
          </w:p>
        </w:tc>
        <w:tc>
          <w:tcPr>
            <w:tcW w:w="22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(1.3)</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(0.7)</w:t>
            </w:r>
          </w:p>
        </w:tc>
        <w:tc>
          <w:tcPr>
            <w:tcW w:w="28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b w:val="1"/>
                <w:bCs w:val="1"/>
                <w:color w:val="auto"/>
              </w:rPr>
              <w:t>(3.1)</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0.9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Other — credit impairments</w:t>
            </w:r>
          </w:p>
        </w:tc>
        <w:tc>
          <w:tcPr>
            <w:tcW w:w="6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11.7</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(5.9)</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02"/>
        </w:trPr>
        <w:tc>
          <w:tcPr>
            <w:tcW w:w="4360" w:type="dxa"/>
            <w:vAlign w:val="bottom"/>
          </w:tcPr>
          <w:p>
            <w:pPr>
              <w:spacing w:after="0" w:line="201" w:lineRule="exact"/>
              <w:rPr>
                <w:sz w:val="20"/>
                <w:szCs w:val="20"/>
                <w:color w:val="auto"/>
              </w:rPr>
            </w:pPr>
            <w:r>
              <w:rPr>
                <w:rFonts w:ascii="Arial" w:cs="Arial" w:eastAsia="Arial" w:hAnsi="Arial"/>
                <w:sz w:val="18"/>
                <w:szCs w:val="18"/>
                <w:color w:val="auto"/>
              </w:rPr>
              <w:t>Fixed maturities, available-for-sale and trading —</w:t>
            </w:r>
          </w:p>
        </w:tc>
        <w:tc>
          <w:tcPr>
            <w:tcW w:w="660" w:type="dxa"/>
            <w:vAlign w:val="bottom"/>
          </w:tcPr>
          <w:p>
            <w:pPr>
              <w:spacing w:after="0"/>
              <w:rPr>
                <w:sz w:val="17"/>
                <w:szCs w:val="17"/>
                <w:color w:val="auto"/>
              </w:rPr>
            </w:pPr>
          </w:p>
        </w:tc>
        <w:tc>
          <w:tcPr>
            <w:tcW w:w="560" w:type="dxa"/>
            <w:vAlign w:val="bottom"/>
            <w:gridSpan w:val="2"/>
            <w:vMerge w:val="restart"/>
          </w:tcPr>
          <w:p>
            <w:pPr>
              <w:jc w:val="right"/>
              <w:ind w:right="180"/>
              <w:spacing w:after="0"/>
              <w:rPr>
                <w:sz w:val="20"/>
                <w:szCs w:val="20"/>
                <w:color w:val="auto"/>
              </w:rPr>
            </w:pPr>
            <w:r>
              <w:rPr>
                <w:rFonts w:ascii="Arial" w:cs="Arial" w:eastAsia="Arial" w:hAnsi="Arial"/>
                <w:sz w:val="18"/>
                <w:szCs w:val="18"/>
                <w:b w:val="1"/>
                <w:bCs w:val="1"/>
                <w:color w:val="auto"/>
                <w:w w:val="97"/>
              </w:rPr>
              <w:t>(1.9)</w:t>
            </w: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3.4</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360" w:type="dxa"/>
            <w:vAlign w:val="bottom"/>
          </w:tcPr>
          <w:p>
            <w:pPr>
              <w:ind w:left="180"/>
              <w:spacing w:after="0"/>
              <w:rPr>
                <w:sz w:val="20"/>
                <w:szCs w:val="20"/>
                <w:color w:val="auto"/>
              </w:rPr>
            </w:pPr>
            <w:r>
              <w:rPr>
                <w:rFonts w:ascii="Arial" w:cs="Arial" w:eastAsia="Arial" w:hAnsi="Arial"/>
                <w:sz w:val="18"/>
                <w:szCs w:val="18"/>
                <w:color w:val="auto"/>
              </w:rPr>
              <w:t>noncredit</w:t>
            </w:r>
          </w:p>
        </w:tc>
        <w:tc>
          <w:tcPr>
            <w:tcW w:w="660" w:type="dxa"/>
            <w:vAlign w:val="bottom"/>
          </w:tcPr>
          <w:p>
            <w:pPr>
              <w:spacing w:after="0"/>
              <w:rPr>
                <w:sz w:val="20"/>
                <w:szCs w:val="20"/>
                <w:color w:val="auto"/>
              </w:rPr>
            </w:pPr>
          </w:p>
        </w:tc>
        <w:tc>
          <w:tcPr>
            <w:tcW w:w="560" w:type="dxa"/>
            <w:vAlign w:val="bottom"/>
            <w:gridSpan w:val="2"/>
            <w:vMerge w:val="continue"/>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12.5</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(14.4)</w:t>
            </w:r>
          </w:p>
        </w:tc>
        <w:tc>
          <w:tcPr>
            <w:tcW w:w="280" w:type="dxa"/>
            <w:vAlign w:val="bottom"/>
          </w:tcPr>
          <w:p>
            <w:pPr>
              <w:spacing w:after="0"/>
              <w:rPr>
                <w:sz w:val="20"/>
                <w:szCs w:val="20"/>
                <w:color w:val="auto"/>
              </w:rPr>
            </w:pPr>
          </w:p>
        </w:tc>
        <w:tc>
          <w:tcPr>
            <w:tcW w:w="68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55.3</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(51.9)</w:t>
            </w: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Derivatives and related hedge activities</w:t>
            </w:r>
          </w:p>
        </w:tc>
        <w:tc>
          <w:tcPr>
            <w:tcW w:w="66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w w:val="85"/>
              </w:rPr>
              <w:t>55.8</w:t>
            </w: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82.4</w:t>
            </w:r>
          </w:p>
        </w:tc>
        <w:tc>
          <w:tcPr>
            <w:tcW w:w="2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24.2</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(18.6)</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42.8</w:t>
            </w: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Other gains (losses)</w:t>
            </w:r>
          </w:p>
        </w:tc>
        <w:tc>
          <w:tcPr>
            <w:tcW w:w="660" w:type="dxa"/>
            <w:vAlign w:val="bottom"/>
          </w:tcPr>
          <w:p>
            <w:pPr>
              <w:spacing w:after="0"/>
              <w:rPr>
                <w:sz w:val="18"/>
                <w:szCs w:val="18"/>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w w:val="97"/>
              </w:rPr>
              <w:t>(6.6)</w:t>
            </w:r>
          </w:p>
        </w:tc>
        <w:tc>
          <w:tcPr>
            <w:tcW w:w="220" w:type="dxa"/>
            <w:vAlign w:val="bottom"/>
          </w:tcPr>
          <w:p>
            <w:pPr>
              <w:spacing w:after="0"/>
              <w:rPr>
                <w:sz w:val="18"/>
                <w:szCs w:val="18"/>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(8.2)</w:t>
            </w:r>
          </w:p>
        </w:tc>
        <w:tc>
          <w:tcPr>
            <w:tcW w:w="28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b w:val="1"/>
                <w:bCs w:val="1"/>
                <w:color w:val="auto"/>
              </w:rPr>
              <w:t>(15.4)</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77.9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(93.3)</w:t>
            </w:r>
          </w:p>
        </w:tc>
        <w:tc>
          <w:tcPr>
            <w:tcW w:w="0" w:type="dxa"/>
            <w:vAlign w:val="bottom"/>
          </w:tcPr>
          <w:p>
            <w:pPr>
              <w:spacing w:after="0"/>
              <w:rPr>
                <w:sz w:val="1"/>
                <w:szCs w:val="1"/>
                <w:color w:val="auto"/>
              </w:rPr>
            </w:pPr>
          </w:p>
        </w:tc>
      </w:tr>
      <w:tr>
        <w:trPr>
          <w:trHeight w:val="223"/>
        </w:trPr>
        <w:tc>
          <w:tcPr>
            <w:tcW w:w="4360" w:type="dxa"/>
            <w:vAlign w:val="bottom"/>
            <w:tcBorders>
              <w:top w:val="single" w:sz="8" w:color="CCEEFF"/>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Net realized capital gains (losses)</w:t>
            </w:r>
          </w:p>
        </w:tc>
        <w:tc>
          <w:tcPr>
            <w:tcW w:w="660" w:type="dxa"/>
            <w:vAlign w:val="bottom"/>
            <w:tcBorders>
              <w:top w:val="single" w:sz="8" w:color="auto"/>
              <w:bottom w:val="single" w:sz="8" w:color="auto"/>
            </w:tcBorders>
            <w:shd w:val="clear" w:color="auto" w:fill="CCEEFF"/>
          </w:tcPr>
          <w:p>
            <w:pPr>
              <w:jc w:val="right"/>
              <w:ind w:right="507"/>
              <w:spacing w:after="0"/>
              <w:rPr>
                <w:sz w:val="20"/>
                <w:szCs w:val="20"/>
                <w:color w:val="auto"/>
              </w:rPr>
            </w:pPr>
            <w:r>
              <w:rPr>
                <w:rFonts w:ascii="Arial" w:cs="Arial" w:eastAsia="Arial" w:hAnsi="Arial"/>
                <w:sz w:val="15"/>
                <w:szCs w:val="15"/>
                <w:b w:val="1"/>
                <w:bCs w:val="1"/>
                <w:color w:val="auto"/>
                <w:w w:val="71"/>
              </w:rPr>
              <w:t>$</w:t>
            </w:r>
          </w:p>
        </w:tc>
        <w:tc>
          <w:tcPr>
            <w:tcW w:w="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5"/>
              </w:rPr>
              <w:t>38.4</w:t>
            </w:r>
          </w:p>
        </w:tc>
        <w:tc>
          <w:tcPr>
            <w:tcW w:w="24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(46.4</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84.8</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74"/>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41.0</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(51.0</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43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60" w:right="180" w:hanging="652"/>
        <w:spacing w:after="0" w:line="259" w:lineRule="auto"/>
        <w:tabs>
          <w:tab w:leader="none" w:pos="667"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Includes credit impairments as well as losses on sales of fixed maturities to reduce credit risk, net of realized credit recoveries on the sale of previously impaired securities. Credit gains on sales, excluding associated foreign currency fluctuations that are included in derivatives and related hedging activities, were a net gain of $0.0 million and $0.1 million for the three months ended September 30, 2015 and 2014, and $0.3 million and $0.9 million for the nine months ended September 30, 2015 and 2014, respectively.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2015 Compared to Three Months Ended September 30, 2014</w:t>
      </w:r>
    </w:p>
    <w:p>
      <w:pPr>
        <w:spacing w:after="0" w:line="225" w:lineRule="exact"/>
        <w:rPr>
          <w:sz w:val="20"/>
          <w:szCs w:val="20"/>
          <w:color w:val="auto"/>
        </w:rPr>
      </w:pPr>
    </w:p>
    <w:p>
      <w:pPr>
        <w:ind w:right="280" w:firstLine="648"/>
        <w:spacing w:after="0" w:line="264" w:lineRule="auto"/>
        <w:rPr>
          <w:sz w:val="20"/>
          <w:szCs w:val="20"/>
          <w:color w:val="auto"/>
        </w:rPr>
      </w:pPr>
      <w:r>
        <w:rPr>
          <w:rFonts w:ascii="Arial" w:cs="Arial" w:eastAsia="Arial" w:hAnsi="Arial"/>
          <w:sz w:val="18"/>
          <w:szCs w:val="18"/>
          <w:color w:val="auto"/>
        </w:rPr>
        <w:t>Derivatives and related hedge activities had net gains in 2015 as compared to losses in 2014 due to increased gains on the GMWB embedded derivatives, including changes in the spread reflecting our own creditworthiness, and related hedging instruments and increased gains on interest rate swap derivatives not designated as hedging instruments due to changes in interest rates.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2015 Compared to Nine Months Ended September 30, 2014</w:t>
      </w:r>
    </w:p>
    <w:p>
      <w:pPr>
        <w:spacing w:after="0" w:line="225" w:lineRule="exact"/>
        <w:rPr>
          <w:sz w:val="20"/>
          <w:szCs w:val="20"/>
          <w:color w:val="auto"/>
        </w:rPr>
      </w:pPr>
    </w:p>
    <w:p>
      <w:pPr>
        <w:ind w:right="340" w:firstLine="648"/>
        <w:spacing w:after="0" w:line="308" w:lineRule="auto"/>
        <w:rPr>
          <w:sz w:val="20"/>
          <w:szCs w:val="20"/>
          <w:color w:val="auto"/>
        </w:rPr>
      </w:pPr>
      <w:r>
        <w:rPr>
          <w:rFonts w:ascii="Arial" w:cs="Arial" w:eastAsia="Arial" w:hAnsi="Arial"/>
          <w:sz w:val="17"/>
          <w:szCs w:val="17"/>
          <w:color w:val="auto"/>
        </w:rPr>
        <w:t>Net realized capital losses on fixed maturities, available-for-sale — credit impairments decreased primarily due to decreased losses on structured fixed maturities as a result of improved market conditions. This was partially offset by losses versus gains on corporate fixed maturities.</w:t>
      </w:r>
    </w:p>
    <w:p>
      <w:pPr>
        <w:spacing w:after="0" w:line="147" w:lineRule="exact"/>
        <w:rPr>
          <w:sz w:val="20"/>
          <w:szCs w:val="20"/>
          <w:color w:val="auto"/>
        </w:rPr>
      </w:pPr>
    </w:p>
    <w:p>
      <w:pPr>
        <w:ind w:right="240" w:firstLine="648"/>
        <w:spacing w:after="0" w:line="308" w:lineRule="auto"/>
        <w:rPr>
          <w:sz w:val="20"/>
          <w:szCs w:val="20"/>
          <w:color w:val="auto"/>
        </w:rPr>
      </w:pPr>
      <w:r>
        <w:rPr>
          <w:rFonts w:ascii="Arial" w:cs="Arial" w:eastAsia="Arial" w:hAnsi="Arial"/>
          <w:sz w:val="17"/>
          <w:szCs w:val="17"/>
          <w:color w:val="auto"/>
        </w:rPr>
        <w:t>Net realized capital gains on fixed maturities, available-for-sale and trading — noncredit decreased primarily due to losses versus gains on trading securities related to changes in interest rates and credit spreads and a gain from the sale of a long dated structured security in 2014.</w:t>
      </w:r>
    </w:p>
    <w:p>
      <w:pPr>
        <w:spacing w:after="0" w:line="147"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Derivatives and related hedge activities had net gains in 2015 as compared to losses in 2014 due primarily to increased gains on interest rate swap derivatives not designated as hedging instruments due to changes in interest rates.</w:t>
      </w:r>
    </w:p>
    <w:p>
      <w:pPr>
        <w:spacing w:after="0" w:line="170"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Other gains (losses) reflected losses in 2015 as compared to gains in 2014 primarily due to decreased gains on sales of real estate investments and joint venture real estate and a write-off of unamortized book value on corporate owned real estate in 2015.</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Investment Operations</w:t>
      </w:r>
    </w:p>
    <w:p>
      <w:pPr>
        <w:spacing w:after="0" w:line="229" w:lineRule="exact"/>
        <w:rPr>
          <w:sz w:val="20"/>
          <w:szCs w:val="20"/>
          <w:color w:val="auto"/>
        </w:rPr>
      </w:pPr>
    </w:p>
    <w:p>
      <w:pPr>
        <w:ind w:right="360" w:firstLine="648"/>
        <w:spacing w:after="0" w:line="276" w:lineRule="auto"/>
        <w:rPr>
          <w:sz w:val="20"/>
          <w:szCs w:val="20"/>
          <w:color w:val="auto"/>
        </w:rPr>
      </w:pPr>
      <w:r>
        <w:rPr>
          <w:rFonts w:ascii="Arial" w:cs="Arial" w:eastAsia="Arial" w:hAnsi="Arial"/>
          <w:sz w:val="17"/>
          <w:szCs w:val="17"/>
          <w:color w:val="auto"/>
        </w:rPr>
        <w:t>Of our invested assets, $63,147.5 million were held by our U.S. operations as of September 30, 2015. Our U.S. invested assets are managed primarily by our Principal Global Investors segment. Our primary investment objective is to maximize after-tax returns consistent with acceptable risk parameters. We seek to protect policyholders’ benefits by optimizing the risk/return relationship on an ongoing basis, through asset/liability matching, reducing the credit risk, avoiding high levels of investments that may be redeemed by the issuer, maintaining sufficiently liquid investments and avoiding undue asset concentrations through diversification. We are exposed to two primary sources of investment risk:</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940" w:hanging="284"/>
        <w:spacing w:after="0"/>
        <w:tabs>
          <w:tab w:leader="none" w:pos="940" w:val="left"/>
        </w:tabs>
        <w:numPr>
          <w:ilvl w:val="0"/>
          <w:numId w:val="35"/>
        </w:numPr>
        <w:rPr>
          <w:rFonts w:ascii="Arial" w:cs="Arial" w:eastAsia="Arial" w:hAnsi="Arial"/>
          <w:sz w:val="16"/>
          <w:szCs w:val="16"/>
          <w:color w:val="auto"/>
        </w:rPr>
      </w:pPr>
      <w:r>
        <w:rPr>
          <w:rFonts w:ascii="Arial" w:cs="Arial" w:eastAsia="Arial" w:hAnsi="Arial"/>
          <w:sz w:val="16"/>
          <w:szCs w:val="16"/>
          <w:color w:val="auto"/>
        </w:rPr>
        <w:t>credit risk, relating to the uncertainty associated with the continued ability of an obligor to make timely payments of principal and interest and</w:t>
      </w:r>
    </w:p>
    <w:p>
      <w:pPr>
        <w:spacing w:after="0" w:line="46" w:lineRule="exact"/>
        <w:rPr>
          <w:rFonts w:ascii="Arial" w:cs="Arial" w:eastAsia="Arial" w:hAnsi="Arial"/>
          <w:sz w:val="16"/>
          <w:szCs w:val="16"/>
          <w:color w:val="auto"/>
        </w:rPr>
      </w:pPr>
    </w:p>
    <w:p>
      <w:pPr>
        <w:ind w:left="940" w:hanging="284"/>
        <w:spacing w:after="0"/>
        <w:tabs>
          <w:tab w:leader="none" w:pos="9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interest rate risk, relating to the market price and/or cash flow variability associated with changes in market yield curves.</w:t>
      </w:r>
    </w:p>
    <w:p>
      <w:pPr>
        <w:spacing w:after="0" w:line="211"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Our ability to manage credit risk is essential to our business and our profitability. We devote considerable resources to the credit analysis of each new investment. We manage credit risk through industry, issuer and asset class diversification. Our Investment Committee, appointed by our Board of Directors, is responsible for establishing all investment policies and approving or authorizing all investments, except the Executive Committee of the Board must approve</w:t>
      </w:r>
    </w:p>
    <w:p>
      <w:pPr>
        <w:sectPr>
          <w:pgSz w:w="11900" w:h="16838" w:orient="portrait"/>
          <w:cols w:equalWidth="0" w:num="1">
            <w:col w:w="11420"/>
          </w:cols>
          <w:pgMar w:left="240" w:top="341" w:right="239" w:bottom="0" w:gutter="0" w:footer="0" w:header="0"/>
        </w:sectPr>
      </w:pPr>
    </w:p>
    <w:bookmarkStart w:id="80" w:name="page81"/>
    <w:bookmarkEnd w:id="80"/>
    <w:p>
      <w:pPr>
        <w:ind w:right="340"/>
        <w:spacing w:after="0" w:line="342" w:lineRule="auto"/>
        <w:rPr>
          <w:sz w:val="20"/>
          <w:szCs w:val="20"/>
          <w:color w:val="auto"/>
        </w:rPr>
      </w:pPr>
      <w:r>
        <w:rPr>
          <w:rFonts w:ascii="Arial" w:cs="Arial" w:eastAsia="Arial" w:hAnsi="Arial"/>
          <w:sz w:val="16"/>
          <w:szCs w:val="16"/>
          <w:color w:val="auto"/>
        </w:rPr>
        <w:t>any investment transaction exceeding $500.0 million. As of September 30, 2015, eleven members served on the Investment Committee, one of whom is a member of our Board of Directors. The remaining members were senior management members representing various areas of our company.</w:t>
      </w:r>
    </w:p>
    <w:p>
      <w:pPr>
        <w:spacing w:after="0" w:line="124" w:lineRule="exact"/>
        <w:rPr>
          <w:sz w:val="20"/>
          <w:szCs w:val="20"/>
          <w:color w:val="auto"/>
        </w:rPr>
      </w:pPr>
    </w:p>
    <w:p>
      <w:pPr>
        <w:ind w:right="140" w:firstLine="648"/>
        <w:spacing w:after="0" w:line="291" w:lineRule="auto"/>
        <w:rPr>
          <w:sz w:val="20"/>
          <w:szCs w:val="20"/>
          <w:color w:val="auto"/>
        </w:rPr>
      </w:pPr>
      <w:r>
        <w:rPr>
          <w:rFonts w:ascii="Arial" w:cs="Arial" w:eastAsia="Arial" w:hAnsi="Arial"/>
          <w:sz w:val="16"/>
          <w:szCs w:val="16"/>
          <w:color w:val="auto"/>
        </w:rPr>
        <w:t>We purchase credit default swaps to hedge certain credit exposures in our investment portfolio and total return swaps and futures to hedge a portion of our investment portfolio from credit losses. We economically hedged credit exposure in our portfolio by purchasing credit default swaps with a notional amount of $213.2 million and $288.7 million, total return swaps of $90.0 million and $90.0 million, and futures of $15.6 million and $10.5 million as of September 30, 2015 and December 31, 2014, respectively. We sell credit default swaps to offer credit protection to investors when entering into synthetic replicating transactions. When selling credit protection, if there is an event of default by the referenced name, we are obligated to pay the counterparty the referenced amount of the contract and receive in return the referenced security. For further information on credit derivatives sold, see Item 1. “Financial Statements, Notes to Unaudited Consolidated Financial Statements, Note 4, Derivative Financial Instruments” under the caption, “Credit Derivatives Sold.”</w:t>
      </w:r>
    </w:p>
    <w:p>
      <w:pPr>
        <w:spacing w:after="0" w:line="167"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We also seek to manage call or prepayment risk arising from changes in interest rates. We assess and price for call or prepayment risks in all of our investments and monitor these risks in accordance with asset/liability management policies.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amortized cost and weighted average yield, calculated using amortized cost, of non-structured fixed maturity securities that will be callable at</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the option of the issuer, excluding securities with a make-whole provision, were $1,435.9 million and 3.9%, respectively, as of September 30, 2015 and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$1,119.1 million and 4.3%, respectively, as of December 31, 2014. In addition, the amortized cost and weighted average yield of residential mortgage-backed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pass-through securities, residential collateralized mortgage obligations, and asset-backed securities - home equity with material prepayment risk were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$4,323.9 million and 3.3%, respectively, as of September 30, 2015 and $4,319.0 million and 3.3%, respectively, as of December 31, 2014.</w:t>
      </w:r>
    </w:p>
    <w:p>
      <w:pPr>
        <w:spacing w:after="0" w:line="211" w:lineRule="exact"/>
        <w:rPr>
          <w:sz w:val="20"/>
          <w:szCs w:val="20"/>
          <w:color w:val="auto"/>
        </w:rPr>
      </w:pPr>
    </w:p>
    <w:p>
      <w:pPr>
        <w:ind w:right="100" w:firstLine="648"/>
        <w:spacing w:after="0" w:line="293" w:lineRule="auto"/>
        <w:rPr>
          <w:sz w:val="20"/>
          <w:szCs w:val="20"/>
          <w:color w:val="auto"/>
        </w:rPr>
      </w:pPr>
      <w:r>
        <w:rPr>
          <w:rFonts w:ascii="Arial" w:cs="Arial" w:eastAsia="Arial" w:hAnsi="Arial"/>
          <w:sz w:val="16"/>
          <w:szCs w:val="16"/>
          <w:color w:val="auto"/>
        </w:rPr>
        <w:t>Our Fixed Income Securities Committee, consisting of fixed income securities senior management members, approves the credit rating for the fixed maturities we purchase. Teams of security analysts, organized by industry, analyze and monitor these investments. In addition, we have teams who specialize in RMBS, CMBS, ABS, municipals and below investment grade securities. Our analysts monitor issuers held in the portfolio on a continuous basis with a formal review documented annually or more frequently if material events affect the issuer. The analysis includes both fundamental and technical factors. The fundamental analysis encompasses both quantitative and qualitative analysis of the issuer. The qualitative analysis includes an assessment of both accounting and management aggressiveness of the issuer. In addition, technical indicators such as stock price volatility and credit default swap levels are monitored.</w:t>
      </w:r>
    </w:p>
    <w:p>
      <w:pPr>
        <w:spacing w:after="0" w:line="165" w:lineRule="exact"/>
        <w:rPr>
          <w:sz w:val="20"/>
          <w:szCs w:val="20"/>
          <w:color w:val="auto"/>
        </w:rPr>
      </w:pPr>
    </w:p>
    <w:p>
      <w:pPr>
        <w:ind w:right="180" w:firstLine="648"/>
        <w:spacing w:after="0" w:line="308" w:lineRule="auto"/>
        <w:rPr>
          <w:sz w:val="20"/>
          <w:szCs w:val="20"/>
          <w:color w:val="auto"/>
        </w:rPr>
      </w:pPr>
      <w:r>
        <w:rPr>
          <w:rFonts w:ascii="Arial" w:cs="Arial" w:eastAsia="Arial" w:hAnsi="Arial"/>
          <w:sz w:val="17"/>
          <w:szCs w:val="17"/>
          <w:color w:val="auto"/>
        </w:rPr>
        <w:t>Our Fixed Income Securities Committee also reviews private transactions on a continuous basis to assess the quality ratings of our privately placed investments. We regularly review our investments to determine whether we should re-rate them, employing the following criteria:</w:t>
      </w:r>
    </w:p>
    <w:p>
      <w:pPr>
        <w:spacing w:after="0" w:line="147" w:lineRule="exact"/>
        <w:rPr>
          <w:sz w:val="20"/>
          <w:szCs w:val="20"/>
          <w:color w:val="auto"/>
        </w:rPr>
      </w:pPr>
    </w:p>
    <w:p>
      <w:pPr>
        <w:ind w:left="940" w:hanging="284"/>
        <w:spacing w:after="0"/>
        <w:tabs>
          <w:tab w:leader="none" w:pos="9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material changes in the issuer’s revenues or margins;</w:t>
      </w:r>
    </w:p>
    <w:p>
      <w:pPr>
        <w:spacing w:after="0" w:line="23" w:lineRule="exact"/>
        <w:rPr>
          <w:rFonts w:ascii="Arial" w:cs="Arial" w:eastAsia="Arial" w:hAnsi="Arial"/>
          <w:sz w:val="18"/>
          <w:szCs w:val="18"/>
          <w:color w:val="auto"/>
        </w:rPr>
      </w:pPr>
    </w:p>
    <w:p>
      <w:pPr>
        <w:ind w:left="940" w:hanging="284"/>
        <w:spacing w:after="0"/>
        <w:tabs>
          <w:tab w:leader="none" w:pos="9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significant management or organizational changes;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significant changes regarding the issuer’s industry;</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debt service coverage or cash flow ratios that fall below industry-specific thresholds;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violation of financial covenants and</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other business factors that relate to the issuer.</w:t>
      </w:r>
    </w:p>
    <w:p>
      <w:pPr>
        <w:spacing w:after="0" w:line="211"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Our use of derivatives exposes us to counterparty risk, or the risk that the counterparty fails to perform the terms of the derivative contract. We actively manage this risk by:</w:t>
      </w:r>
    </w:p>
    <w:p>
      <w:pPr>
        <w:spacing w:after="0" w:line="170" w:lineRule="exact"/>
        <w:rPr>
          <w:sz w:val="20"/>
          <w:szCs w:val="20"/>
          <w:color w:val="auto"/>
        </w:rPr>
      </w:pPr>
    </w:p>
    <w:p>
      <w:pPr>
        <w:ind w:left="940" w:hanging="284"/>
        <w:spacing w:after="0"/>
        <w:tabs>
          <w:tab w:leader="none" w:pos="9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obtaining approval of all new counterparties by the Investment Committee;</w:t>
      </w:r>
    </w:p>
    <w:p>
      <w:pPr>
        <w:spacing w:after="0" w:line="23" w:lineRule="exact"/>
        <w:rPr>
          <w:rFonts w:ascii="Arial" w:cs="Arial" w:eastAsia="Arial" w:hAnsi="Arial"/>
          <w:sz w:val="18"/>
          <w:szCs w:val="18"/>
          <w:color w:val="auto"/>
        </w:rPr>
      </w:pPr>
    </w:p>
    <w:p>
      <w:pPr>
        <w:ind w:left="940" w:hanging="284"/>
        <w:spacing w:after="0"/>
        <w:tabs>
          <w:tab w:leader="none" w:pos="9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establishing exposure limits that take into account non-derivative exposure we have with the counterparty as well as derivative exposure;</w:t>
      </w: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940" w:hanging="284"/>
        <w:spacing w:after="0"/>
        <w:tabs>
          <w:tab w:leader="none" w:pos="940" w:val="left"/>
        </w:tabs>
        <w:numPr>
          <w:ilvl w:val="0"/>
          <w:numId w:val="38"/>
        </w:numPr>
        <w:rPr>
          <w:rFonts w:ascii="Arial" w:cs="Arial" w:eastAsia="Arial" w:hAnsi="Arial"/>
          <w:sz w:val="17"/>
          <w:szCs w:val="17"/>
          <w:color w:val="auto"/>
        </w:rPr>
      </w:pPr>
      <w:r>
        <w:rPr>
          <w:rFonts w:ascii="Arial" w:cs="Arial" w:eastAsia="Arial" w:hAnsi="Arial"/>
          <w:sz w:val="17"/>
          <w:szCs w:val="17"/>
          <w:color w:val="auto"/>
        </w:rPr>
        <w:t>performing similar credit analysis prior to approval on each derivatives counterparty that we do when lending money on a long-term basis;</w:t>
      </w:r>
    </w:p>
    <w:p>
      <w:pPr>
        <w:spacing w:after="0" w:line="34" w:lineRule="exact"/>
        <w:rPr>
          <w:rFonts w:ascii="Arial" w:cs="Arial" w:eastAsia="Arial" w:hAnsi="Arial"/>
          <w:sz w:val="17"/>
          <w:szCs w:val="17"/>
          <w:color w:val="auto"/>
        </w:rPr>
      </w:pPr>
    </w:p>
    <w:p>
      <w:pPr>
        <w:ind w:left="940" w:hanging="284"/>
        <w:spacing w:after="0"/>
        <w:tabs>
          <w:tab w:leader="none" w:pos="9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diversifying our risk across numerous approved counterparties;</w:t>
      </w:r>
    </w:p>
    <w:p>
      <w:pPr>
        <w:spacing w:after="0" w:line="9" w:lineRule="exact"/>
        <w:rPr>
          <w:rFonts w:ascii="Arial" w:cs="Arial" w:eastAsia="Arial" w:hAnsi="Arial"/>
          <w:sz w:val="18"/>
          <w:szCs w:val="18"/>
          <w:color w:val="auto"/>
        </w:rPr>
      </w:pPr>
    </w:p>
    <w:p>
      <w:pPr>
        <w:ind w:left="980" w:right="260" w:hanging="324"/>
        <w:spacing w:after="0" w:line="250" w:lineRule="auto"/>
        <w:tabs>
          <w:tab w:leader="none" w:pos="944" w:val="left"/>
        </w:tabs>
        <w:numPr>
          <w:ilvl w:val="0"/>
          <w:numId w:val="38"/>
        </w:numPr>
        <w:rPr>
          <w:rFonts w:ascii="Arial" w:cs="Arial" w:eastAsia="Arial" w:hAnsi="Arial"/>
          <w:sz w:val="18"/>
          <w:szCs w:val="18"/>
          <w:color w:val="auto"/>
        </w:rPr>
      </w:pPr>
      <w:r>
        <w:rPr>
          <w:rFonts w:ascii="Arial" w:cs="Arial" w:eastAsia="Arial" w:hAnsi="Arial"/>
          <w:sz w:val="18"/>
          <w:szCs w:val="18"/>
          <w:color w:val="auto"/>
        </w:rPr>
        <w:t>implementing credit support annex (collateral) agreements (“CSAs”) for over-the-counter derivative transactions or similar agreements with a majority of our counterparties to further limit counterparty exposures, which provide for netting of exposures;</w:t>
      </w:r>
    </w:p>
    <w:p>
      <w:pPr>
        <w:ind w:left="940" w:hanging="284"/>
        <w:spacing w:after="0"/>
        <w:tabs>
          <w:tab w:leader="none" w:pos="9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limiting exposure to A credit or better for over-the-counter derivative counterparties without CSAs;</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conducting stress-test analysis to determine the maximum exposure created during the life of a prospective transaction;</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daily monitoring of counterparty credit ratings, exposures and associated collateral levels and</w:t>
      </w:r>
    </w:p>
    <w:p>
      <w:pPr>
        <w:spacing w:after="0" w:line="9" w:lineRule="exact"/>
        <w:rPr>
          <w:rFonts w:ascii="Arial" w:cs="Arial" w:eastAsia="Arial" w:hAnsi="Arial"/>
          <w:sz w:val="18"/>
          <w:szCs w:val="18"/>
          <w:color w:val="auto"/>
        </w:rPr>
      </w:pPr>
    </w:p>
    <w:p>
      <w:pPr>
        <w:ind w:left="940" w:hanging="284"/>
        <w:spacing w:after="0"/>
        <w:tabs>
          <w:tab w:leader="none" w:pos="9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trading mandatorily cleared contracts through centralized clearinghouses.</w:t>
      </w:r>
    </w:p>
    <w:p>
      <w:pPr>
        <w:spacing w:after="0" w:line="21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manage our exposure on a net basis, whereby we net positive and negative exposures for each counterparty with agreements in place. For further information on derivative exposure, see Item 1. “Financial Statements, Notes to Unaudited Consolidated Financial Statements, Note 3, Investments” under the caption, “Balance Sheet Offsetting.”</w:t>
      </w:r>
    </w:p>
    <w:p>
      <w:pPr>
        <w:spacing w:after="0" w:line="181" w:lineRule="exact"/>
        <w:rPr>
          <w:sz w:val="20"/>
          <w:szCs w:val="20"/>
          <w:color w:val="auto"/>
        </w:rPr>
      </w:pPr>
    </w:p>
    <w:p>
      <w:pPr>
        <w:ind w:right="40" w:firstLine="648"/>
        <w:spacing w:after="0" w:line="271" w:lineRule="auto"/>
        <w:rPr>
          <w:sz w:val="20"/>
          <w:szCs w:val="20"/>
          <w:color w:val="auto"/>
        </w:rPr>
      </w:pPr>
      <w:r>
        <w:rPr>
          <w:rFonts w:ascii="Arial" w:cs="Arial" w:eastAsia="Arial" w:hAnsi="Arial"/>
          <w:sz w:val="17"/>
          <w:szCs w:val="17"/>
          <w:color w:val="auto"/>
        </w:rPr>
        <w:t>A dedicated risk management team is responsible for centralized monitoring of the commercial mortgage loan portfolio. We apply a variety of strategies to minimize credit risk in our commercial mortgage loan portfolio. When considering new commercial mortgage loans, we review the cash flow fundamentals of the property, make a physical assessment of the underlying security, conduct a comprehensive market analysis and compare against industry lending practices. We use a proprietary risk rating model to evaluate all new and substantially all existing loans within the portfolio. The proprietary risk model is designed to stress projected cash flows under simulated economic and market downturns. Our lending guidelines are typically 75% or less loan-to-value ratio and a debt service coverage ratio of at least 1.2 times. We analyze investments outside of these guidelines based on cash flow quality, tenancy and other factors. The following table presents loan-to-value and debt service coverage ratios for our brick and mortar commercial mortgages, excluding Principal Global Investors segment mortgages:</w:t>
      </w:r>
    </w:p>
    <w:p>
      <w:pPr>
        <w:spacing w:after="0" w:line="171" w:lineRule="exact"/>
        <w:rPr>
          <w:sz w:val="20"/>
          <w:szCs w:val="20"/>
          <w:color w:val="auto"/>
        </w:rPr>
      </w:pPr>
    </w:p>
    <w:tbl>
      <w:tblPr>
        <w:tblLayout w:type="fixed"/>
        <w:tblInd w:w="340" w:type="dxa"/>
        <w:tblCellMar>
          <w:top w:w="0" w:type="dxa"/>
          <w:left w:w="0" w:type="dxa"/>
          <w:bottom w:w="0" w:type="dxa"/>
          <w:right w:w="0" w:type="dxa"/>
        </w:tblCellMar>
      </w:tblPr>
      <w:tr>
        <w:trPr>
          <w:trHeight w:val="171"/>
        </w:trPr>
        <w:tc>
          <w:tcPr>
            <w:tcW w:w="3860" w:type="dxa"/>
            <w:vAlign w:val="bottom"/>
          </w:tcPr>
          <w:p>
            <w:pPr>
              <w:spacing w:after="0"/>
              <w:rPr>
                <w:sz w:val="14"/>
                <w:szCs w:val="14"/>
                <w:color w:val="auto"/>
              </w:rPr>
            </w:pPr>
          </w:p>
        </w:tc>
        <w:tc>
          <w:tcPr>
            <w:tcW w:w="3140" w:type="dxa"/>
            <w:vAlign w:val="bottom"/>
            <w:gridSpan w:val="3"/>
          </w:tcPr>
          <w:p>
            <w:pPr>
              <w:ind w:left="520"/>
              <w:spacing w:after="0"/>
              <w:rPr>
                <w:sz w:val="20"/>
                <w:szCs w:val="20"/>
                <w:color w:val="auto"/>
              </w:rPr>
            </w:pPr>
            <w:r>
              <w:rPr>
                <w:rFonts w:ascii="Arial" w:cs="Arial" w:eastAsia="Arial" w:hAnsi="Arial"/>
                <w:sz w:val="14"/>
                <w:szCs w:val="14"/>
                <w:b w:val="1"/>
                <w:bCs w:val="1"/>
                <w:color w:val="auto"/>
              </w:rPr>
              <w:t>Weighted average loan-to-value ratio</w:t>
            </w: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500" w:type="dxa"/>
            <w:vAlign w:val="bottom"/>
            <w:gridSpan w:val="4"/>
          </w:tcPr>
          <w:p>
            <w:pPr>
              <w:ind w:left="840"/>
              <w:spacing w:after="0"/>
              <w:rPr>
                <w:sz w:val="20"/>
                <w:szCs w:val="20"/>
                <w:color w:val="auto"/>
              </w:rPr>
            </w:pPr>
            <w:r>
              <w:rPr>
                <w:rFonts w:ascii="Arial" w:cs="Arial" w:eastAsia="Arial" w:hAnsi="Arial"/>
                <w:sz w:val="14"/>
                <w:szCs w:val="14"/>
                <w:b w:val="1"/>
                <w:bCs w:val="1"/>
                <w:color w:val="auto"/>
              </w:rPr>
              <w:t>Debt service coverage ratio</w:t>
            </w:r>
          </w:p>
        </w:tc>
      </w:tr>
      <w:tr>
        <w:trPr>
          <w:trHeight w:val="142"/>
        </w:trPr>
        <w:tc>
          <w:tcPr>
            <w:tcW w:w="3860" w:type="dxa"/>
            <w:vAlign w:val="bottom"/>
          </w:tcPr>
          <w:p>
            <w:pPr>
              <w:spacing w:after="0"/>
              <w:rPr>
                <w:sz w:val="12"/>
                <w:szCs w:val="12"/>
                <w:color w:val="auto"/>
              </w:rPr>
            </w:pPr>
          </w:p>
        </w:tc>
        <w:tc>
          <w:tcPr>
            <w:tcW w:w="1800" w:type="dxa"/>
            <w:vAlign w:val="bottom"/>
            <w:tcBorders>
              <w:top w:val="single" w:sz="8" w:color="auto"/>
            </w:tcBorders>
            <w:gridSpan w:val="2"/>
          </w:tcPr>
          <w:p>
            <w:pPr>
              <w:jc w:val="right"/>
              <w:ind w:right="440"/>
              <w:spacing w:after="0" w:line="142" w:lineRule="exact"/>
              <w:rPr>
                <w:sz w:val="20"/>
                <w:szCs w:val="20"/>
                <w:color w:val="auto"/>
              </w:rPr>
            </w:pPr>
            <w:r>
              <w:rPr>
                <w:rFonts w:ascii="Arial" w:cs="Arial" w:eastAsia="Arial" w:hAnsi="Arial"/>
                <w:sz w:val="14"/>
                <w:szCs w:val="14"/>
                <w:b w:val="1"/>
                <w:bCs w:val="1"/>
                <w:color w:val="auto"/>
              </w:rPr>
              <w:t>September 30, 2015</w:t>
            </w:r>
          </w:p>
        </w:tc>
        <w:tc>
          <w:tcPr>
            <w:tcW w:w="1340" w:type="dxa"/>
            <w:vAlign w:val="bottom"/>
            <w:tcBorders>
              <w:top w:val="single" w:sz="8" w:color="auto"/>
            </w:tcBorders>
          </w:tcPr>
          <w:p>
            <w:pPr>
              <w:ind w:left="180"/>
              <w:spacing w:after="0" w:line="142" w:lineRule="exact"/>
              <w:rPr>
                <w:sz w:val="20"/>
                <w:szCs w:val="20"/>
                <w:color w:val="auto"/>
              </w:rPr>
            </w:pPr>
            <w:r>
              <w:rPr>
                <w:rFonts w:ascii="Arial" w:cs="Arial" w:eastAsia="Arial" w:hAnsi="Arial"/>
                <w:sz w:val="14"/>
                <w:szCs w:val="14"/>
                <w:b w:val="1"/>
                <w:bCs w:val="1"/>
                <w:color w:val="auto"/>
                <w:w w:val="90"/>
              </w:rPr>
              <w:t>December 31, 2014</w:t>
            </w:r>
          </w:p>
        </w:tc>
        <w:tc>
          <w:tcPr>
            <w:tcW w:w="18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1820" w:type="dxa"/>
            <w:vAlign w:val="bottom"/>
            <w:tcBorders>
              <w:top w:val="single" w:sz="8" w:color="auto"/>
            </w:tcBorders>
            <w:gridSpan w:val="2"/>
          </w:tcPr>
          <w:p>
            <w:pPr>
              <w:ind w:left="180"/>
              <w:spacing w:after="0" w:line="142" w:lineRule="exact"/>
              <w:rPr>
                <w:sz w:val="20"/>
                <w:szCs w:val="20"/>
                <w:color w:val="auto"/>
              </w:rPr>
            </w:pPr>
            <w:r>
              <w:rPr>
                <w:rFonts w:ascii="Arial" w:cs="Arial" w:eastAsia="Arial" w:hAnsi="Arial"/>
                <w:sz w:val="14"/>
                <w:szCs w:val="14"/>
                <w:b w:val="1"/>
                <w:bCs w:val="1"/>
                <w:color w:val="auto"/>
              </w:rPr>
              <w:t>September 30, 2015</w:t>
            </w:r>
          </w:p>
        </w:tc>
        <w:tc>
          <w:tcPr>
            <w:tcW w:w="1540" w:type="dxa"/>
            <w:vAlign w:val="bottom"/>
            <w:tcBorders>
              <w:top w:val="single" w:sz="8" w:color="auto"/>
            </w:tcBorders>
          </w:tcPr>
          <w:p>
            <w:pPr>
              <w:ind w:left="180"/>
              <w:spacing w:after="0" w:line="142" w:lineRule="exact"/>
              <w:rPr>
                <w:sz w:val="20"/>
                <w:szCs w:val="20"/>
                <w:color w:val="auto"/>
              </w:rPr>
            </w:pPr>
            <w:r>
              <w:rPr>
                <w:rFonts w:ascii="Arial" w:cs="Arial" w:eastAsia="Arial" w:hAnsi="Arial"/>
                <w:sz w:val="14"/>
                <w:szCs w:val="14"/>
                <w:b w:val="1"/>
                <w:bCs w:val="1"/>
                <w:color w:val="auto"/>
              </w:rPr>
              <w:t>December 31, 2014</w:t>
            </w:r>
          </w:p>
        </w:tc>
        <w:tc>
          <w:tcPr>
            <w:tcW w:w="140" w:type="dxa"/>
            <w:vAlign w:val="bottom"/>
          </w:tcPr>
          <w:p>
            <w:pPr>
              <w:spacing w:after="0"/>
              <w:rPr>
                <w:sz w:val="12"/>
                <w:szCs w:val="12"/>
                <w:color w:val="auto"/>
              </w:rPr>
            </w:pPr>
          </w:p>
        </w:tc>
      </w:tr>
      <w:tr>
        <w:trPr>
          <w:trHeight w:val="210"/>
        </w:trPr>
        <w:tc>
          <w:tcPr>
            <w:tcW w:w="3860" w:type="dxa"/>
            <w:vAlign w:val="bottom"/>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New mortgages</w:t>
            </w:r>
          </w:p>
        </w:tc>
        <w:tc>
          <w:tcPr>
            <w:tcW w:w="1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48%</w:t>
            </w:r>
          </w:p>
        </w:tc>
        <w:tc>
          <w:tcPr>
            <w:tcW w:w="134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3"/>
              </w:rPr>
              <w:t>51%</w:t>
            </w:r>
          </w:p>
        </w:tc>
        <w:tc>
          <w:tcPr>
            <w:tcW w:w="1820" w:type="dxa"/>
            <w:vAlign w:val="bottom"/>
            <w:gridSpan w:val="2"/>
            <w:shd w:val="clear" w:color="auto" w:fill="CCEEFF"/>
          </w:tcPr>
          <w:p>
            <w:pPr>
              <w:ind w:left="1320"/>
              <w:spacing w:after="0"/>
              <w:rPr>
                <w:sz w:val="20"/>
                <w:szCs w:val="20"/>
                <w:color w:val="auto"/>
              </w:rPr>
            </w:pPr>
            <w:r>
              <w:rPr>
                <w:rFonts w:ascii="Arial" w:cs="Arial" w:eastAsia="Arial" w:hAnsi="Arial"/>
                <w:sz w:val="18"/>
                <w:szCs w:val="18"/>
                <w:b w:val="1"/>
                <w:bCs w:val="1"/>
                <w:color w:val="auto"/>
              </w:rPr>
              <w:t>3.3X</w:t>
            </w:r>
          </w:p>
        </w:tc>
        <w:tc>
          <w:tcPr>
            <w:tcW w:w="1680" w:type="dxa"/>
            <w:vAlign w:val="bottom"/>
            <w:gridSpan w:val="2"/>
            <w:shd w:val="clear" w:color="auto" w:fill="CCEEFF"/>
          </w:tcPr>
          <w:p>
            <w:pPr>
              <w:ind w:left="1320"/>
              <w:spacing w:after="0"/>
              <w:rPr>
                <w:sz w:val="20"/>
                <w:szCs w:val="20"/>
                <w:color w:val="auto"/>
              </w:rPr>
            </w:pPr>
            <w:r>
              <w:rPr>
                <w:rFonts w:ascii="Arial" w:cs="Arial" w:eastAsia="Arial" w:hAnsi="Arial"/>
                <w:sz w:val="18"/>
                <w:szCs w:val="18"/>
                <w:color w:val="auto"/>
                <w:w w:val="91"/>
              </w:rPr>
              <w:t>2.6X</w:t>
            </w:r>
          </w:p>
        </w:tc>
      </w:tr>
      <w:tr>
        <w:trPr>
          <w:trHeight w:val="234"/>
        </w:trPr>
        <w:tc>
          <w:tcPr>
            <w:tcW w:w="3860" w:type="dxa"/>
            <w:vAlign w:val="bottom"/>
          </w:tcPr>
          <w:p>
            <w:pPr>
              <w:spacing w:after="0"/>
              <w:rPr>
                <w:sz w:val="20"/>
                <w:szCs w:val="20"/>
                <w:color w:val="auto"/>
              </w:rPr>
            </w:pPr>
            <w:r>
              <w:rPr>
                <w:rFonts w:ascii="Arial" w:cs="Arial" w:eastAsia="Arial" w:hAnsi="Arial"/>
                <w:sz w:val="18"/>
                <w:szCs w:val="18"/>
                <w:color w:val="auto"/>
              </w:rPr>
              <w:t>Entire mortgage portfolio</w:t>
            </w:r>
          </w:p>
        </w:tc>
        <w:tc>
          <w:tcPr>
            <w:tcW w:w="18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46%</w:t>
            </w:r>
          </w:p>
        </w:tc>
        <w:tc>
          <w:tcPr>
            <w:tcW w:w="1340" w:type="dxa"/>
            <w:vAlign w:val="bottom"/>
          </w:tcPr>
          <w:p>
            <w:pPr>
              <w:spacing w:after="0"/>
              <w:rPr>
                <w:sz w:val="20"/>
                <w:szCs w:val="20"/>
                <w:color w:val="auto"/>
              </w:rPr>
            </w:pPr>
          </w:p>
        </w:tc>
        <w:tc>
          <w:tcPr>
            <w:tcW w:w="440" w:type="dxa"/>
            <w:vAlign w:val="bottom"/>
            <w:gridSpan w:val="2"/>
          </w:tcPr>
          <w:p>
            <w:pPr>
              <w:jc w:val="right"/>
              <w:ind w:right="120"/>
              <w:spacing w:after="0"/>
              <w:rPr>
                <w:sz w:val="20"/>
                <w:szCs w:val="20"/>
                <w:color w:val="auto"/>
              </w:rPr>
            </w:pPr>
            <w:r>
              <w:rPr>
                <w:rFonts w:ascii="Arial" w:cs="Arial" w:eastAsia="Arial" w:hAnsi="Arial"/>
                <w:sz w:val="18"/>
                <w:szCs w:val="18"/>
                <w:color w:val="auto"/>
                <w:w w:val="83"/>
              </w:rPr>
              <w:t>48%</w:t>
            </w:r>
          </w:p>
        </w:tc>
        <w:tc>
          <w:tcPr>
            <w:tcW w:w="1820" w:type="dxa"/>
            <w:vAlign w:val="bottom"/>
            <w:gridSpan w:val="2"/>
          </w:tcPr>
          <w:p>
            <w:pPr>
              <w:ind w:left="1320"/>
              <w:spacing w:after="0"/>
              <w:rPr>
                <w:sz w:val="20"/>
                <w:szCs w:val="20"/>
                <w:color w:val="auto"/>
              </w:rPr>
            </w:pPr>
            <w:r>
              <w:rPr>
                <w:rFonts w:ascii="Arial" w:cs="Arial" w:eastAsia="Arial" w:hAnsi="Arial"/>
                <w:sz w:val="18"/>
                <w:szCs w:val="18"/>
                <w:b w:val="1"/>
                <w:bCs w:val="1"/>
                <w:color w:val="auto"/>
              </w:rPr>
              <w:t>2.8X</w:t>
            </w:r>
          </w:p>
        </w:tc>
        <w:tc>
          <w:tcPr>
            <w:tcW w:w="1680" w:type="dxa"/>
            <w:vAlign w:val="bottom"/>
            <w:gridSpan w:val="2"/>
          </w:tcPr>
          <w:p>
            <w:pPr>
              <w:ind w:left="1320"/>
              <w:spacing w:after="0"/>
              <w:rPr>
                <w:sz w:val="20"/>
                <w:szCs w:val="20"/>
                <w:color w:val="auto"/>
              </w:rPr>
            </w:pPr>
            <w:r>
              <w:rPr>
                <w:rFonts w:ascii="Arial" w:cs="Arial" w:eastAsia="Arial" w:hAnsi="Arial"/>
                <w:sz w:val="18"/>
                <w:szCs w:val="18"/>
                <w:color w:val="auto"/>
                <w:w w:val="91"/>
              </w:rPr>
              <w:t>2.6X</w:t>
            </w:r>
          </w:p>
        </w:tc>
      </w:tr>
    </w:tbl>
    <w:p>
      <w:pPr>
        <w:sectPr>
          <w:pgSz w:w="11900" w:h="16838" w:orient="portrait"/>
          <w:cols w:equalWidth="0" w:num="1">
            <w:col w:w="11420"/>
          </w:cols>
          <w:pgMar w:left="240" w:top="125" w:right="239" w:bottom="0" w:gutter="0" w:footer="0" w:header="0"/>
        </w:sectPr>
      </w:pPr>
    </w:p>
    <w:bookmarkStart w:id="81" w:name="page82"/>
    <w:bookmarkEnd w:id="81"/>
    <w:p>
      <w:pPr>
        <w:ind w:right="180" w:firstLine="648"/>
        <w:spacing w:after="0" w:line="279" w:lineRule="auto"/>
        <w:rPr>
          <w:sz w:val="20"/>
          <w:szCs w:val="20"/>
          <w:color w:val="auto"/>
        </w:rPr>
      </w:pPr>
      <w:r>
        <w:rPr>
          <w:rFonts w:ascii="Arial" w:cs="Arial" w:eastAsia="Arial" w:hAnsi="Arial"/>
          <w:sz w:val="17"/>
          <w:szCs w:val="17"/>
          <w:color w:val="auto"/>
        </w:rPr>
        <w:t>Our investment decisions and objectives are a function of the underlying risks and product profiles of each primary business operation. In addition, we diversify our product portfolio offerings to include products that contain features that will protect us against fluctuations in interest rates. Those features include adjustable crediting rates, policy surrender charges and market value adjustments on liquidations. For further information on our management of interest rate risk, see Item 3. “Quantitative and Qualitative Disclosures About Market Risk — Interest Rate Risk.”</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Overall Composition of U.S. Invested Assets</w:t>
      </w:r>
    </w:p>
    <w:p>
      <w:pPr>
        <w:spacing w:after="0" w:line="225"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As shown in the following table, the major categories of U.S. invested assets are fixed maturities and commercial mortgage loans. The remainder is invested in other investments, real estate, residential mortgage loans and equity securities. In addition, policy loans are included in our invested assets. The following discussion analyzes the composition of U.S. invested assets, but excludes invested assets of the separate accounts.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40" w:type="dxa"/>
            <w:vAlign w:val="bottom"/>
            <w:gridSpan w:val="3"/>
          </w:tcPr>
          <w:p>
            <w:pPr>
              <w:ind w:left="780"/>
              <w:spacing w:after="0"/>
              <w:rPr>
                <w:sz w:val="20"/>
                <w:szCs w:val="20"/>
                <w:color w:val="auto"/>
              </w:rPr>
            </w:pPr>
            <w:r>
              <w:rPr>
                <w:rFonts w:ascii="Arial" w:cs="Arial" w:eastAsia="Arial" w:hAnsi="Arial"/>
                <w:sz w:val="14"/>
                <w:szCs w:val="14"/>
                <w:b w:val="1"/>
                <w:bCs w:val="1"/>
                <w:color w:val="auto"/>
              </w:rPr>
              <w:t>September 30, 2015</w:t>
            </w: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40" w:type="dxa"/>
            <w:vAlign w:val="bottom"/>
            <w:gridSpan w:val="5"/>
          </w:tcPr>
          <w:p>
            <w:pPr>
              <w:jc w:val="right"/>
              <w:ind w:right="1080"/>
              <w:spacing w:after="0"/>
              <w:rPr>
                <w:sz w:val="20"/>
                <w:szCs w:val="20"/>
                <w:color w:val="auto"/>
              </w:rPr>
            </w:pPr>
            <w:r>
              <w:rPr>
                <w:rFonts w:ascii="Arial" w:cs="Arial" w:eastAsia="Arial" w:hAnsi="Arial"/>
                <w:sz w:val="14"/>
                <w:szCs w:val="14"/>
                <w:b w:val="1"/>
                <w:bCs w:val="1"/>
                <w:color w:val="auto"/>
              </w:rPr>
              <w:t>December 31, 2014</w:t>
            </w: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520" w:type="dxa"/>
            <w:vAlign w:val="bottom"/>
            <w:tcBorders>
              <w:top w:val="single" w:sz="8" w:color="auto"/>
              <w:bottom w:val="single" w:sz="8" w:color="auto"/>
            </w:tcBorders>
            <w:gridSpan w:val="2"/>
          </w:tcPr>
          <w:p>
            <w:pPr>
              <w:jc w:val="right"/>
              <w:ind w:right="420"/>
              <w:spacing w:after="0" w:line="142" w:lineRule="exact"/>
              <w:rPr>
                <w:sz w:val="20"/>
                <w:szCs w:val="20"/>
                <w:color w:val="auto"/>
              </w:rPr>
            </w:pPr>
            <w:r>
              <w:rPr>
                <w:rFonts w:ascii="Arial" w:cs="Arial" w:eastAsia="Arial" w:hAnsi="Arial"/>
                <w:sz w:val="14"/>
                <w:szCs w:val="14"/>
                <w:b w:val="1"/>
                <w:bCs w:val="1"/>
                <w:color w:val="auto"/>
                <w:w w:val="96"/>
              </w:rPr>
              <w:t>Carrying amount</w:t>
            </w:r>
          </w:p>
        </w:tc>
        <w:tc>
          <w:tcPr>
            <w:tcW w:w="1020" w:type="dxa"/>
            <w:vAlign w:val="bottom"/>
            <w:tcBorders>
              <w:top w:val="single" w:sz="8" w:color="auto"/>
              <w:bottom w:val="single" w:sz="8" w:color="auto"/>
            </w:tcBorders>
          </w:tcPr>
          <w:p>
            <w:pPr>
              <w:ind w:left="360"/>
              <w:spacing w:after="0" w:line="142" w:lineRule="exact"/>
              <w:rPr>
                <w:sz w:val="20"/>
                <w:szCs w:val="20"/>
                <w:color w:val="auto"/>
              </w:rPr>
            </w:pPr>
            <w:r>
              <w:rPr>
                <w:rFonts w:ascii="Arial" w:cs="Arial" w:eastAsia="Arial" w:hAnsi="Arial"/>
                <w:sz w:val="14"/>
                <w:szCs w:val="14"/>
                <w:b w:val="1"/>
                <w:bCs w:val="1"/>
                <w:color w:val="auto"/>
              </w:rPr>
              <w:t>% of total</w:t>
            </w:r>
          </w:p>
        </w:tc>
        <w:tc>
          <w:tcPr>
            <w:tcW w:w="340" w:type="dxa"/>
            <w:vAlign w:val="bottom"/>
            <w:tcBorders>
              <w:top w:val="single" w:sz="8" w:color="auto"/>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260" w:type="dxa"/>
            <w:vAlign w:val="bottom"/>
            <w:tcBorders>
              <w:top w:val="single" w:sz="8" w:color="auto"/>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rPr>
              <w:t>Carrying amount</w:t>
            </w:r>
          </w:p>
        </w:tc>
        <w:tc>
          <w:tcPr>
            <w:tcW w:w="260" w:type="dxa"/>
            <w:vAlign w:val="bottom"/>
            <w:tcBorders>
              <w:top w:val="single" w:sz="8" w:color="auto"/>
              <w:bottom w:val="single" w:sz="8" w:color="auto"/>
            </w:tcBorders>
          </w:tcPr>
          <w:p>
            <w:pPr>
              <w:spacing w:after="0"/>
              <w:rPr>
                <w:sz w:val="12"/>
                <w:szCs w:val="12"/>
                <w:color w:val="auto"/>
              </w:rPr>
            </w:pPr>
          </w:p>
        </w:tc>
        <w:tc>
          <w:tcPr>
            <w:tcW w:w="1360" w:type="dxa"/>
            <w:vAlign w:val="bottom"/>
            <w:tcBorders>
              <w:top w:val="single" w:sz="8" w:color="auto"/>
              <w:bottom w:val="single" w:sz="8" w:color="auto"/>
            </w:tcBorders>
          </w:tcPr>
          <w:p>
            <w:pPr>
              <w:jc w:val="right"/>
              <w:ind w:right="294"/>
              <w:spacing w:after="0" w:line="142" w:lineRule="exact"/>
              <w:rPr>
                <w:sz w:val="20"/>
                <w:szCs w:val="20"/>
                <w:color w:val="auto"/>
              </w:rPr>
            </w:pPr>
            <w:r>
              <w:rPr>
                <w:rFonts w:ascii="Arial" w:cs="Arial" w:eastAsia="Arial" w:hAnsi="Arial"/>
                <w:sz w:val="14"/>
                <w:szCs w:val="14"/>
                <w:b w:val="1"/>
                <w:bCs w:val="1"/>
                <w:color w:val="auto"/>
              </w:rPr>
              <w:t>% of 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000" w:type="dxa"/>
            <w:vAlign w:val="bottom"/>
            <w:gridSpan w:val="5"/>
          </w:tcPr>
          <w:p>
            <w:pPr>
              <w:ind w:left="60"/>
              <w:spacing w:after="0" w:line="142" w:lineRule="exact"/>
              <w:rPr>
                <w:sz w:val="20"/>
                <w:szCs w:val="20"/>
                <w:color w:val="auto"/>
              </w:rPr>
            </w:pPr>
            <w:r>
              <w:rPr>
                <w:rFonts w:ascii="Arial" w:cs="Arial" w:eastAsia="Arial" w:hAnsi="Arial"/>
                <w:sz w:val="14"/>
                <w:szCs w:val="14"/>
                <w:b w:val="1"/>
                <w:bCs w:val="1"/>
                <w:color w:val="auto"/>
              </w:rPr>
              <w:t>($ in millions)</w:t>
            </w:r>
          </w:p>
        </w:tc>
        <w:tc>
          <w:tcPr>
            <w:tcW w:w="26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w:t>
            </w: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color w:val="auto"/>
              </w:rPr>
              <w:t>Public</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31,508.9</w:t>
            </w:r>
          </w:p>
        </w:tc>
        <w:tc>
          <w:tcPr>
            <w:tcW w:w="1020" w:type="dxa"/>
            <w:vAlign w:val="bottom"/>
          </w:tcPr>
          <w:p>
            <w:pPr>
              <w:spacing w:after="0"/>
              <w:rPr>
                <w:sz w:val="18"/>
                <w:szCs w:val="18"/>
                <w:color w:val="auto"/>
              </w:rPr>
            </w:pPr>
          </w:p>
        </w:tc>
        <w:tc>
          <w:tcPr>
            <w:tcW w:w="740" w:type="dxa"/>
            <w:vAlign w:val="bottom"/>
            <w:gridSpan w:val="3"/>
          </w:tcPr>
          <w:p>
            <w:pPr>
              <w:jc w:val="right"/>
              <w:spacing w:after="0"/>
              <w:rPr>
                <w:sz w:val="20"/>
                <w:szCs w:val="20"/>
                <w:color w:val="auto"/>
              </w:rPr>
            </w:pPr>
            <w:r>
              <w:rPr>
                <w:rFonts w:ascii="Arial" w:cs="Arial" w:eastAsia="Arial" w:hAnsi="Arial"/>
                <w:sz w:val="18"/>
                <w:szCs w:val="18"/>
                <w:b w:val="1"/>
                <w:bCs w:val="1"/>
                <w:color w:val="auto"/>
              </w:rPr>
              <w:t xml:space="preserve">50% </w:t>
            </w:r>
            <w:r>
              <w:rPr>
                <w:rFonts w:ascii="Arial" w:cs="Arial" w:eastAsia="Arial" w:hAnsi="Arial"/>
                <w:sz w:val="18"/>
                <w:szCs w:val="18"/>
                <w:color w:val="auto"/>
              </w:rPr>
              <w:t>$</w:t>
            </w: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31,618.0</w:t>
            </w:r>
          </w:p>
        </w:tc>
        <w:tc>
          <w:tcPr>
            <w:tcW w:w="1780" w:type="dxa"/>
            <w:vAlign w:val="bottom"/>
            <w:gridSpan w:val="3"/>
          </w:tcPr>
          <w:p>
            <w:pPr>
              <w:jc w:val="right"/>
              <w:ind w:right="2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Private</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15,526.7</w:t>
            </w:r>
          </w:p>
        </w:tc>
        <w:tc>
          <w:tcPr>
            <w:tcW w:w="10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25</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15,410.1</w:t>
            </w:r>
          </w:p>
        </w:tc>
        <w:tc>
          <w:tcPr>
            <w:tcW w:w="1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Arial" w:cs="Arial" w:eastAsia="Arial" w:hAnsi="Arial"/>
                <w:sz w:val="18"/>
                <w:szCs w:val="18"/>
                <w:color w:val="auto"/>
              </w:rPr>
              <w:t>Equity securities</w:t>
            </w:r>
          </w:p>
        </w:tc>
        <w:tc>
          <w:tcPr>
            <w:tcW w:w="12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302.5</w:t>
            </w:r>
          </w:p>
        </w:tc>
        <w:tc>
          <w:tcPr>
            <w:tcW w:w="1020" w:type="dxa"/>
            <w:vAlign w:val="bottom"/>
          </w:tcPr>
          <w:p>
            <w:pPr>
              <w:spacing w:after="0"/>
              <w:rPr>
                <w:sz w:val="18"/>
                <w:szCs w:val="18"/>
                <w:color w:val="auto"/>
              </w:rPr>
            </w:pPr>
          </w:p>
        </w:tc>
        <w:tc>
          <w:tcPr>
            <w:tcW w:w="740" w:type="dxa"/>
            <w:vAlign w:val="bottom"/>
            <w:gridSpan w:val="3"/>
          </w:tcPr>
          <w:p>
            <w:pPr>
              <w:jc w:val="right"/>
              <w:ind w:right="325"/>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300.5</w:t>
            </w:r>
          </w:p>
        </w:tc>
        <w:tc>
          <w:tcPr>
            <w:tcW w:w="26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Mortgage loans:</w:t>
            </w: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color w:val="auto"/>
              </w:rPr>
              <w:t>Commercial</w:t>
            </w:r>
          </w:p>
        </w:tc>
        <w:tc>
          <w:tcPr>
            <w:tcW w:w="12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11,085.7</w:t>
            </w:r>
          </w:p>
        </w:tc>
        <w:tc>
          <w:tcPr>
            <w:tcW w:w="1020" w:type="dxa"/>
            <w:vAlign w:val="bottom"/>
          </w:tcPr>
          <w:p>
            <w:pPr>
              <w:spacing w:after="0"/>
              <w:rPr>
                <w:sz w:val="18"/>
                <w:szCs w:val="18"/>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18</w:t>
            </w:r>
          </w:p>
        </w:tc>
        <w:tc>
          <w:tcPr>
            <w:tcW w:w="12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10,657.2</w:t>
            </w:r>
          </w:p>
        </w:tc>
        <w:tc>
          <w:tcPr>
            <w:tcW w:w="1780" w:type="dxa"/>
            <w:vAlign w:val="bottom"/>
            <w:gridSpan w:val="3"/>
          </w:tcPr>
          <w:p>
            <w:pPr>
              <w:jc w:val="right"/>
              <w:ind w:right="16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Residential</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566.0</w:t>
            </w:r>
          </w:p>
        </w:tc>
        <w:tc>
          <w:tcPr>
            <w:tcW w:w="10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507.2</w:t>
            </w:r>
          </w:p>
        </w:tc>
        <w:tc>
          <w:tcPr>
            <w:tcW w:w="1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Arial" w:cs="Arial" w:eastAsia="Arial" w:hAnsi="Arial"/>
                <w:sz w:val="18"/>
                <w:szCs w:val="18"/>
                <w:color w:val="auto"/>
              </w:rPr>
              <w:t>Real estate held for sale</w:t>
            </w:r>
          </w:p>
        </w:tc>
        <w:tc>
          <w:tcPr>
            <w:tcW w:w="12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155.4</w:t>
            </w:r>
          </w:p>
        </w:tc>
        <w:tc>
          <w:tcPr>
            <w:tcW w:w="1020" w:type="dxa"/>
            <w:vAlign w:val="bottom"/>
          </w:tcPr>
          <w:p>
            <w:pPr>
              <w:spacing w:after="0"/>
              <w:rPr>
                <w:sz w:val="18"/>
                <w:szCs w:val="18"/>
                <w:color w:val="auto"/>
              </w:rPr>
            </w:pPr>
          </w:p>
        </w:tc>
        <w:tc>
          <w:tcPr>
            <w:tcW w:w="740" w:type="dxa"/>
            <w:vAlign w:val="bottom"/>
            <w:gridSpan w:val="3"/>
          </w:tcPr>
          <w:p>
            <w:pPr>
              <w:jc w:val="right"/>
              <w:ind w:right="325"/>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171.8</w:t>
            </w:r>
          </w:p>
        </w:tc>
        <w:tc>
          <w:tcPr>
            <w:tcW w:w="26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Real estate held for investment</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1,254.7</w:t>
            </w:r>
          </w:p>
        </w:tc>
        <w:tc>
          <w:tcPr>
            <w:tcW w:w="10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1,168.6</w:t>
            </w:r>
          </w:p>
        </w:tc>
        <w:tc>
          <w:tcPr>
            <w:tcW w:w="20" w:type="dxa"/>
            <w:vAlign w:val="bottom"/>
            <w:shd w:val="clear" w:color="auto" w:fill="CCEEFF"/>
          </w:tcPr>
          <w:p>
            <w:pPr>
              <w:spacing w:after="0"/>
              <w:rPr>
                <w:sz w:val="18"/>
                <w:szCs w:val="18"/>
                <w:color w:val="auto"/>
              </w:rPr>
            </w:pPr>
          </w:p>
        </w:tc>
        <w:tc>
          <w:tcPr>
            <w:tcW w:w="1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4980" w:type="dxa"/>
            <w:vAlign w:val="bottom"/>
          </w:tcPr>
          <w:p>
            <w:pPr>
              <w:spacing w:after="0"/>
              <w:rPr>
                <w:sz w:val="20"/>
                <w:szCs w:val="20"/>
                <w:color w:val="auto"/>
              </w:rPr>
            </w:pPr>
            <w:r>
              <w:rPr>
                <w:rFonts w:ascii="Arial" w:cs="Arial" w:eastAsia="Arial" w:hAnsi="Arial"/>
                <w:sz w:val="18"/>
                <w:szCs w:val="18"/>
                <w:color w:val="auto"/>
              </w:rPr>
              <w:t>Policy loans</w:t>
            </w:r>
          </w:p>
        </w:tc>
        <w:tc>
          <w:tcPr>
            <w:tcW w:w="12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802.3</w:t>
            </w:r>
          </w:p>
        </w:tc>
        <w:tc>
          <w:tcPr>
            <w:tcW w:w="1020" w:type="dxa"/>
            <w:vAlign w:val="bottom"/>
          </w:tcPr>
          <w:p>
            <w:pPr>
              <w:spacing w:after="0"/>
              <w:rPr>
                <w:sz w:val="18"/>
                <w:szCs w:val="18"/>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w:t>
            </w:r>
          </w:p>
        </w:tc>
        <w:tc>
          <w:tcPr>
            <w:tcW w:w="12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806.5</w:t>
            </w:r>
          </w:p>
        </w:tc>
        <w:tc>
          <w:tcPr>
            <w:tcW w:w="1780" w:type="dxa"/>
            <w:vAlign w:val="bottom"/>
            <w:gridSpan w:val="3"/>
          </w:tcPr>
          <w:p>
            <w:pPr>
              <w:jc w:val="right"/>
              <w:ind w:right="1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1,945.3</w:t>
            </w:r>
          </w:p>
        </w:tc>
        <w:tc>
          <w:tcPr>
            <w:tcW w:w="10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1,688.0</w:t>
            </w:r>
          </w:p>
        </w:tc>
        <w:tc>
          <w:tcPr>
            <w:tcW w:w="20" w:type="dxa"/>
            <w:vAlign w:val="bottom"/>
            <w:shd w:val="clear" w:color="auto" w:fill="CCEEFF"/>
          </w:tcPr>
          <w:p>
            <w:pPr>
              <w:spacing w:after="0"/>
              <w:rPr>
                <w:sz w:val="18"/>
                <w:szCs w:val="18"/>
                <w:color w:val="auto"/>
              </w:rPr>
            </w:pPr>
          </w:p>
        </w:tc>
        <w:tc>
          <w:tcPr>
            <w:tcW w:w="1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4980" w:type="dxa"/>
            <w:vAlign w:val="bottom"/>
            <w:vMerge w:val="restart"/>
          </w:tcPr>
          <w:p>
            <w:pPr>
              <w:ind w:left="180"/>
              <w:spacing w:after="0"/>
              <w:rPr>
                <w:sz w:val="20"/>
                <w:szCs w:val="20"/>
                <w:color w:val="auto"/>
              </w:rPr>
            </w:pPr>
            <w:r>
              <w:rPr>
                <w:rFonts w:ascii="Arial" w:cs="Arial" w:eastAsia="Arial" w:hAnsi="Arial"/>
                <w:sz w:val="18"/>
                <w:szCs w:val="18"/>
                <w:color w:val="auto"/>
              </w:rPr>
              <w:t>Total invested assets</w:t>
            </w:r>
          </w:p>
        </w:tc>
        <w:tc>
          <w:tcPr>
            <w:tcW w:w="12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60" w:type="dxa"/>
            <w:vAlign w:val="bottom"/>
            <w:vMerge w:val="restart"/>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980" w:type="dxa"/>
            <w:vAlign w:val="bottom"/>
            <w:vMerge w:val="continue"/>
          </w:tcPr>
          <w:p>
            <w:pPr>
              <w:spacing w:after="0"/>
              <w:rPr>
                <w:sz w:val="21"/>
                <w:szCs w:val="21"/>
                <w:color w:val="auto"/>
              </w:rPr>
            </w:pP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63,147.5</w:t>
            </w:r>
          </w:p>
        </w:tc>
        <w:tc>
          <w:tcPr>
            <w:tcW w:w="300" w:type="dxa"/>
            <w:vAlign w:val="bottom"/>
            <w:vMerge w:val="continue"/>
          </w:tcPr>
          <w:p>
            <w:pPr>
              <w:spacing w:after="0"/>
              <w:rPr>
                <w:sz w:val="21"/>
                <w:szCs w:val="21"/>
                <w:color w:val="auto"/>
              </w:rPr>
            </w:pPr>
          </w:p>
        </w:tc>
        <w:tc>
          <w:tcPr>
            <w:tcW w:w="1020" w:type="dxa"/>
            <w:vAlign w:val="bottom"/>
          </w:tcPr>
          <w:p>
            <w:pPr>
              <w:spacing w:after="0"/>
              <w:rPr>
                <w:sz w:val="21"/>
                <w:szCs w:val="21"/>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100%</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62,327.9</w:t>
            </w:r>
          </w:p>
        </w:tc>
        <w:tc>
          <w:tcPr>
            <w:tcW w:w="20" w:type="dxa"/>
            <w:vAlign w:val="bottom"/>
            <w:vMerge w:val="continue"/>
          </w:tcPr>
          <w:p>
            <w:pPr>
              <w:spacing w:after="0"/>
              <w:rPr>
                <w:sz w:val="21"/>
                <w:szCs w:val="21"/>
                <w:color w:val="auto"/>
              </w:rPr>
            </w:pPr>
          </w:p>
        </w:tc>
        <w:tc>
          <w:tcPr>
            <w:tcW w:w="260" w:type="dxa"/>
            <w:vAlign w:val="bottom"/>
            <w:vMerge w:val="continue"/>
          </w:tcPr>
          <w:p>
            <w:pPr>
              <w:spacing w:after="0"/>
              <w:rPr>
                <w:sz w:val="21"/>
                <w:szCs w:val="21"/>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70"/>
        </w:trPr>
        <w:tc>
          <w:tcPr>
            <w:tcW w:w="4980" w:type="dxa"/>
            <w:vAlign w:val="bottom"/>
            <w:tcBorders>
              <w:top w:val="single" w:sz="8" w:color="CCEEFF"/>
            </w:tcBorders>
            <w:shd w:val="clear" w:color="auto" w:fill="CCEEFF"/>
          </w:tcPr>
          <w:p>
            <w:pPr>
              <w:spacing w:after="0" w:line="170" w:lineRule="exact"/>
              <w:rPr>
                <w:sz w:val="20"/>
                <w:szCs w:val="20"/>
                <w:color w:val="auto"/>
              </w:rPr>
            </w:pPr>
            <w:r>
              <w:rPr>
                <w:rFonts w:ascii="Arial" w:cs="Arial" w:eastAsia="Arial" w:hAnsi="Arial"/>
                <w:sz w:val="18"/>
                <w:szCs w:val="18"/>
                <w:color w:val="auto"/>
              </w:rPr>
              <w:t>Cash and cash equivalents</w:t>
            </w:r>
          </w:p>
        </w:tc>
        <w:tc>
          <w:tcPr>
            <w:tcW w:w="120" w:type="dxa"/>
            <w:vAlign w:val="bottom"/>
            <w:tcBorders>
              <w:top w:val="single" w:sz="8" w:color="CCEEFF"/>
            </w:tcBorders>
            <w:shd w:val="clear" w:color="auto" w:fill="CCEEFF"/>
          </w:tcPr>
          <w:p>
            <w:pPr>
              <w:spacing w:after="0"/>
              <w:rPr>
                <w:sz w:val="14"/>
                <w:szCs w:val="14"/>
                <w:color w:val="auto"/>
              </w:rPr>
            </w:pPr>
          </w:p>
        </w:tc>
        <w:tc>
          <w:tcPr>
            <w:tcW w:w="1520" w:type="dxa"/>
            <w:vAlign w:val="bottom"/>
            <w:tcBorders>
              <w:top w:val="single" w:sz="8" w:color="CCEEFF"/>
            </w:tcBorders>
            <w:gridSpan w:val="2"/>
            <w:shd w:val="clear" w:color="auto" w:fill="CCEEFF"/>
          </w:tcPr>
          <w:p>
            <w:pPr>
              <w:jc w:val="right"/>
              <w:ind w:right="300"/>
              <w:spacing w:after="0" w:line="170" w:lineRule="exact"/>
              <w:rPr>
                <w:sz w:val="20"/>
                <w:szCs w:val="20"/>
                <w:color w:val="auto"/>
              </w:rPr>
            </w:pPr>
            <w:r>
              <w:rPr>
                <w:rFonts w:ascii="Arial" w:cs="Arial" w:eastAsia="Arial" w:hAnsi="Arial"/>
                <w:sz w:val="18"/>
                <w:szCs w:val="18"/>
                <w:b w:val="1"/>
                <w:bCs w:val="1"/>
                <w:color w:val="auto"/>
              </w:rPr>
              <w:t>2,090.2</w:t>
            </w:r>
          </w:p>
        </w:tc>
        <w:tc>
          <w:tcPr>
            <w:tcW w:w="1020" w:type="dxa"/>
            <w:vAlign w:val="bottom"/>
            <w:tcBorders>
              <w:top w:val="single" w:sz="8" w:color="auto"/>
            </w:tcBorders>
            <w:shd w:val="clear" w:color="auto" w:fill="CCEEFF"/>
          </w:tcPr>
          <w:p>
            <w:pPr>
              <w:spacing w:after="0"/>
              <w:rPr>
                <w:sz w:val="14"/>
                <w:szCs w:val="14"/>
                <w:color w:val="auto"/>
              </w:rPr>
            </w:pPr>
          </w:p>
        </w:tc>
        <w:tc>
          <w:tcPr>
            <w:tcW w:w="340" w:type="dxa"/>
            <w:vAlign w:val="bottom"/>
            <w:tcBorders>
              <w:top w:val="single" w:sz="8" w:color="auto"/>
            </w:tcBorders>
            <w:shd w:val="clear" w:color="auto" w:fill="CCEEFF"/>
          </w:tcPr>
          <w:p>
            <w:pPr>
              <w:spacing w:after="0"/>
              <w:rPr>
                <w:sz w:val="14"/>
                <w:szCs w:val="14"/>
                <w:color w:val="auto"/>
              </w:rPr>
            </w:pPr>
          </w:p>
        </w:tc>
        <w:tc>
          <w:tcPr>
            <w:tcW w:w="2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1240" w:type="dxa"/>
            <w:vAlign w:val="bottom"/>
            <w:tcBorders>
              <w:top w:val="single" w:sz="8" w:color="CCEEFF"/>
            </w:tcBorders>
            <w:shd w:val="clear" w:color="auto" w:fill="CCEEFF"/>
          </w:tcPr>
          <w:p>
            <w:pPr>
              <w:jc w:val="right"/>
              <w:spacing w:after="0" w:line="170" w:lineRule="exact"/>
              <w:rPr>
                <w:sz w:val="20"/>
                <w:szCs w:val="20"/>
                <w:color w:val="auto"/>
              </w:rPr>
            </w:pPr>
            <w:r>
              <w:rPr>
                <w:rFonts w:ascii="Arial" w:cs="Arial" w:eastAsia="Arial" w:hAnsi="Arial"/>
                <w:sz w:val="18"/>
                <w:szCs w:val="18"/>
                <w:color w:val="auto"/>
              </w:rPr>
              <w:t>1,762.5</w:t>
            </w:r>
          </w:p>
        </w:tc>
        <w:tc>
          <w:tcPr>
            <w:tcW w:w="20" w:type="dxa"/>
            <w:vAlign w:val="bottom"/>
            <w:tcBorders>
              <w:top w:val="single" w:sz="8" w:color="CCEEFF"/>
            </w:tcBorders>
            <w:shd w:val="clear" w:color="auto" w:fill="CCEEFF"/>
          </w:tcPr>
          <w:p>
            <w:pPr>
              <w:spacing w:after="0"/>
              <w:rPr>
                <w:sz w:val="14"/>
                <w:szCs w:val="14"/>
                <w:color w:val="auto"/>
              </w:rPr>
            </w:pPr>
          </w:p>
        </w:tc>
        <w:tc>
          <w:tcPr>
            <w:tcW w:w="260" w:type="dxa"/>
            <w:vAlign w:val="bottom"/>
            <w:tcBorders>
              <w:top w:val="single" w:sz="8" w:color="CCEEFF"/>
            </w:tcBorders>
            <w:shd w:val="clear" w:color="auto" w:fill="CCEEFF"/>
          </w:tcPr>
          <w:p>
            <w:pPr>
              <w:spacing w:after="0"/>
              <w:rPr>
                <w:sz w:val="14"/>
                <w:szCs w:val="14"/>
                <w:color w:val="auto"/>
              </w:rPr>
            </w:pPr>
          </w:p>
        </w:tc>
        <w:tc>
          <w:tcPr>
            <w:tcW w:w="13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980" w:type="dxa"/>
            <w:vAlign w:val="bottom"/>
          </w:tcPr>
          <w:p>
            <w:pPr>
              <w:ind w:left="180"/>
              <w:spacing w:after="0"/>
              <w:rPr>
                <w:sz w:val="20"/>
                <w:szCs w:val="20"/>
                <w:color w:val="auto"/>
              </w:rPr>
            </w:pPr>
            <w:r>
              <w:rPr>
                <w:rFonts w:ascii="Arial" w:cs="Arial" w:eastAsia="Arial" w:hAnsi="Arial"/>
                <w:sz w:val="18"/>
                <w:szCs w:val="18"/>
                <w:color w:val="auto"/>
              </w:rPr>
              <w:t>Total invested assets and cash</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65,237.7</w:t>
            </w:r>
          </w:p>
        </w:tc>
        <w:tc>
          <w:tcPr>
            <w:tcW w:w="3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64,090.4</w:t>
            </w:r>
          </w:p>
        </w:tc>
        <w:tc>
          <w:tcPr>
            <w:tcW w:w="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w:t>
      </w:r>
    </w:p>
    <w:p>
      <w:pPr>
        <w:spacing w:after="0" w:line="225" w:lineRule="exact"/>
        <w:rPr>
          <w:sz w:val="20"/>
          <w:szCs w:val="20"/>
          <w:color w:val="auto"/>
        </w:rPr>
      </w:pPr>
    </w:p>
    <w:p>
      <w:pPr>
        <w:ind w:right="120" w:firstLine="648"/>
        <w:spacing w:after="0" w:line="264" w:lineRule="auto"/>
        <w:rPr>
          <w:sz w:val="20"/>
          <w:szCs w:val="20"/>
          <w:color w:val="auto"/>
        </w:rPr>
      </w:pPr>
      <w:r>
        <w:rPr>
          <w:rFonts w:ascii="Arial" w:cs="Arial" w:eastAsia="Arial" w:hAnsi="Arial"/>
          <w:sz w:val="18"/>
          <w:szCs w:val="18"/>
          <w:color w:val="auto"/>
        </w:rPr>
        <w:t>Fixed maturities include bonds, ABS, redeemable preferred stock and certain nonredeemable preferred securities. Included in the privately placed category as of September 30, 2015 and December 31, 2014, were $10.5 billion and $10.3 billion, respectively, of securities subject to certain holding periods and resale restrictions pursuant to Rule 144A of the Securities Act of 1933.</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Fixed maturities were diversified by category of issuer, as shown in the following table for the periods indicated.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96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400" w:type="dxa"/>
            <w:vAlign w:val="bottom"/>
            <w:tcBorders>
              <w:bottom w:val="single" w:sz="8" w:color="auto"/>
            </w:tcBorders>
            <w:gridSpan w:val="3"/>
          </w:tcPr>
          <w:p>
            <w:pPr>
              <w:ind w:left="660"/>
              <w:spacing w:after="0"/>
              <w:rPr>
                <w:sz w:val="20"/>
                <w:szCs w:val="20"/>
                <w:color w:val="auto"/>
              </w:rPr>
            </w:pPr>
            <w:r>
              <w:rPr>
                <w:rFonts w:ascii="Arial" w:cs="Arial" w:eastAsia="Arial" w:hAnsi="Arial"/>
                <w:sz w:val="14"/>
                <w:szCs w:val="14"/>
                <w:b w:val="1"/>
                <w:bCs w:val="1"/>
                <w:color w:val="auto"/>
              </w:rPr>
              <w:t>September 30, 2015</w:t>
            </w:r>
          </w:p>
        </w:tc>
        <w:tc>
          <w:tcPr>
            <w:tcW w:w="36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3"/>
          </w:tcPr>
          <w:p>
            <w:pPr>
              <w:ind w:left="580"/>
              <w:spacing w:after="0"/>
              <w:rPr>
                <w:sz w:val="20"/>
                <w:szCs w:val="20"/>
                <w:color w:val="auto"/>
              </w:rPr>
            </w:pPr>
            <w:r>
              <w:rPr>
                <w:rFonts w:ascii="Arial" w:cs="Arial" w:eastAsia="Arial" w:hAnsi="Arial"/>
                <w:sz w:val="14"/>
                <w:szCs w:val="14"/>
                <w:b w:val="1"/>
                <w:bCs w:val="1"/>
                <w:color w:val="auto"/>
                <w:w w:val="90"/>
              </w:rPr>
              <w:t>December 31, 2014</w:t>
            </w:r>
          </w:p>
        </w:tc>
        <w:tc>
          <w:tcPr>
            <w:tcW w:w="9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9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400" w:type="dxa"/>
            <w:vAlign w:val="bottom"/>
            <w:gridSpan w:val="2"/>
          </w:tcPr>
          <w:p>
            <w:pPr>
              <w:jc w:val="right"/>
              <w:ind w:right="680"/>
              <w:spacing w:after="0" w:line="119" w:lineRule="exact"/>
              <w:rPr>
                <w:sz w:val="20"/>
                <w:szCs w:val="20"/>
                <w:color w:val="auto"/>
              </w:rPr>
            </w:pPr>
            <w:r>
              <w:rPr>
                <w:rFonts w:ascii="Arial" w:cs="Arial" w:eastAsia="Arial" w:hAnsi="Arial"/>
                <w:sz w:val="13"/>
                <w:szCs w:val="13"/>
                <w:b w:val="1"/>
                <w:bCs w:val="1"/>
                <w:color w:val="auto"/>
              </w:rPr>
              <w:t>Carrying</w:t>
            </w:r>
          </w:p>
        </w:tc>
        <w:tc>
          <w:tcPr>
            <w:tcW w:w="1000" w:type="dxa"/>
            <w:vAlign w:val="bottom"/>
          </w:tcPr>
          <w:p>
            <w:pPr>
              <w:ind w:left="440"/>
              <w:spacing w:after="0" w:line="119" w:lineRule="exact"/>
              <w:rPr>
                <w:sz w:val="20"/>
                <w:szCs w:val="20"/>
                <w:color w:val="auto"/>
              </w:rPr>
            </w:pPr>
            <w:r>
              <w:rPr>
                <w:rFonts w:ascii="Arial" w:cs="Arial" w:eastAsia="Arial" w:hAnsi="Arial"/>
                <w:sz w:val="13"/>
                <w:szCs w:val="13"/>
                <w:b w:val="1"/>
                <w:bCs w:val="1"/>
                <w:color w:val="auto"/>
              </w:rPr>
              <w:t>Percent</w:t>
            </w:r>
          </w:p>
        </w:tc>
        <w:tc>
          <w:tcPr>
            <w:tcW w:w="3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740" w:type="dxa"/>
            <w:vAlign w:val="bottom"/>
            <w:gridSpan w:val="3"/>
          </w:tcPr>
          <w:p>
            <w:pPr>
              <w:jc w:val="center"/>
              <w:ind w:right="1060"/>
              <w:spacing w:after="0" w:line="119" w:lineRule="exact"/>
              <w:rPr>
                <w:sz w:val="20"/>
                <w:szCs w:val="20"/>
                <w:color w:val="auto"/>
              </w:rPr>
            </w:pPr>
            <w:r>
              <w:rPr>
                <w:rFonts w:ascii="Arial" w:cs="Arial" w:eastAsia="Arial" w:hAnsi="Arial"/>
                <w:sz w:val="13"/>
                <w:szCs w:val="13"/>
                <w:b w:val="1"/>
                <w:bCs w:val="1"/>
                <w:color w:val="auto"/>
              </w:rPr>
              <w:t>Carrying</w:t>
            </w:r>
          </w:p>
        </w:tc>
        <w:tc>
          <w:tcPr>
            <w:tcW w:w="920" w:type="dxa"/>
            <w:vAlign w:val="bottom"/>
          </w:tcPr>
          <w:p>
            <w:pPr>
              <w:jc w:val="right"/>
              <w:ind w:right="353"/>
              <w:spacing w:after="0" w:line="119" w:lineRule="exact"/>
              <w:rPr>
                <w:sz w:val="20"/>
                <w:szCs w:val="20"/>
                <w:color w:val="auto"/>
              </w:rPr>
            </w:pPr>
            <w:r>
              <w:rPr>
                <w:rFonts w:ascii="Arial" w:cs="Arial" w:eastAsia="Arial" w:hAnsi="Arial"/>
                <w:sz w:val="13"/>
                <w:szCs w:val="13"/>
                <w:b w:val="1"/>
                <w:bCs w:val="1"/>
                <w:color w:val="auto"/>
                <w:w w:val="96"/>
              </w:rPr>
              <w:t>Percent</w:t>
            </w:r>
          </w:p>
        </w:tc>
        <w:tc>
          <w:tcPr>
            <w:tcW w:w="16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9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0" w:type="dxa"/>
            <w:vAlign w:val="bottom"/>
            <w:gridSpan w:val="2"/>
          </w:tcPr>
          <w:p>
            <w:pPr>
              <w:jc w:val="right"/>
              <w:ind w:right="740"/>
              <w:spacing w:after="0"/>
              <w:rPr>
                <w:sz w:val="20"/>
                <w:szCs w:val="20"/>
                <w:color w:val="auto"/>
              </w:rPr>
            </w:pPr>
            <w:r>
              <w:rPr>
                <w:rFonts w:ascii="Arial" w:cs="Arial" w:eastAsia="Arial" w:hAnsi="Arial"/>
                <w:sz w:val="14"/>
                <w:szCs w:val="14"/>
                <w:b w:val="1"/>
                <w:bCs w:val="1"/>
                <w:color w:val="auto"/>
              </w:rPr>
              <w:t>amount</w:t>
            </w:r>
          </w:p>
        </w:tc>
        <w:tc>
          <w:tcPr>
            <w:tcW w:w="1000" w:type="dxa"/>
            <w:vAlign w:val="bottom"/>
          </w:tcPr>
          <w:p>
            <w:pPr>
              <w:ind w:left="460"/>
              <w:spacing w:after="0"/>
              <w:rPr>
                <w:sz w:val="20"/>
                <w:szCs w:val="20"/>
                <w:color w:val="auto"/>
              </w:rPr>
            </w:pPr>
            <w:r>
              <w:rPr>
                <w:rFonts w:ascii="Arial" w:cs="Arial" w:eastAsia="Arial" w:hAnsi="Arial"/>
                <w:sz w:val="14"/>
                <w:szCs w:val="14"/>
                <w:b w:val="1"/>
                <w:bCs w:val="1"/>
                <w:color w:val="auto"/>
              </w:rPr>
              <w:t>of total</w:t>
            </w: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740" w:type="dxa"/>
            <w:vAlign w:val="bottom"/>
            <w:gridSpan w:val="3"/>
          </w:tcPr>
          <w:p>
            <w:pPr>
              <w:jc w:val="center"/>
              <w:ind w:right="1060"/>
              <w:spacing w:after="0"/>
              <w:rPr>
                <w:sz w:val="20"/>
                <w:szCs w:val="20"/>
                <w:color w:val="auto"/>
              </w:rPr>
            </w:pPr>
            <w:r>
              <w:rPr>
                <w:rFonts w:ascii="Arial" w:cs="Arial" w:eastAsia="Arial" w:hAnsi="Arial"/>
                <w:sz w:val="14"/>
                <w:szCs w:val="14"/>
                <w:b w:val="1"/>
                <w:bCs w:val="1"/>
                <w:color w:val="auto"/>
                <w:w w:val="94"/>
              </w:rPr>
              <w:t>amount</w:t>
            </w:r>
          </w:p>
        </w:tc>
        <w:tc>
          <w:tcPr>
            <w:tcW w:w="1080" w:type="dxa"/>
            <w:vAlign w:val="bottom"/>
            <w:gridSpan w:val="3"/>
          </w:tcPr>
          <w:p>
            <w:pPr>
              <w:jc w:val="right"/>
              <w:ind w:right="620"/>
              <w:spacing w:after="0"/>
              <w:rPr>
                <w:sz w:val="20"/>
                <w:szCs w:val="20"/>
                <w:color w:val="auto"/>
              </w:rPr>
            </w:pPr>
            <w:r>
              <w:rPr>
                <w:rFonts w:ascii="Arial" w:cs="Arial" w:eastAsia="Arial" w:hAnsi="Arial"/>
                <w:sz w:val="14"/>
                <w:szCs w:val="14"/>
                <w:b w:val="1"/>
                <w:bCs w:val="1"/>
                <w:color w:val="auto"/>
                <w:w w:val="94"/>
              </w:rPr>
              <w:t>of total</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4960" w:type="dxa"/>
            <w:vAlign w:val="bottom"/>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110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9"/>
              </w:rPr>
              <w:t>($ in millions)</w:t>
            </w:r>
          </w:p>
        </w:tc>
        <w:tc>
          <w:tcPr>
            <w:tcW w:w="102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440" w:type="dxa"/>
            <w:vAlign w:val="bottom"/>
            <w:tcBorders>
              <w:top w:val="single" w:sz="8" w:color="auto"/>
            </w:tcBorders>
          </w:tcPr>
          <w:p>
            <w:pPr>
              <w:spacing w:after="0"/>
              <w:rPr>
                <w:sz w:val="15"/>
                <w:szCs w:val="15"/>
                <w:color w:val="auto"/>
              </w:rPr>
            </w:pPr>
          </w:p>
        </w:tc>
        <w:tc>
          <w:tcPr>
            <w:tcW w:w="92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49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U.S. government and agencies</w:t>
            </w: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14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1,492.4</w:t>
            </w:r>
          </w:p>
        </w:tc>
        <w:tc>
          <w:tcPr>
            <w:tcW w:w="10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1,121.8</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States and political subdivisions</w:t>
            </w:r>
          </w:p>
        </w:tc>
        <w:tc>
          <w:tcPr>
            <w:tcW w:w="240" w:type="dxa"/>
            <w:vAlign w:val="bottom"/>
          </w:tcPr>
          <w:p>
            <w:pPr>
              <w:spacing w:after="0"/>
              <w:rPr>
                <w:sz w:val="18"/>
                <w:szCs w:val="18"/>
                <w:color w:val="auto"/>
              </w:rPr>
            </w:pPr>
          </w:p>
        </w:tc>
        <w:tc>
          <w:tcPr>
            <w:tcW w:w="14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4,553.5</w:t>
            </w:r>
          </w:p>
        </w:tc>
        <w:tc>
          <w:tcPr>
            <w:tcW w:w="1000" w:type="dxa"/>
            <w:vAlign w:val="bottom"/>
          </w:tcPr>
          <w:p>
            <w:pPr>
              <w:spacing w:after="0"/>
              <w:rPr>
                <w:sz w:val="18"/>
                <w:szCs w:val="18"/>
                <w:color w:val="auto"/>
              </w:rPr>
            </w:pPr>
          </w:p>
        </w:tc>
        <w:tc>
          <w:tcPr>
            <w:tcW w:w="64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10</w:t>
            </w:r>
          </w:p>
        </w:tc>
        <w:tc>
          <w:tcPr>
            <w:tcW w:w="3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4,329.4</w:t>
            </w: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9</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Non-U.S. governments</w:t>
            </w:r>
          </w:p>
        </w:tc>
        <w:tc>
          <w:tcPr>
            <w:tcW w:w="2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398.0</w:t>
            </w:r>
          </w:p>
        </w:tc>
        <w:tc>
          <w:tcPr>
            <w:tcW w:w="10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446.6</w:t>
            </w:r>
          </w:p>
        </w:tc>
        <w:tc>
          <w:tcPr>
            <w:tcW w:w="4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Corporate - public</w:t>
            </w:r>
          </w:p>
        </w:tc>
        <w:tc>
          <w:tcPr>
            <w:tcW w:w="240" w:type="dxa"/>
            <w:vAlign w:val="bottom"/>
          </w:tcPr>
          <w:p>
            <w:pPr>
              <w:spacing w:after="0"/>
              <w:rPr>
                <w:sz w:val="18"/>
                <w:szCs w:val="18"/>
                <w:color w:val="auto"/>
              </w:rPr>
            </w:pPr>
          </w:p>
        </w:tc>
        <w:tc>
          <w:tcPr>
            <w:tcW w:w="14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16,537.5</w:t>
            </w:r>
          </w:p>
        </w:tc>
        <w:tc>
          <w:tcPr>
            <w:tcW w:w="1000" w:type="dxa"/>
            <w:vAlign w:val="bottom"/>
          </w:tcPr>
          <w:p>
            <w:pPr>
              <w:spacing w:after="0"/>
              <w:rPr>
                <w:sz w:val="18"/>
                <w:szCs w:val="18"/>
                <w:color w:val="auto"/>
              </w:rPr>
            </w:pPr>
          </w:p>
        </w:tc>
        <w:tc>
          <w:tcPr>
            <w:tcW w:w="64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35</w:t>
            </w:r>
          </w:p>
        </w:tc>
        <w:tc>
          <w:tcPr>
            <w:tcW w:w="340" w:type="dxa"/>
            <w:vAlign w:val="bottom"/>
          </w:tcPr>
          <w:p>
            <w:pPr>
              <w:spacing w:after="0"/>
              <w:rPr>
                <w:sz w:val="18"/>
                <w:szCs w:val="18"/>
                <w:color w:val="auto"/>
              </w:rPr>
            </w:pP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16,834.6</w:t>
            </w:r>
          </w:p>
        </w:tc>
        <w:tc>
          <w:tcPr>
            <w:tcW w:w="4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37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Corporate - private</w:t>
            </w:r>
          </w:p>
        </w:tc>
        <w:tc>
          <w:tcPr>
            <w:tcW w:w="2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12,215.1</w:t>
            </w:r>
          </w:p>
        </w:tc>
        <w:tc>
          <w:tcPr>
            <w:tcW w:w="10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26</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12,262.9</w:t>
            </w:r>
          </w:p>
        </w:tc>
        <w:tc>
          <w:tcPr>
            <w:tcW w:w="4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Residential mortgage-backed pass-through securities</w:t>
            </w:r>
          </w:p>
        </w:tc>
        <w:tc>
          <w:tcPr>
            <w:tcW w:w="240" w:type="dxa"/>
            <w:vAlign w:val="bottom"/>
          </w:tcPr>
          <w:p>
            <w:pPr>
              <w:spacing w:after="0"/>
              <w:rPr>
                <w:sz w:val="18"/>
                <w:szCs w:val="18"/>
                <w:color w:val="auto"/>
              </w:rPr>
            </w:pPr>
          </w:p>
        </w:tc>
        <w:tc>
          <w:tcPr>
            <w:tcW w:w="14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2,694.1</w:t>
            </w:r>
          </w:p>
        </w:tc>
        <w:tc>
          <w:tcPr>
            <w:tcW w:w="1000" w:type="dxa"/>
            <w:vAlign w:val="bottom"/>
          </w:tcPr>
          <w:p>
            <w:pPr>
              <w:spacing w:after="0"/>
              <w:rPr>
                <w:sz w:val="18"/>
                <w:szCs w:val="18"/>
                <w:color w:val="auto"/>
              </w:rPr>
            </w:pPr>
          </w:p>
        </w:tc>
        <w:tc>
          <w:tcPr>
            <w:tcW w:w="64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6</w:t>
            </w:r>
          </w:p>
        </w:tc>
        <w:tc>
          <w:tcPr>
            <w:tcW w:w="3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2,839.6</w:t>
            </w: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mortgage-backed securities</w:t>
            </w:r>
          </w:p>
        </w:tc>
        <w:tc>
          <w:tcPr>
            <w:tcW w:w="2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3,870.8</w:t>
            </w:r>
          </w:p>
        </w:tc>
        <w:tc>
          <w:tcPr>
            <w:tcW w:w="10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8</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3,977.0</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Residential collateralized mortgage obligations</w:t>
            </w:r>
          </w:p>
        </w:tc>
        <w:tc>
          <w:tcPr>
            <w:tcW w:w="240" w:type="dxa"/>
            <w:vAlign w:val="bottom"/>
          </w:tcPr>
          <w:p>
            <w:pPr>
              <w:spacing w:after="0"/>
              <w:rPr>
                <w:sz w:val="18"/>
                <w:szCs w:val="18"/>
                <w:color w:val="auto"/>
              </w:rPr>
            </w:pPr>
          </w:p>
        </w:tc>
        <w:tc>
          <w:tcPr>
            <w:tcW w:w="14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1,471.6</w:t>
            </w:r>
          </w:p>
        </w:tc>
        <w:tc>
          <w:tcPr>
            <w:tcW w:w="1000" w:type="dxa"/>
            <w:vAlign w:val="bottom"/>
          </w:tcPr>
          <w:p>
            <w:pPr>
              <w:spacing w:after="0"/>
              <w:rPr>
                <w:sz w:val="18"/>
                <w:szCs w:val="18"/>
                <w:color w:val="auto"/>
              </w:rPr>
            </w:pPr>
          </w:p>
        </w:tc>
        <w:tc>
          <w:tcPr>
            <w:tcW w:w="64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3</w:t>
            </w:r>
          </w:p>
        </w:tc>
        <w:tc>
          <w:tcPr>
            <w:tcW w:w="3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1,306.2</w:t>
            </w:r>
          </w:p>
        </w:tc>
        <w:tc>
          <w:tcPr>
            <w:tcW w:w="2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Asset-backed securities</w:t>
            </w:r>
          </w:p>
        </w:tc>
        <w:tc>
          <w:tcPr>
            <w:tcW w:w="2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3,802.6</w:t>
            </w:r>
          </w:p>
        </w:tc>
        <w:tc>
          <w:tcPr>
            <w:tcW w:w="10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8</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3,910.0</w:t>
            </w: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960" w:type="dxa"/>
            <w:vAlign w:val="bottom"/>
          </w:tcPr>
          <w:p>
            <w:pPr>
              <w:ind w:left="160"/>
              <w:spacing w:after="0"/>
              <w:rPr>
                <w:sz w:val="20"/>
                <w:szCs w:val="20"/>
                <w:color w:val="auto"/>
              </w:rPr>
            </w:pPr>
            <w:r>
              <w:rPr>
                <w:rFonts w:ascii="Arial" w:cs="Arial" w:eastAsia="Arial" w:hAnsi="Arial"/>
                <w:sz w:val="18"/>
                <w:szCs w:val="18"/>
                <w:color w:val="auto"/>
              </w:rPr>
              <w:t>Total fixed maturities</w:t>
            </w:r>
          </w:p>
        </w:tc>
        <w:tc>
          <w:tcPr>
            <w:tcW w:w="240" w:type="dxa"/>
            <w:vAlign w:val="bottom"/>
            <w:tcBorders>
              <w:top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47,035.6</w:t>
            </w:r>
          </w:p>
        </w:tc>
        <w:tc>
          <w:tcPr>
            <w:tcW w:w="300" w:type="dxa"/>
            <w:vAlign w:val="bottom"/>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100</w:t>
            </w:r>
          </w:p>
        </w:tc>
        <w:tc>
          <w:tcPr>
            <w:tcW w:w="280" w:type="dxa"/>
            <w:vAlign w:val="bottom"/>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340" w:type="dxa"/>
            <w:vAlign w:val="bottom"/>
            <w:tcBorders>
              <w:top w:val="single" w:sz="8" w:color="auto"/>
            </w:tcBorders>
          </w:tcPr>
          <w:p>
            <w:pPr>
              <w:jc w:val="right"/>
              <w:ind w:right="18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47,028.1</w:t>
            </w:r>
          </w:p>
        </w:tc>
        <w:tc>
          <w:tcPr>
            <w:tcW w:w="280" w:type="dxa"/>
            <w:vAlign w:val="bottom"/>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60" w:type="dxa"/>
            <w:vAlign w:val="bottom"/>
            <w:gridSpan w:val="2"/>
          </w:tcPr>
          <w:p>
            <w:pPr>
              <w:jc w:val="right"/>
              <w:ind w:right="20"/>
              <w:spacing w:after="0"/>
              <w:rPr>
                <w:sz w:val="20"/>
                <w:szCs w:val="20"/>
                <w:color w:val="auto"/>
              </w:rPr>
            </w:pPr>
            <w:r>
              <w:rPr>
                <w:rFonts w:ascii="Arial" w:cs="Arial" w:eastAsia="Arial" w:hAnsi="Arial"/>
                <w:sz w:val="18"/>
                <w:szCs w:val="18"/>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We believe it is desirable to hold residential mortgage-backed pass-through securities due to their credit quality and liquidity as well as portfolio diversification characteristics. Our portfolio is comprised of Government National Mortgage Association, Federal National Mortgage Association and Federal Home Loan Mortgage Corporation pass-through securities. In addition, our residential collateralized mortgage obligation portfolio offers structural features that allow cash flows to be matched to our liabilities.</w:t>
      </w:r>
    </w:p>
    <w:p>
      <w:pPr>
        <w:spacing w:after="0" w:line="187" w:lineRule="exact"/>
        <w:rPr>
          <w:sz w:val="20"/>
          <w:szCs w:val="20"/>
          <w:color w:val="auto"/>
        </w:rPr>
      </w:pPr>
    </w:p>
    <w:p>
      <w:pPr>
        <w:ind w:right="40" w:firstLine="648"/>
        <w:spacing w:after="0" w:line="253" w:lineRule="auto"/>
        <w:rPr>
          <w:sz w:val="20"/>
          <w:szCs w:val="20"/>
          <w:color w:val="auto"/>
        </w:rPr>
      </w:pPr>
      <w:r>
        <w:rPr>
          <w:rFonts w:ascii="Arial" w:cs="Arial" w:eastAsia="Arial" w:hAnsi="Arial"/>
          <w:sz w:val="18"/>
          <w:szCs w:val="18"/>
          <w:color w:val="auto"/>
        </w:rPr>
        <w:t>CMBS provide varying levels of credit protection, diversification and reduced event risk depending on the securities owned and composition of the loan pool. CMBS are predominantly comprised of large pool securitizations that are diverse by property type, borrower and geographic dispersion. The risks to any CMBS deal are determined by the credit quality of the underlying loans and how those loans perform over time. Another key risk is the vintage of the underlying loans and the state of the markets during a particular vintage. In the CMBS market, there is a material difference in the outlook for the performance of loans originated in 2004 and earlier relative to loans originated in 2005 through 2008. For loans originated prior to 2005, underwriting assumptions were more conservative regarding required debt service coverage and loan-to-value ratios. For the 2005 through 2008 vintages, real estate values peaked and the underwriting expectations were that values would continue to increase, which makes those loan values more sensitive to market declines. The 2009 through 2015 vintages represent a return to debt service coverage ratios and loan-to-value ratios that more closely resemble loans originated prior to 2005.</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0" w:gutter="0" w:footer="0" w:header="0"/>
        </w:sectPr>
      </w:pPr>
    </w:p>
    <w:p>
      <w:pPr>
        <w:spacing w:after="0" w:line="200" w:lineRule="exact"/>
        <w:rPr>
          <w:sz w:val="20"/>
          <w:szCs w:val="20"/>
          <w:color w:val="auto"/>
        </w:rPr>
      </w:pPr>
    </w:p>
    <w:p>
      <w:pPr>
        <w:spacing w:after="0" w:line="309" w:lineRule="exact"/>
        <w:rPr>
          <w:sz w:val="20"/>
          <w:szCs w:val="20"/>
          <w:color w:val="auto"/>
        </w:rPr>
      </w:pPr>
    </w:p>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ectPr>
          <w:pgSz w:w="11900" w:h="16838" w:orient="portrait"/>
          <w:cols w:equalWidth="0" w:num="1">
            <w:col w:w="11420"/>
          </w:cols>
          <w:pgMar w:left="240" w:top="125" w:right="239" w:bottom="0" w:gutter="0" w:footer="0" w:header="0"/>
          <w:type w:val="continuous"/>
        </w:sectPr>
      </w:pPr>
    </w:p>
    <w:bookmarkStart w:id="82" w:name="page83"/>
    <w:bookmarkEnd w:id="82"/>
    <w:p>
      <w:pPr>
        <w:ind w:right="20" w:firstLine="648"/>
        <w:spacing w:after="0" w:line="291" w:lineRule="auto"/>
        <w:rPr>
          <w:sz w:val="20"/>
          <w:szCs w:val="20"/>
          <w:color w:val="auto"/>
        </w:rPr>
      </w:pPr>
      <w:r>
        <w:rPr>
          <w:rFonts w:ascii="Arial" w:cs="Arial" w:eastAsia="Arial" w:hAnsi="Arial"/>
          <w:sz w:val="16"/>
          <w:szCs w:val="16"/>
          <w:color w:val="auto"/>
        </w:rPr>
        <w:t>We purchase ABS to diversify the overall credit risks of the fixed maturities portfolio and to provide attractive returns. The principal risks in holding ABS are structural and credit risks. Structural risks include the security’s priority in the issuer’s capital structure, the adequacy of and ability to realize proceeds from the collateral and the potential for prepayments. Credit risks involve collateral and issuer/servicer risk where collateral and servicer performance may deteriorate. Our ABS portfolio is diversified both by type of asset and by issuer. We actively monitor holdings of ABS to recognize adverse changes in the risk profile of each security. Prepayments in the ABS portfolio are, in general, insensitive to changes in interest rates or are insulated from such changes by call protection features. In the event that we are subject to prepayment risk, we monitor the factors that impact the level of prepayment and prepayment speed for those ABS. In addition, we hold a diverse class of securities, which limits our exposure to any one security.</w:t>
      </w:r>
    </w:p>
    <w:p>
      <w:pPr>
        <w:spacing w:after="0" w:line="167"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The international exposure held in our U.S. operation’s fixed maturities portfolio was 23% of total fixed maturities as of September 30, 2015 and 25% as of December 31, 2014. It is comprised of corporate and foreign government fixed maturities. The following table presents the carrying amount of our international exposure for our U.S. operation’s fixed maturities portfolio for the periods indicated.</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60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940" w:type="dxa"/>
            <w:vAlign w:val="bottom"/>
            <w:gridSpan w:val="2"/>
          </w:tcPr>
          <w:p>
            <w:pPr>
              <w:ind w:left="160"/>
              <w:spacing w:after="0"/>
              <w:rPr>
                <w:sz w:val="20"/>
                <w:szCs w:val="20"/>
                <w:color w:val="auto"/>
              </w:rPr>
            </w:pPr>
            <w:r>
              <w:rPr>
                <w:rFonts w:ascii="Arial" w:cs="Arial" w:eastAsia="Arial" w:hAnsi="Arial"/>
                <w:sz w:val="14"/>
                <w:szCs w:val="14"/>
                <w:b w:val="1"/>
                <w:bCs w:val="1"/>
                <w:color w:val="auto"/>
              </w:rPr>
              <w:t>September 30, 2015</w:t>
            </w: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20" w:type="dxa"/>
            <w:vAlign w:val="bottom"/>
            <w:gridSpan w:val="2"/>
          </w:tcPr>
          <w:p>
            <w:pPr>
              <w:ind w:left="120"/>
              <w:spacing w:after="0"/>
              <w:rPr>
                <w:sz w:val="20"/>
                <w:szCs w:val="20"/>
                <w:color w:val="auto"/>
              </w:rPr>
            </w:pPr>
            <w:r>
              <w:rPr>
                <w:rFonts w:ascii="Arial" w:cs="Arial" w:eastAsia="Arial" w:hAnsi="Arial"/>
                <w:sz w:val="14"/>
                <w:szCs w:val="14"/>
                <w:b w:val="1"/>
                <w:bCs w:val="1"/>
                <w:color w:val="auto"/>
              </w:rPr>
              <w:t>December 31, 2014</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4600" w:type="dxa"/>
            <w:vAlign w:val="bottom"/>
          </w:tcPr>
          <w:p>
            <w:pPr>
              <w:spacing w:after="0"/>
              <w:rPr>
                <w:sz w:val="15"/>
                <w:szCs w:val="15"/>
                <w:color w:val="auto"/>
              </w:rPr>
            </w:pPr>
          </w:p>
        </w:tc>
        <w:tc>
          <w:tcPr>
            <w:tcW w:w="2320" w:type="dxa"/>
            <w:vAlign w:val="bottom"/>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2400" w:type="dxa"/>
            <w:vAlign w:val="bottom"/>
            <w:tcBorders>
              <w:top w:val="single" w:sz="8" w:color="auto"/>
            </w:tcBorders>
            <w:gridSpan w:val="4"/>
          </w:tcPr>
          <w:p>
            <w:pPr>
              <w:jc w:val="right"/>
              <w:ind w:right="25"/>
              <w:spacing w:after="0"/>
              <w:rPr>
                <w:sz w:val="20"/>
                <w:szCs w:val="20"/>
                <w:color w:val="auto"/>
              </w:rPr>
            </w:pPr>
            <w:r>
              <w:rPr>
                <w:rFonts w:ascii="Arial" w:cs="Arial" w:eastAsia="Arial" w:hAnsi="Arial"/>
                <w:sz w:val="14"/>
                <w:szCs w:val="14"/>
                <w:b w:val="1"/>
                <w:bCs w:val="1"/>
                <w:color w:val="auto"/>
              </w:rPr>
              <w:t>(in millions)</w:t>
            </w:r>
          </w:p>
        </w:tc>
        <w:tc>
          <w:tcPr>
            <w:tcW w:w="172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4600" w:type="dxa"/>
            <w:vAlign w:val="bottom"/>
          </w:tcPr>
          <w:p>
            <w:pPr>
              <w:spacing w:after="0"/>
              <w:rPr>
                <w:sz w:val="15"/>
                <w:szCs w:val="15"/>
                <w:color w:val="auto"/>
              </w:rPr>
            </w:pPr>
          </w:p>
        </w:tc>
        <w:tc>
          <w:tcPr>
            <w:tcW w:w="23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European Union, excluding UK</w:t>
            </w:r>
          </w:p>
        </w:tc>
        <w:tc>
          <w:tcPr>
            <w:tcW w:w="2580" w:type="dxa"/>
            <w:vAlign w:val="bottom"/>
            <w:gridSpan w:val="2"/>
            <w:shd w:val="clear" w:color="auto" w:fill="CCEEFF"/>
          </w:tcPr>
          <w:p>
            <w:pPr>
              <w:jc w:val="right"/>
              <w:ind w:right="105"/>
              <w:spacing w:after="0"/>
              <w:rPr>
                <w:sz w:val="20"/>
                <w:szCs w:val="20"/>
                <w:color w:val="auto"/>
              </w:rPr>
            </w:pPr>
            <w:r>
              <w:rPr>
                <w:rFonts w:ascii="Arial" w:cs="Arial" w:eastAsia="Arial" w:hAnsi="Arial"/>
                <w:sz w:val="18"/>
                <w:szCs w:val="18"/>
                <w:b w:val="1"/>
                <w:bCs w:val="1"/>
                <w:color w:val="auto"/>
              </w:rPr>
              <w:t>$</w:t>
            </w: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3,419.4</w:t>
            </w:r>
          </w:p>
        </w:tc>
        <w:tc>
          <w:tcPr>
            <w:tcW w:w="16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w:t>
            </w:r>
          </w:p>
        </w:tc>
        <w:tc>
          <w:tcPr>
            <w:tcW w:w="1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3,717.9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Arial" w:cs="Arial" w:eastAsia="Arial" w:hAnsi="Arial"/>
                <w:sz w:val="18"/>
                <w:szCs w:val="18"/>
                <w:color w:val="auto"/>
              </w:rPr>
              <w:t>United Kingdom</w:t>
            </w:r>
          </w:p>
        </w:tc>
        <w:tc>
          <w:tcPr>
            <w:tcW w:w="2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2,357.8</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20" w:type="dxa"/>
            <w:vAlign w:val="bottom"/>
            <w:gridSpan w:val="2"/>
          </w:tcPr>
          <w:p>
            <w:pPr>
              <w:jc w:val="right"/>
              <w:ind w:right="100"/>
              <w:spacing w:after="0"/>
              <w:rPr>
                <w:sz w:val="20"/>
                <w:szCs w:val="20"/>
                <w:color w:val="auto"/>
              </w:rPr>
            </w:pPr>
            <w:r>
              <w:rPr>
                <w:rFonts w:ascii="Arial" w:cs="Arial" w:eastAsia="Arial" w:hAnsi="Arial"/>
                <w:sz w:val="18"/>
                <w:szCs w:val="18"/>
                <w:color w:val="auto"/>
              </w:rPr>
              <w:t>2,467.5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Asia-Pacific</w:t>
            </w:r>
          </w:p>
        </w:tc>
        <w:tc>
          <w:tcPr>
            <w:tcW w:w="2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1,470.4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1,564.8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Arial" w:cs="Arial" w:eastAsia="Arial" w:hAnsi="Arial"/>
                <w:sz w:val="18"/>
                <w:szCs w:val="18"/>
                <w:color w:val="auto"/>
              </w:rPr>
              <w:t>Australia/New Zealand</w:t>
            </w:r>
          </w:p>
        </w:tc>
        <w:tc>
          <w:tcPr>
            <w:tcW w:w="2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1,177.1</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20" w:type="dxa"/>
            <w:vAlign w:val="bottom"/>
            <w:gridSpan w:val="2"/>
          </w:tcPr>
          <w:p>
            <w:pPr>
              <w:jc w:val="right"/>
              <w:ind w:right="100"/>
              <w:spacing w:after="0"/>
              <w:rPr>
                <w:sz w:val="20"/>
                <w:szCs w:val="20"/>
                <w:color w:val="auto"/>
              </w:rPr>
            </w:pPr>
            <w:r>
              <w:rPr>
                <w:rFonts w:ascii="Arial" w:cs="Arial" w:eastAsia="Arial" w:hAnsi="Arial"/>
                <w:sz w:val="18"/>
                <w:szCs w:val="18"/>
                <w:color w:val="auto"/>
              </w:rPr>
              <w:t>1,285.6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Latin America</w:t>
            </w:r>
          </w:p>
        </w:tc>
        <w:tc>
          <w:tcPr>
            <w:tcW w:w="2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910.5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Arial" w:cs="Arial" w:eastAsia="Arial" w:hAnsi="Arial"/>
                <w:sz w:val="18"/>
                <w:szCs w:val="18"/>
                <w:color w:val="auto"/>
              </w:rPr>
              <w:t>Europe, non-European Union</w:t>
            </w:r>
          </w:p>
        </w:tc>
        <w:tc>
          <w:tcPr>
            <w:tcW w:w="2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800.6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20" w:type="dxa"/>
            <w:vAlign w:val="bottom"/>
            <w:gridSpan w:val="2"/>
          </w:tcPr>
          <w:p>
            <w:pPr>
              <w:jc w:val="right"/>
              <w:ind w:right="100"/>
              <w:spacing w:after="0"/>
              <w:rPr>
                <w:sz w:val="20"/>
                <w:szCs w:val="20"/>
                <w:color w:val="auto"/>
              </w:rPr>
            </w:pPr>
            <w:r>
              <w:rPr>
                <w:rFonts w:ascii="Arial" w:cs="Arial" w:eastAsia="Arial" w:hAnsi="Arial"/>
                <w:sz w:val="18"/>
                <w:szCs w:val="18"/>
                <w:color w:val="auto"/>
              </w:rPr>
              <w:t>855.6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Middle East and Africa</w:t>
            </w:r>
          </w:p>
        </w:tc>
        <w:tc>
          <w:tcPr>
            <w:tcW w:w="2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311.3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Arial" w:cs="Arial" w:eastAsia="Arial" w:hAnsi="Arial"/>
                <w:sz w:val="18"/>
                <w:szCs w:val="18"/>
                <w:color w:val="auto"/>
              </w:rPr>
              <w:t>Other (1)</w:t>
            </w:r>
          </w:p>
        </w:tc>
        <w:tc>
          <w:tcPr>
            <w:tcW w:w="2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8"/>
                <w:szCs w:val="18"/>
                <w:b w:val="1"/>
                <w:bCs w:val="1"/>
                <w:color w:val="auto"/>
              </w:rPr>
              <w:t>299.2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20" w:type="dxa"/>
            <w:vAlign w:val="bottom"/>
            <w:gridSpan w:val="2"/>
          </w:tcPr>
          <w:p>
            <w:pPr>
              <w:jc w:val="right"/>
              <w:ind w:right="100"/>
              <w:spacing w:after="0"/>
              <w:rPr>
                <w:sz w:val="20"/>
                <w:szCs w:val="20"/>
                <w:color w:val="auto"/>
              </w:rPr>
            </w:pPr>
            <w:r>
              <w:rPr>
                <w:rFonts w:ascii="Arial" w:cs="Arial" w:eastAsia="Arial" w:hAnsi="Arial"/>
                <w:sz w:val="18"/>
                <w:szCs w:val="18"/>
                <w:color w:val="auto"/>
              </w:rPr>
              <w:t>276.7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00" w:type="dxa"/>
            <w:vAlign w:val="bottom"/>
            <w:tcBorders>
              <w:top w:val="single" w:sz="8" w:color="CCEEFF"/>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w:t>
            </w:r>
          </w:p>
        </w:tc>
        <w:tc>
          <w:tcPr>
            <w:tcW w:w="232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10,746.3</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1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11,523.3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right="720" w:firstLine="8"/>
        <w:spacing w:after="0" w:line="277" w:lineRule="auto"/>
        <w:tabs>
          <w:tab w:leader="none" w:pos="39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Includes exposure from 2 countries and various supranational organizations as of September 30, 2015, and 1 country and various supranational organizations as of December 31, 2014.</w:t>
      </w:r>
    </w:p>
    <w:p>
      <w:pPr>
        <w:spacing w:after="0" w:line="170"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International fixed maturities exposure is determined by the country of domicile of the parent entity of an individual asset. All international fixed maturities held by our U.S. operations are either denominated in U.S. dollars or have been swapped into U.S. dollar equivalents. Our international investments are analyzed internally by country and industry credit investment professionals. We control concentrations using issuer and country level exposure benchmarks, which are based on the credit quality of the issuer and the country. Our investment policy limits total international fixed maturities investments and we are within those internal limits. Exposure to Canada is not included in our international exposure. As of September 30, 2015 and December 31, 2014, our investments in Canada totaled $1,355.6 million and $1,478.3 million, respectively.</w:t>
      </w:r>
    </w:p>
    <w:p>
      <w:pPr>
        <w:spacing w:after="0" w:line="178" w:lineRule="exact"/>
        <w:rPr>
          <w:sz w:val="20"/>
          <w:szCs w:val="20"/>
          <w:color w:val="auto"/>
        </w:rPr>
      </w:pPr>
    </w:p>
    <w:p>
      <w:pPr>
        <w:ind w:right="320" w:firstLine="648"/>
        <w:spacing w:after="0" w:line="308" w:lineRule="auto"/>
        <w:rPr>
          <w:sz w:val="20"/>
          <w:szCs w:val="20"/>
          <w:color w:val="auto"/>
        </w:rPr>
      </w:pPr>
      <w:r>
        <w:rPr>
          <w:rFonts w:ascii="Arial" w:cs="Arial" w:eastAsia="Arial" w:hAnsi="Arial"/>
          <w:sz w:val="17"/>
          <w:szCs w:val="17"/>
          <w:b w:val="1"/>
          <w:bCs w:val="1"/>
          <w:i w:val="1"/>
          <w:iCs w:val="1"/>
          <w:color w:val="auto"/>
        </w:rPr>
        <w:t xml:space="preserve">Fixed Maturities Credit Concentrations. </w:t>
      </w:r>
      <w:r>
        <w:rPr>
          <w:rFonts w:ascii="Arial" w:cs="Arial" w:eastAsia="Arial" w:hAnsi="Arial"/>
          <w:sz w:val="17"/>
          <w:szCs w:val="17"/>
          <w:color w:val="auto"/>
        </w:rPr>
        <w:t>One aspect of managing credit risk is through industry, issuer and asset class diversification. Our credit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concentrations are managed to established limits. The following table presents our top ten exposures as of September 30, 2015.</w:t>
      </w:r>
    </w:p>
    <w:p>
      <w:pPr>
        <w:spacing w:after="0" w:line="138" w:lineRule="exact"/>
        <w:rPr>
          <w:sz w:val="20"/>
          <w:szCs w:val="20"/>
          <w:color w:val="auto"/>
        </w:rPr>
      </w:pPr>
    </w:p>
    <w:p>
      <w:pPr>
        <w:jc w:val="center"/>
        <w:ind w:left="9400"/>
        <w:spacing w:after="0"/>
        <w:rPr>
          <w:sz w:val="20"/>
          <w:szCs w:val="20"/>
          <w:color w:val="auto"/>
        </w:rPr>
      </w:pPr>
      <w:r>
        <w:rPr>
          <w:rFonts w:ascii="Arial" w:cs="Arial" w:eastAsia="Arial" w:hAnsi="Arial"/>
          <w:sz w:val="14"/>
          <w:szCs w:val="14"/>
          <w:b w:val="1"/>
          <w:bCs w:val="1"/>
          <w:color w:val="auto"/>
        </w:rPr>
        <w:t>Amortized cost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6033770</wp:posOffset>
            </wp:positionH>
            <wp:positionV relativeFrom="paragraph">
              <wp:posOffset>6350</wp:posOffset>
            </wp:positionV>
            <wp:extent cx="114935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1149350" cy="8890"/>
                    </a:xfrm>
                    <a:prstGeom prst="rect">
                      <a:avLst/>
                    </a:prstGeom>
                    <a:noFill/>
                  </pic:spPr>
                </pic:pic>
              </a:graphicData>
            </a:graphic>
          </wp:anchor>
        </w:drawing>
      </w:r>
    </w:p>
    <w:p>
      <w:pPr>
        <w:jc w:val="center"/>
        <w:ind w:left="9400"/>
        <w:spacing w:after="0"/>
        <w:rPr>
          <w:sz w:val="20"/>
          <w:szCs w:val="20"/>
          <w:color w:val="auto"/>
        </w:rPr>
      </w:pPr>
      <w:r>
        <w:rPr>
          <w:rFonts w:ascii="Arial" w:cs="Arial" w:eastAsia="Arial" w:hAnsi="Arial"/>
          <w:sz w:val="14"/>
          <w:szCs w:val="14"/>
          <w:b w:val="1"/>
          <w:bCs w:val="1"/>
          <w:color w:val="auto"/>
        </w:rPr>
        <w:t>(in millions)</w:t>
      </w:r>
    </w:p>
    <w:p>
      <w:pPr>
        <w:sectPr>
          <w:pgSz w:w="11900" w:h="16838" w:orient="portrait"/>
          <w:cols w:equalWidth="0" w:num="1">
            <w:col w:w="11420"/>
          </w:cols>
          <w:pgMar w:left="240" w:top="341" w:right="239" w:bottom="0" w:gutter="0" w:footer="0" w:header="0"/>
        </w:sectPr>
      </w:pP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General Electric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13716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Berkshire Hathaway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AT&amp;T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7"/>
          <w:szCs w:val="17"/>
          <w:color w:val="auto"/>
        </w:rPr>
        <w:t>People’s Republic of China</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Verizon Communications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-116205</wp:posOffset>
            </wp:positionV>
            <wp:extent cx="7246620" cy="13716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Wells Fargo &amp; Company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Mars, Incorporated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Duke Energy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MetLife,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PG&amp;E Corporation</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Total top ten exposures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5430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46620"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72" w:lineRule="exact"/>
        <w:rPr>
          <w:sz w:val="20"/>
          <w:szCs w:val="20"/>
          <w:color w:val="auto"/>
        </w:rPr>
      </w:pPr>
    </w:p>
    <w:p>
      <w:pPr>
        <w:ind w:left="1398" w:hanging="1398"/>
        <w:spacing w:after="0"/>
        <w:tabs>
          <w:tab w:leader="none" w:pos="1398" w:val="left"/>
        </w:tabs>
        <w:numPr>
          <w:ilvl w:val="0"/>
          <w:numId w:val="40"/>
        </w:numPr>
        <w:rPr>
          <w:rFonts w:ascii="Arial" w:cs="Arial" w:eastAsia="Arial" w:hAnsi="Arial"/>
          <w:sz w:val="16"/>
          <w:szCs w:val="16"/>
          <w:b w:val="1"/>
          <w:bCs w:val="1"/>
          <w:color w:val="auto"/>
        </w:rPr>
      </w:pPr>
      <w:r>
        <w:rPr>
          <w:rFonts w:ascii="Arial" w:cs="Arial" w:eastAsia="Arial" w:hAnsi="Arial"/>
          <w:sz w:val="16"/>
          <w:szCs w:val="16"/>
          <w:b w:val="1"/>
          <w:bCs w:val="1"/>
          <w:color w:val="auto"/>
        </w:rPr>
        <w:t>196.4</w:t>
      </w:r>
    </w:p>
    <w:p>
      <w:pPr>
        <w:spacing w:after="0" w:line="50" w:lineRule="exact"/>
        <w:rPr>
          <w:rFonts w:ascii="Arial" w:cs="Arial" w:eastAsia="Arial" w:hAnsi="Arial"/>
          <w:sz w:val="16"/>
          <w:szCs w:val="16"/>
          <w:b w:val="1"/>
          <w:bCs w:val="1"/>
          <w:color w:val="auto"/>
        </w:rPr>
      </w:pPr>
    </w:p>
    <w:p>
      <w:pPr>
        <w:ind w:left="1398"/>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188.8</w:t>
      </w:r>
    </w:p>
    <w:p>
      <w:pPr>
        <w:spacing w:after="0" w:line="32" w:lineRule="exact"/>
        <w:rPr>
          <w:rFonts w:ascii="Arial" w:cs="Arial" w:eastAsia="Arial" w:hAnsi="Arial"/>
          <w:sz w:val="16"/>
          <w:szCs w:val="16"/>
          <w:b w:val="1"/>
          <w:bCs w:val="1"/>
          <w:color w:val="auto"/>
        </w:rPr>
      </w:pPr>
    </w:p>
    <w:p>
      <w:pPr>
        <w:ind w:left="1398"/>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188.4</w:t>
      </w:r>
    </w:p>
    <w:p>
      <w:pPr>
        <w:spacing w:after="0" w:line="32" w:lineRule="exact"/>
        <w:rPr>
          <w:rFonts w:ascii="Arial" w:cs="Arial" w:eastAsia="Arial" w:hAnsi="Arial"/>
          <w:sz w:val="16"/>
          <w:szCs w:val="16"/>
          <w:b w:val="1"/>
          <w:bCs w:val="1"/>
          <w:color w:val="auto"/>
        </w:rPr>
      </w:pPr>
    </w:p>
    <w:p>
      <w:pPr>
        <w:ind w:left="1398"/>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173.5</w:t>
      </w:r>
    </w:p>
    <w:p>
      <w:pPr>
        <w:spacing w:after="0" w:line="32" w:lineRule="exact"/>
        <w:rPr>
          <w:rFonts w:ascii="Arial" w:cs="Arial" w:eastAsia="Arial" w:hAnsi="Arial"/>
          <w:sz w:val="16"/>
          <w:szCs w:val="16"/>
          <w:b w:val="1"/>
          <w:bCs w:val="1"/>
          <w:color w:val="auto"/>
        </w:rPr>
      </w:pPr>
    </w:p>
    <w:p>
      <w:pPr>
        <w:ind w:left="1398"/>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155.5</w:t>
      </w:r>
    </w:p>
    <w:p>
      <w:pPr>
        <w:spacing w:after="0" w:line="32" w:lineRule="exact"/>
        <w:rPr>
          <w:rFonts w:ascii="Arial" w:cs="Arial" w:eastAsia="Arial" w:hAnsi="Arial"/>
          <w:sz w:val="16"/>
          <w:szCs w:val="16"/>
          <w:b w:val="1"/>
          <w:bCs w:val="1"/>
          <w:color w:val="auto"/>
        </w:rPr>
      </w:pPr>
    </w:p>
    <w:p>
      <w:pPr>
        <w:ind w:left="1398"/>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155.2</w:t>
      </w:r>
    </w:p>
    <w:p>
      <w:pPr>
        <w:spacing w:after="0" w:line="32" w:lineRule="exact"/>
        <w:rPr>
          <w:rFonts w:ascii="Arial" w:cs="Arial" w:eastAsia="Arial" w:hAnsi="Arial"/>
          <w:sz w:val="16"/>
          <w:szCs w:val="16"/>
          <w:b w:val="1"/>
          <w:bCs w:val="1"/>
          <w:color w:val="auto"/>
        </w:rPr>
      </w:pPr>
    </w:p>
    <w:p>
      <w:pPr>
        <w:ind w:left="1398"/>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146.3</w:t>
      </w:r>
    </w:p>
    <w:p>
      <w:pPr>
        <w:spacing w:after="0" w:line="32" w:lineRule="exact"/>
        <w:rPr>
          <w:rFonts w:ascii="Arial" w:cs="Arial" w:eastAsia="Arial" w:hAnsi="Arial"/>
          <w:sz w:val="16"/>
          <w:szCs w:val="16"/>
          <w:b w:val="1"/>
          <w:bCs w:val="1"/>
          <w:color w:val="auto"/>
        </w:rPr>
      </w:pPr>
    </w:p>
    <w:p>
      <w:pPr>
        <w:ind w:left="1398"/>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136.7</w:t>
      </w:r>
    </w:p>
    <w:p>
      <w:pPr>
        <w:spacing w:after="0" w:line="32" w:lineRule="exact"/>
        <w:rPr>
          <w:rFonts w:ascii="Arial" w:cs="Arial" w:eastAsia="Arial" w:hAnsi="Arial"/>
          <w:sz w:val="16"/>
          <w:szCs w:val="16"/>
          <w:b w:val="1"/>
          <w:bCs w:val="1"/>
          <w:color w:val="auto"/>
        </w:rPr>
      </w:pPr>
    </w:p>
    <w:p>
      <w:pPr>
        <w:ind w:left="1398"/>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127.5</w:t>
      </w:r>
    </w:p>
    <w:p>
      <w:pPr>
        <w:spacing w:after="0" w:line="32" w:lineRule="exact"/>
        <w:rPr>
          <w:rFonts w:ascii="Arial" w:cs="Arial" w:eastAsia="Arial" w:hAnsi="Arial"/>
          <w:sz w:val="16"/>
          <w:szCs w:val="16"/>
          <w:b w:val="1"/>
          <w:bCs w:val="1"/>
          <w:color w:val="auto"/>
        </w:rPr>
      </w:pPr>
    </w:p>
    <w:p>
      <w:pPr>
        <w:ind w:left="1398"/>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127.3</w:t>
      </w:r>
    </w:p>
    <w:p>
      <w:pPr>
        <w:spacing w:after="0" w:line="32" w:lineRule="exact"/>
        <w:rPr>
          <w:sz w:val="20"/>
          <w:szCs w:val="20"/>
          <w:color w:val="auto"/>
        </w:rPr>
      </w:pPr>
    </w:p>
    <w:p>
      <w:pPr>
        <w:ind w:left="1278" w:hanging="1278"/>
        <w:spacing w:after="0"/>
        <w:tabs>
          <w:tab w:leader="none" w:pos="1278" w:val="left"/>
        </w:tabs>
        <w:numPr>
          <w:ilvl w:val="0"/>
          <w:numId w:val="41"/>
        </w:numPr>
        <w:rPr>
          <w:rFonts w:ascii="Arial" w:cs="Arial" w:eastAsia="Arial" w:hAnsi="Arial"/>
          <w:sz w:val="16"/>
          <w:szCs w:val="16"/>
          <w:b w:val="1"/>
          <w:bCs w:val="1"/>
          <w:color w:val="auto"/>
        </w:rPr>
      </w:pPr>
      <w:r>
        <w:rPr>
          <w:rFonts w:ascii="Arial" w:cs="Arial" w:eastAsia="Arial" w:hAnsi="Arial"/>
          <w:sz w:val="16"/>
          <w:szCs w:val="16"/>
          <w:b w:val="1"/>
          <w:bCs w:val="1"/>
          <w:color w:val="auto"/>
        </w:rPr>
        <w:t>1,595.6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1149350" cy="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149350" cy="8890"/>
                    </a:xfrm>
                    <a:prstGeom prst="rect">
                      <a:avLst/>
                    </a:prstGeom>
                    <a:noFill/>
                  </pic:spPr>
                </pic:pic>
              </a:graphicData>
            </a:graphic>
          </wp:anchor>
        </w:drawing>
      </w:r>
    </w:p>
    <w:p>
      <w:pPr>
        <w:spacing w:after="0" w:line="222" w:lineRule="exact"/>
        <w:rPr>
          <w:sz w:val="20"/>
          <w:szCs w:val="20"/>
          <w:color w:val="auto"/>
        </w:rPr>
      </w:pPr>
    </w:p>
    <w:p>
      <w:pPr>
        <w:sectPr>
          <w:pgSz w:w="11900" w:h="16838" w:orient="portrait"/>
          <w:cols w:equalWidth="0" w:num="2">
            <w:col w:w="8782" w:space="720"/>
            <w:col w:w="1918"/>
          </w:cols>
          <w:pgMar w:left="240" w:top="341" w:right="239" w:bottom="0" w:gutter="0" w:footer="0" w:header="0"/>
          <w:type w:val="continuous"/>
        </w:sectPr>
      </w:pPr>
    </w:p>
    <w:p>
      <w:pPr>
        <w:spacing w:after="0" w:line="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firstLine="630"/>
        <w:spacing w:after="0" w:line="270" w:lineRule="auto"/>
        <w:rPr>
          <w:sz w:val="20"/>
          <w:szCs w:val="20"/>
          <w:color w:val="auto"/>
        </w:rPr>
      </w:pPr>
      <w:r>
        <w:rPr>
          <w:rFonts w:ascii="Arial" w:cs="Arial" w:eastAsia="Arial" w:hAnsi="Arial"/>
          <w:sz w:val="17"/>
          <w:szCs w:val="17"/>
          <w:b w:val="1"/>
          <w:bCs w:val="1"/>
          <w:i w:val="1"/>
          <w:iCs w:val="1"/>
          <w:color w:val="auto"/>
        </w:rPr>
        <w:t xml:space="preserve">Fixed Maturities Valuation and Credit Quality. </w:t>
      </w:r>
      <w:r>
        <w:rPr>
          <w:rFonts w:ascii="Arial" w:cs="Arial" w:eastAsia="Arial" w:hAnsi="Arial"/>
          <w:sz w:val="17"/>
          <w:szCs w:val="17"/>
          <w:color w:val="auto"/>
        </w:rPr>
        <w:t>Valuation techniques for the fixed maturities portfolio vary by security type and the availability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market data. The use of different pricing techniques and their assumptions could produce different financial results. See Item 1. “Financial Statements, Notes to Unaudited Consolidated Financial Statements, Note 10, Fair Value Measurements” for further details regarding our pricing methodology. Once prices are determined, they are reviewed by pricing analysts for reasonableness based on asset class and observable market data. Investment analysts who are familiar with specific securities review prices for reasonableness through direct interaction with external sources, review of recent trade activity or use of internal models. All fixed maturities placed on the “watch list” are periodically analyzed by investment analysts or analysts that focus on troubled securities (“Workout Group”). This group then meets with the Chief Investment Officer and the Portfolio Managers to determine reasonableness of prices. The valuation of impaired bonds for which there is no quoted price is typically based on the present value of the future cash flows expected to be received. Although we believe these values reasonably reflect the fair value of those securities, the key assumptions about risk premiums, performance of underlying collateral (if any) and other market factors involve qualitative and unobservable inputs.</w:t>
      </w:r>
    </w:p>
    <w:p>
      <w:pPr>
        <w:spacing w:after="0" w:line="178" w:lineRule="exact"/>
        <w:rPr>
          <w:sz w:val="20"/>
          <w:szCs w:val="20"/>
          <w:color w:val="auto"/>
        </w:rPr>
      </w:pPr>
    </w:p>
    <w:p>
      <w:pPr>
        <w:ind w:right="20" w:firstLine="630"/>
        <w:spacing w:after="0" w:line="302" w:lineRule="auto"/>
        <w:rPr>
          <w:sz w:val="20"/>
          <w:szCs w:val="20"/>
          <w:color w:val="auto"/>
        </w:rPr>
      </w:pPr>
      <w:r>
        <w:rPr>
          <w:rFonts w:ascii="Arial" w:cs="Arial" w:eastAsia="Arial" w:hAnsi="Arial"/>
          <w:sz w:val="16"/>
          <w:szCs w:val="16"/>
          <w:color w:val="auto"/>
        </w:rPr>
        <w:t>The Securities Valuation Office (“SVO”) of the NAIC monitors the bond investments of insurers for regulatory capital and reporting purposes and, when required, assigns securities to one of six investment categories. For certain bonds, the NAIC designations closely mirror the Nationally Recognized Statistical Rating Organizations’ (“NRSRO”) credit ratings. For most corporate bonds, NAIC designations 1 and 2 include bonds considered investment grade by such rating organizations. Bonds are considered investment grade when rated ‘‘Baa3’’ or higher by Moody’s, or ‘‘BBB-’’ or higher by S&amp;P. NAIC</w:t>
      </w:r>
    </w:p>
    <w:p>
      <w:pPr>
        <w:sectPr>
          <w:pgSz w:w="11900" w:h="16838" w:orient="portrait"/>
          <w:cols w:equalWidth="0" w:num="1">
            <w:col w:w="11420"/>
          </w:cols>
          <w:pgMar w:left="240" w:top="341" w:right="239" w:bottom="0" w:gutter="0" w:footer="0" w:header="0"/>
          <w:type w:val="continuous"/>
        </w:sectPr>
      </w:pPr>
    </w:p>
    <w:bookmarkStart w:id="83" w:name="page84"/>
    <w:bookmarkEnd w:id="83"/>
    <w:p>
      <w:pPr>
        <w:ind w:right="20"/>
        <w:spacing w:after="0" w:line="277" w:lineRule="auto"/>
        <w:rPr>
          <w:sz w:val="20"/>
          <w:szCs w:val="20"/>
          <w:color w:val="auto"/>
        </w:rPr>
      </w:pPr>
      <w:r>
        <w:rPr>
          <w:rFonts w:ascii="Arial" w:cs="Arial" w:eastAsia="Arial" w:hAnsi="Arial"/>
          <w:sz w:val="18"/>
          <w:szCs w:val="18"/>
          <w:color w:val="auto"/>
        </w:rPr>
        <w:t>designations 3 through 6 are referred to as below investment grade. Bonds are considered below investment grade when rated ‘‘Ba1’’ or lower by Moody’s, or ‘‘BB+’’ or lower by S&amp;P.</w:t>
      </w:r>
    </w:p>
    <w:p>
      <w:pPr>
        <w:spacing w:after="0" w:line="170" w:lineRule="exact"/>
        <w:rPr>
          <w:sz w:val="20"/>
          <w:szCs w:val="20"/>
          <w:color w:val="auto"/>
        </w:rPr>
      </w:pPr>
    </w:p>
    <w:p>
      <w:pPr>
        <w:ind w:right="100" w:firstLine="630"/>
        <w:spacing w:after="0" w:line="259" w:lineRule="auto"/>
        <w:rPr>
          <w:sz w:val="20"/>
          <w:szCs w:val="20"/>
          <w:color w:val="auto"/>
        </w:rPr>
      </w:pPr>
      <w:r>
        <w:rPr>
          <w:rFonts w:ascii="Arial" w:cs="Arial" w:eastAsia="Arial" w:hAnsi="Arial"/>
          <w:sz w:val="18"/>
          <w:szCs w:val="18"/>
          <w:color w:val="auto"/>
        </w:rPr>
        <w:t>However, for loan-backed and structured securities, as defined by the NAIC, the NAIC rating is not always equivalent to an NRSRO rating as described below. For non-agency RMBS, PIMCO Advisors models and assigns the NAIC ratings. For CMBS, Blackrock Solutions undertakes the modeling and assignment of those NAIC ratings. Other loan-backed and structured securities may be subject to an intrinsic price matrix as provided by the NAIC. This may result in a final designation being higher or lower than the NRSRO credit rating.</w:t>
      </w:r>
    </w:p>
    <w:p>
      <w:pPr>
        <w:spacing w:after="0" w:line="187"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The following table presents our total fixed maturities by NAIC designation and the equivalent ratings of the NRSROs as of the periods indicated as well as the percentage, based on fair value, that each designation comprises.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center"/>
              <w:ind w:right="60"/>
              <w:spacing w:after="0"/>
              <w:rPr>
                <w:sz w:val="20"/>
                <w:szCs w:val="20"/>
                <w:color w:val="auto"/>
              </w:rPr>
            </w:pPr>
            <w:r>
              <w:rPr>
                <w:rFonts w:ascii="Arial" w:cs="Arial" w:eastAsia="Arial" w:hAnsi="Arial"/>
                <w:sz w:val="14"/>
                <w:szCs w:val="14"/>
                <w:b w:val="1"/>
                <w:bCs w:val="1"/>
                <w:color w:val="auto"/>
                <w:w w:val="91"/>
              </w:rPr>
              <w:t>September 30, 2015</w:t>
            </w:r>
          </w:p>
        </w:tc>
        <w:tc>
          <w:tcPr>
            <w:tcW w:w="104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ind w:left="120"/>
              <w:spacing w:after="0"/>
              <w:rPr>
                <w:sz w:val="20"/>
                <w:szCs w:val="20"/>
                <w:color w:val="auto"/>
              </w:rPr>
            </w:pPr>
            <w:r>
              <w:rPr>
                <w:rFonts w:ascii="Arial" w:cs="Arial" w:eastAsia="Arial" w:hAnsi="Arial"/>
                <w:sz w:val="14"/>
                <w:szCs w:val="14"/>
                <w:b w:val="1"/>
                <w:bCs w:val="1"/>
                <w:color w:val="auto"/>
              </w:rPr>
              <w:t>December 31, 2014</w:t>
            </w:r>
          </w:p>
        </w:tc>
        <w:tc>
          <w:tcPr>
            <w:tcW w:w="10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13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NAIC</w:t>
            </w:r>
          </w:p>
        </w:tc>
        <w:tc>
          <w:tcPr>
            <w:tcW w:w="2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7"/>
              </w:rPr>
              <w:t>Carrying</w:t>
            </w:r>
          </w:p>
        </w:tc>
        <w:tc>
          <w:tcPr>
            <w:tcW w:w="104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7"/>
              </w:rPr>
              <w:t>Percent of</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80" w:type="dxa"/>
            <w:vAlign w:val="bottom"/>
            <w:gridSpan w:val="2"/>
            <w:vMerge w:val="restart"/>
          </w:tcPr>
          <w:p>
            <w:pPr>
              <w:jc w:val="right"/>
              <w:ind w:right="280"/>
              <w:spacing w:after="0"/>
              <w:rPr>
                <w:sz w:val="20"/>
                <w:szCs w:val="20"/>
                <w:color w:val="auto"/>
              </w:rPr>
            </w:pPr>
            <w:r>
              <w:rPr>
                <w:rFonts w:ascii="Arial" w:cs="Arial" w:eastAsia="Arial" w:hAnsi="Arial"/>
                <w:sz w:val="14"/>
                <w:szCs w:val="14"/>
                <w:b w:val="1"/>
                <w:bCs w:val="1"/>
                <w:color w:val="auto"/>
                <w:w w:val="99"/>
              </w:rPr>
              <w:t>Amortized</w:t>
            </w: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8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rPr>
              <w:t>Carrying</w:t>
            </w:r>
          </w:p>
        </w:tc>
        <w:tc>
          <w:tcPr>
            <w:tcW w:w="102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7"/>
              </w:rPr>
              <w:t>Percent of</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360" w:type="dxa"/>
            <w:vAlign w:val="bottom"/>
            <w:gridSpan w:val="3"/>
            <w:vMerge w:val="continue"/>
          </w:tcPr>
          <w:p>
            <w:pPr>
              <w:spacing w:after="0"/>
              <w:rPr>
                <w:sz w:val="12"/>
                <w:szCs w:val="12"/>
                <w:color w:val="auto"/>
              </w:rPr>
            </w:pPr>
          </w:p>
        </w:tc>
        <w:tc>
          <w:tcPr>
            <w:tcW w:w="2520" w:type="dxa"/>
            <w:vAlign w:val="bottom"/>
            <w:gridSpan w:val="2"/>
            <w:vMerge w:val="restart"/>
          </w:tcPr>
          <w:p>
            <w:pPr>
              <w:ind w:left="340"/>
              <w:spacing w:after="0"/>
              <w:rPr>
                <w:sz w:val="20"/>
                <w:szCs w:val="20"/>
                <w:color w:val="auto"/>
              </w:rPr>
            </w:pPr>
            <w:r>
              <w:rPr>
                <w:rFonts w:ascii="Arial" w:cs="Arial" w:eastAsia="Arial" w:hAnsi="Arial"/>
                <w:sz w:val="14"/>
                <w:szCs w:val="14"/>
                <w:b w:val="1"/>
                <w:bCs w:val="1"/>
                <w:color w:val="auto"/>
              </w:rPr>
              <w:t>Rating Agency Equivalent</w:t>
            </w:r>
          </w:p>
        </w:tc>
        <w:tc>
          <w:tcPr>
            <w:tcW w:w="14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380" w:type="dxa"/>
            <w:vAlign w:val="bottom"/>
            <w:gridSpan w:val="3"/>
          </w:tcPr>
          <w:p>
            <w:pPr>
              <w:jc w:val="center"/>
              <w:ind w:right="265"/>
              <w:spacing w:after="0" w:line="149" w:lineRule="exact"/>
              <w:rPr>
                <w:sz w:val="20"/>
                <w:szCs w:val="20"/>
                <w:color w:val="auto"/>
              </w:rPr>
            </w:pPr>
            <w:r>
              <w:rPr>
                <w:rFonts w:ascii="Arial" w:cs="Arial" w:eastAsia="Arial" w:hAnsi="Arial"/>
                <w:sz w:val="14"/>
                <w:szCs w:val="14"/>
                <w:b w:val="1"/>
                <w:bCs w:val="1"/>
                <w:color w:val="auto"/>
                <w:w w:val="94"/>
              </w:rPr>
              <w:t>carrying</w:t>
            </w:r>
          </w:p>
        </w:tc>
        <w:tc>
          <w:tcPr>
            <w:tcW w:w="9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180" w:type="dxa"/>
            <w:vAlign w:val="bottom"/>
            <w:gridSpan w:val="2"/>
          </w:tcPr>
          <w:p>
            <w:pPr>
              <w:jc w:val="center"/>
              <w:ind w:right="90"/>
              <w:spacing w:after="0" w:line="149" w:lineRule="exact"/>
              <w:rPr>
                <w:sz w:val="20"/>
                <w:szCs w:val="20"/>
                <w:color w:val="auto"/>
              </w:rPr>
            </w:pPr>
            <w:r>
              <w:rPr>
                <w:rFonts w:ascii="Arial" w:cs="Arial" w:eastAsia="Arial" w:hAnsi="Arial"/>
                <w:sz w:val="14"/>
                <w:szCs w:val="14"/>
                <w:b w:val="1"/>
                <w:bCs w:val="1"/>
                <w:color w:val="auto"/>
                <w:w w:val="94"/>
              </w:rPr>
              <w:t>carrying</w:t>
            </w:r>
          </w:p>
        </w:tc>
        <w:tc>
          <w:tcPr>
            <w:tcW w:w="0" w:type="dxa"/>
            <w:vAlign w:val="bottom"/>
          </w:tcPr>
          <w:p>
            <w:pPr>
              <w:spacing w:after="0"/>
              <w:rPr>
                <w:sz w:val="1"/>
                <w:szCs w:val="1"/>
                <w:color w:val="auto"/>
              </w:rPr>
            </w:pPr>
          </w:p>
        </w:tc>
      </w:tr>
      <w:tr>
        <w:trPr>
          <w:trHeight w:val="171"/>
        </w:trPr>
        <w:tc>
          <w:tcPr>
            <w:tcW w:w="1360" w:type="dxa"/>
            <w:vAlign w:val="bottom"/>
            <w:gridSpan w:val="3"/>
          </w:tcPr>
          <w:p>
            <w:pPr>
              <w:spacing w:after="0"/>
              <w:rPr>
                <w:sz w:val="20"/>
                <w:szCs w:val="20"/>
                <w:color w:val="auto"/>
              </w:rPr>
            </w:pPr>
            <w:r>
              <w:rPr>
                <w:rFonts w:ascii="Arial" w:cs="Arial" w:eastAsia="Arial" w:hAnsi="Arial"/>
                <w:sz w:val="14"/>
                <w:szCs w:val="14"/>
                <w:b w:val="1"/>
                <w:bCs w:val="1"/>
                <w:color w:val="auto"/>
              </w:rPr>
              <w:t>Rating</w:t>
            </w:r>
          </w:p>
        </w:tc>
        <w:tc>
          <w:tcPr>
            <w:tcW w:w="25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3"/>
              </w:rPr>
              <w:t>cost</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4"/>
              </w:rPr>
              <w:t>amount</w:t>
            </w:r>
          </w:p>
        </w:tc>
        <w:tc>
          <w:tcPr>
            <w:tcW w:w="1380" w:type="dxa"/>
            <w:vAlign w:val="bottom"/>
            <w:gridSpan w:val="3"/>
          </w:tcPr>
          <w:p>
            <w:pPr>
              <w:jc w:val="center"/>
              <w:ind w:right="265"/>
              <w:spacing w:after="0"/>
              <w:rPr>
                <w:sz w:val="20"/>
                <w:szCs w:val="20"/>
                <w:color w:val="auto"/>
              </w:rPr>
            </w:pPr>
            <w:r>
              <w:rPr>
                <w:rFonts w:ascii="Arial" w:cs="Arial" w:eastAsia="Arial" w:hAnsi="Arial"/>
                <w:sz w:val="14"/>
                <w:szCs w:val="14"/>
                <w:b w:val="1"/>
                <w:bCs w:val="1"/>
                <w:color w:val="auto"/>
                <w:w w:val="94"/>
              </w:rPr>
              <w:t>amount</w:t>
            </w:r>
          </w:p>
        </w:tc>
        <w:tc>
          <w:tcPr>
            <w:tcW w:w="98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cost</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0"/>
              </w:rPr>
              <w:t>amount</w:t>
            </w:r>
          </w:p>
        </w:tc>
        <w:tc>
          <w:tcPr>
            <w:tcW w:w="1180" w:type="dxa"/>
            <w:vAlign w:val="bottom"/>
            <w:gridSpan w:val="2"/>
          </w:tcPr>
          <w:p>
            <w:pPr>
              <w:jc w:val="center"/>
              <w:ind w:right="90"/>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10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2360" w:type="dxa"/>
            <w:vAlign w:val="bottom"/>
            <w:tcBorders>
              <w:top w:val="single" w:sz="8" w:color="auto"/>
            </w:tcBorders>
            <w:gridSpan w:val="5"/>
          </w:tcPr>
          <w:p>
            <w:pPr>
              <w:jc w:val="right"/>
              <w:ind w:right="780"/>
              <w:spacing w:after="0"/>
              <w:rPr>
                <w:sz w:val="20"/>
                <w:szCs w:val="20"/>
                <w:color w:val="auto"/>
              </w:rPr>
            </w:pPr>
            <w:r>
              <w:rPr>
                <w:rFonts w:ascii="Arial" w:cs="Arial" w:eastAsia="Arial" w:hAnsi="Arial"/>
                <w:sz w:val="14"/>
                <w:szCs w:val="14"/>
                <w:b w:val="1"/>
                <w:bCs w:val="1"/>
                <w:color w:val="auto"/>
              </w:rPr>
              <w:t>($ in millions)</w:t>
            </w:r>
          </w:p>
        </w:tc>
        <w:tc>
          <w:tcPr>
            <w:tcW w:w="12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1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100" w:type="dxa"/>
            <w:vAlign w:val="bottom"/>
            <w:shd w:val="clear" w:color="auto" w:fill="CCEEFF"/>
          </w:tcPr>
          <w:p>
            <w:pPr>
              <w:spacing w:after="0"/>
              <w:rPr>
                <w:sz w:val="20"/>
                <w:szCs w:val="20"/>
                <w:color w:val="auto"/>
              </w:rPr>
            </w:pPr>
            <w:r>
              <w:rPr>
                <w:rFonts w:ascii="Arial" w:cs="Arial" w:eastAsia="Arial" w:hAnsi="Arial"/>
                <w:sz w:val="18"/>
                <w:szCs w:val="18"/>
                <w:color w:val="auto"/>
              </w:rPr>
              <w:t>1</w:t>
            </w:r>
          </w:p>
        </w:tc>
        <w:tc>
          <w:tcPr>
            <w:tcW w:w="240" w:type="dxa"/>
            <w:vAlign w:val="bottom"/>
            <w:shd w:val="clear" w:color="auto" w:fill="CCEEFF"/>
          </w:tcPr>
          <w:p>
            <w:pPr>
              <w:spacing w:after="0"/>
              <w:rPr>
                <w:sz w:val="18"/>
                <w:szCs w:val="18"/>
                <w:color w:val="auto"/>
              </w:rPr>
            </w:pPr>
          </w:p>
        </w:tc>
        <w:tc>
          <w:tcPr>
            <w:tcW w:w="2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AAA/AA/A</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28,950.2</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30,335.2</w:t>
            </w:r>
          </w:p>
        </w:tc>
        <w:tc>
          <w:tcPr>
            <w:tcW w:w="138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 xml:space="preserve">64% </w:t>
            </w: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28,364.4</w:t>
            </w:r>
          </w:p>
        </w:tc>
        <w:tc>
          <w:tcPr>
            <w:tcW w:w="3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30,140.6</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00" w:type="dxa"/>
            <w:vAlign w:val="bottom"/>
          </w:tcPr>
          <w:p>
            <w:pPr>
              <w:spacing w:after="0"/>
              <w:rPr>
                <w:sz w:val="20"/>
                <w:szCs w:val="20"/>
                <w:color w:val="auto"/>
              </w:rPr>
            </w:pPr>
            <w:r>
              <w:rPr>
                <w:rFonts w:ascii="Arial" w:cs="Arial" w:eastAsia="Arial" w:hAnsi="Arial"/>
                <w:sz w:val="18"/>
                <w:szCs w:val="18"/>
                <w:color w:val="auto"/>
              </w:rPr>
              <w:t>2</w:t>
            </w:r>
          </w:p>
        </w:tc>
        <w:tc>
          <w:tcPr>
            <w:tcW w:w="240" w:type="dxa"/>
            <w:vAlign w:val="bottom"/>
          </w:tcPr>
          <w:p>
            <w:pPr>
              <w:spacing w:after="0"/>
              <w:rPr>
                <w:sz w:val="18"/>
                <w:szCs w:val="18"/>
                <w:color w:val="auto"/>
              </w:rPr>
            </w:pPr>
          </w:p>
        </w:tc>
        <w:tc>
          <w:tcPr>
            <w:tcW w:w="2520" w:type="dxa"/>
            <w:vAlign w:val="bottom"/>
            <w:gridSpan w:val="2"/>
          </w:tcPr>
          <w:p>
            <w:pPr>
              <w:spacing w:after="0"/>
              <w:rPr>
                <w:sz w:val="20"/>
                <w:szCs w:val="20"/>
                <w:color w:val="auto"/>
              </w:rPr>
            </w:pPr>
            <w:r>
              <w:rPr>
                <w:rFonts w:ascii="Arial" w:cs="Arial" w:eastAsia="Arial" w:hAnsi="Arial"/>
                <w:sz w:val="18"/>
                <w:szCs w:val="18"/>
                <w:color w:val="auto"/>
              </w:rPr>
              <w:t>BBB</w:t>
            </w:r>
          </w:p>
        </w:tc>
        <w:tc>
          <w:tcPr>
            <w:tcW w:w="14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12,592.8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13,088.9</w:t>
            </w:r>
          </w:p>
        </w:tc>
        <w:tc>
          <w:tcPr>
            <w:tcW w:w="126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28</w:t>
            </w:r>
          </w:p>
        </w:tc>
        <w:tc>
          <w:tcPr>
            <w:tcW w:w="12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12,291.8</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13,184.7</w:t>
            </w:r>
          </w:p>
        </w:tc>
        <w:tc>
          <w:tcPr>
            <w:tcW w:w="1180" w:type="dxa"/>
            <w:vAlign w:val="bottom"/>
            <w:gridSpan w:val="2"/>
          </w:tcPr>
          <w:p>
            <w:pPr>
              <w:jc w:val="right"/>
              <w:ind w:right="7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00" w:type="dxa"/>
            <w:vAlign w:val="bottom"/>
            <w:shd w:val="clear" w:color="auto" w:fill="CCEEFF"/>
          </w:tcPr>
          <w:p>
            <w:pPr>
              <w:spacing w:after="0"/>
              <w:rPr>
                <w:sz w:val="20"/>
                <w:szCs w:val="20"/>
                <w:color w:val="auto"/>
              </w:rPr>
            </w:pPr>
            <w:r>
              <w:rPr>
                <w:rFonts w:ascii="Arial" w:cs="Arial" w:eastAsia="Arial" w:hAnsi="Arial"/>
                <w:sz w:val="18"/>
                <w:szCs w:val="18"/>
                <w:color w:val="auto"/>
              </w:rPr>
              <w:t>3</w:t>
            </w:r>
          </w:p>
        </w:tc>
        <w:tc>
          <w:tcPr>
            <w:tcW w:w="240" w:type="dxa"/>
            <w:vAlign w:val="bottom"/>
            <w:shd w:val="clear" w:color="auto" w:fill="CCEEFF"/>
          </w:tcPr>
          <w:p>
            <w:pPr>
              <w:spacing w:after="0"/>
              <w:rPr>
                <w:sz w:val="18"/>
                <w:szCs w:val="18"/>
                <w:color w:val="auto"/>
              </w:rPr>
            </w:pPr>
          </w:p>
        </w:tc>
        <w:tc>
          <w:tcPr>
            <w:tcW w:w="2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BB</w:t>
            </w: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2,895.2</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2,826.6</w:t>
            </w:r>
          </w:p>
        </w:tc>
        <w:tc>
          <w:tcPr>
            <w:tcW w:w="12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7</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2,902.0</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2,879.3</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00" w:type="dxa"/>
            <w:vAlign w:val="bottom"/>
          </w:tcPr>
          <w:p>
            <w:pPr>
              <w:spacing w:after="0"/>
              <w:rPr>
                <w:sz w:val="20"/>
                <w:szCs w:val="20"/>
                <w:color w:val="auto"/>
              </w:rPr>
            </w:pPr>
            <w:r>
              <w:rPr>
                <w:rFonts w:ascii="Arial" w:cs="Arial" w:eastAsia="Arial" w:hAnsi="Arial"/>
                <w:sz w:val="18"/>
                <w:szCs w:val="18"/>
                <w:color w:val="auto"/>
              </w:rPr>
              <w:t>4</w:t>
            </w:r>
          </w:p>
        </w:tc>
        <w:tc>
          <w:tcPr>
            <w:tcW w:w="240" w:type="dxa"/>
            <w:vAlign w:val="bottom"/>
          </w:tcPr>
          <w:p>
            <w:pPr>
              <w:spacing w:after="0"/>
              <w:rPr>
                <w:sz w:val="18"/>
                <w:szCs w:val="18"/>
                <w:color w:val="auto"/>
              </w:rPr>
            </w:pPr>
          </w:p>
        </w:tc>
        <w:tc>
          <w:tcPr>
            <w:tcW w:w="2520" w:type="dxa"/>
            <w:vAlign w:val="bottom"/>
            <w:gridSpan w:val="2"/>
          </w:tcPr>
          <w:p>
            <w:pPr>
              <w:spacing w:after="0"/>
              <w:rPr>
                <w:sz w:val="20"/>
                <w:szCs w:val="20"/>
                <w:color w:val="auto"/>
              </w:rPr>
            </w:pPr>
            <w:r>
              <w:rPr>
                <w:rFonts w:ascii="Arial" w:cs="Arial" w:eastAsia="Arial" w:hAnsi="Arial"/>
                <w:sz w:val="18"/>
                <w:szCs w:val="18"/>
                <w:color w:val="auto"/>
              </w:rPr>
              <w:t>B</w:t>
            </w:r>
          </w:p>
        </w:tc>
        <w:tc>
          <w:tcPr>
            <w:tcW w:w="14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642.5</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583.7</w:t>
            </w:r>
          </w:p>
        </w:tc>
        <w:tc>
          <w:tcPr>
            <w:tcW w:w="126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1</w:t>
            </w:r>
          </w:p>
        </w:tc>
        <w:tc>
          <w:tcPr>
            <w:tcW w:w="12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659.1</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637.3</w:t>
            </w:r>
          </w:p>
        </w:tc>
        <w:tc>
          <w:tcPr>
            <w:tcW w:w="220" w:type="dxa"/>
            <w:vAlign w:val="bottom"/>
          </w:tcPr>
          <w:p>
            <w:pPr>
              <w:spacing w:after="0"/>
              <w:rPr>
                <w:sz w:val="18"/>
                <w:szCs w:val="18"/>
                <w:color w:val="auto"/>
              </w:rPr>
            </w:pPr>
          </w:p>
        </w:tc>
        <w:tc>
          <w:tcPr>
            <w:tcW w:w="1180" w:type="dxa"/>
            <w:vAlign w:val="bottom"/>
            <w:gridSpan w:val="2"/>
          </w:tcPr>
          <w:p>
            <w:pPr>
              <w:jc w:val="right"/>
              <w:ind w:right="7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00" w:type="dxa"/>
            <w:vAlign w:val="bottom"/>
            <w:shd w:val="clear" w:color="auto" w:fill="CCEEFF"/>
          </w:tcPr>
          <w:p>
            <w:pPr>
              <w:spacing w:after="0"/>
              <w:rPr>
                <w:sz w:val="20"/>
                <w:szCs w:val="20"/>
                <w:color w:val="auto"/>
              </w:rPr>
            </w:pPr>
            <w:r>
              <w:rPr>
                <w:rFonts w:ascii="Arial" w:cs="Arial" w:eastAsia="Arial" w:hAnsi="Arial"/>
                <w:sz w:val="18"/>
                <w:szCs w:val="18"/>
                <w:color w:val="auto"/>
              </w:rPr>
              <w:t>5</w:t>
            </w:r>
          </w:p>
        </w:tc>
        <w:tc>
          <w:tcPr>
            <w:tcW w:w="240" w:type="dxa"/>
            <w:vAlign w:val="bottom"/>
            <w:shd w:val="clear" w:color="auto" w:fill="CCEEFF"/>
          </w:tcPr>
          <w:p>
            <w:pPr>
              <w:spacing w:after="0"/>
              <w:rPr>
                <w:sz w:val="18"/>
                <w:szCs w:val="18"/>
                <w:color w:val="auto"/>
              </w:rPr>
            </w:pPr>
          </w:p>
        </w:tc>
        <w:tc>
          <w:tcPr>
            <w:tcW w:w="2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CCC and lower</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150.9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124.5</w:t>
            </w:r>
          </w:p>
        </w:tc>
        <w:tc>
          <w:tcPr>
            <w:tcW w:w="1380" w:type="dxa"/>
            <w:vAlign w:val="bottom"/>
            <w:gridSpan w:val="3"/>
            <w:shd w:val="clear" w:color="auto" w:fill="CCEEFF"/>
          </w:tcPr>
          <w:p>
            <w:pPr>
              <w:jc w:val="right"/>
              <w:ind w:right="265"/>
              <w:spacing w:after="0"/>
              <w:rPr>
                <w:sz w:val="20"/>
                <w:szCs w:val="20"/>
                <w:color w:val="auto"/>
              </w:rPr>
            </w:pPr>
            <w:r>
              <w:rPr>
                <w:rFonts w:ascii="Arial" w:cs="Arial" w:eastAsia="Arial" w:hAnsi="Arial"/>
                <w:sz w:val="18"/>
                <w:szCs w:val="18"/>
                <w:b w:val="1"/>
                <w:bCs w:val="1"/>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147.8</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120.0</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00" w:type="dxa"/>
            <w:vAlign w:val="bottom"/>
          </w:tcPr>
          <w:p>
            <w:pPr>
              <w:spacing w:after="0"/>
              <w:rPr>
                <w:sz w:val="20"/>
                <w:szCs w:val="20"/>
                <w:color w:val="auto"/>
              </w:rPr>
            </w:pPr>
            <w:r>
              <w:rPr>
                <w:rFonts w:ascii="Arial" w:cs="Arial" w:eastAsia="Arial" w:hAnsi="Arial"/>
                <w:sz w:val="18"/>
                <w:szCs w:val="18"/>
                <w:color w:val="auto"/>
              </w:rPr>
              <w:t>6</w:t>
            </w:r>
          </w:p>
        </w:tc>
        <w:tc>
          <w:tcPr>
            <w:tcW w:w="240" w:type="dxa"/>
            <w:vAlign w:val="bottom"/>
          </w:tcPr>
          <w:p>
            <w:pPr>
              <w:spacing w:after="0"/>
              <w:rPr>
                <w:sz w:val="18"/>
                <w:szCs w:val="18"/>
                <w:color w:val="auto"/>
              </w:rPr>
            </w:pPr>
          </w:p>
        </w:tc>
        <w:tc>
          <w:tcPr>
            <w:tcW w:w="2520" w:type="dxa"/>
            <w:vAlign w:val="bottom"/>
            <w:gridSpan w:val="2"/>
          </w:tcPr>
          <w:p>
            <w:pPr>
              <w:spacing w:after="0"/>
              <w:rPr>
                <w:sz w:val="20"/>
                <w:szCs w:val="20"/>
                <w:color w:val="auto"/>
              </w:rPr>
            </w:pPr>
            <w:r>
              <w:rPr>
                <w:rFonts w:ascii="Arial" w:cs="Arial" w:eastAsia="Arial" w:hAnsi="Arial"/>
                <w:sz w:val="18"/>
                <w:szCs w:val="18"/>
                <w:color w:val="auto"/>
              </w:rPr>
              <w:t>In or near default</w:t>
            </w:r>
          </w:p>
        </w:tc>
        <w:tc>
          <w:tcPr>
            <w:tcW w:w="14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87.8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76.7</w:t>
            </w:r>
          </w:p>
        </w:tc>
        <w:tc>
          <w:tcPr>
            <w:tcW w:w="1380" w:type="dxa"/>
            <w:vAlign w:val="bottom"/>
            <w:gridSpan w:val="3"/>
          </w:tcPr>
          <w:p>
            <w:pPr>
              <w:jc w:val="right"/>
              <w:ind w:right="265"/>
              <w:spacing w:after="0"/>
              <w:rPr>
                <w:sz w:val="20"/>
                <w:szCs w:val="20"/>
                <w:color w:val="auto"/>
              </w:rPr>
            </w:pPr>
            <w:r>
              <w:rPr>
                <w:rFonts w:ascii="Arial" w:cs="Arial" w:eastAsia="Arial" w:hAnsi="Arial"/>
                <w:sz w:val="18"/>
                <w:szCs w:val="18"/>
                <w:b w:val="1"/>
                <w:bCs w:val="1"/>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74.7</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66.2</w:t>
            </w:r>
          </w:p>
        </w:tc>
        <w:tc>
          <w:tcPr>
            <w:tcW w:w="118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10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CCEEFF"/>
              <w:bottom w:val="single" w:sz="8" w:color="CCEEFF"/>
            </w:tcBorders>
            <w:shd w:val="clear" w:color="auto" w:fill="CCEEFF"/>
          </w:tcPr>
          <w:p>
            <w:pPr>
              <w:spacing w:after="0"/>
              <w:rPr>
                <w:sz w:val="19"/>
                <w:szCs w:val="19"/>
                <w:color w:val="auto"/>
              </w:rPr>
            </w:pPr>
          </w:p>
        </w:tc>
        <w:tc>
          <w:tcPr>
            <w:tcW w:w="252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fixed maturities</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45,319.4</w:t>
            </w: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47,035.6</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22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44,439.</w:t>
            </w:r>
            <w:r>
              <w:rPr>
                <w:rFonts w:ascii="Arial" w:cs="Arial" w:eastAsia="Arial" w:hAnsi="Arial"/>
                <w:sz w:val="18"/>
                <w:szCs w:val="18"/>
                <w:u w:val="single" w:color="auto"/>
                <w:color w:val="auto"/>
              </w:rPr>
              <w:t>8</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47,028.1</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20" w:firstLine="648"/>
        <w:spacing w:after="0" w:line="302" w:lineRule="auto"/>
        <w:rPr>
          <w:sz w:val="20"/>
          <w:szCs w:val="20"/>
          <w:color w:val="auto"/>
        </w:rPr>
      </w:pPr>
      <w:r>
        <w:rPr>
          <w:rFonts w:ascii="Arial" w:cs="Arial" w:eastAsia="Arial" w:hAnsi="Arial"/>
          <w:sz w:val="16"/>
          <w:szCs w:val="16"/>
          <w:color w:val="auto"/>
        </w:rPr>
        <w:t>Fixed maturities include 73 securities with an amortized cost of $713.1 million, gross gains of $5.5 million, gross losses of $9.3 million and a carrying amount of $709.3 million as of September 30, 2015, that are still pending a review and assignment of a rating by the SVO. Due to the timing of when fixed maturities are purchased, legal documents are filed and the review by the SVO is completed, there will always be securities in our portfolio that are unrated over a reporting period. In these instances, an equivalent rating is assigned based on our fixed income analyst’s assessment.</w:t>
      </w:r>
    </w:p>
    <w:p>
      <w:pPr>
        <w:spacing w:after="0" w:line="154" w:lineRule="exact"/>
        <w:rPr>
          <w:sz w:val="20"/>
          <w:szCs w:val="20"/>
          <w:color w:val="auto"/>
        </w:rPr>
      </w:pPr>
    </w:p>
    <w:p>
      <w:pPr>
        <w:ind w:right="380" w:firstLine="648"/>
        <w:spacing w:after="0" w:line="277" w:lineRule="auto"/>
        <w:rPr>
          <w:sz w:val="20"/>
          <w:szCs w:val="20"/>
          <w:color w:val="auto"/>
        </w:rPr>
      </w:pPr>
      <w:r>
        <w:rPr>
          <w:rFonts w:ascii="Arial" w:cs="Arial" w:eastAsia="Arial" w:hAnsi="Arial"/>
          <w:sz w:val="18"/>
          <w:szCs w:val="18"/>
          <w:b w:val="1"/>
          <w:bCs w:val="1"/>
          <w:i w:val="1"/>
          <w:iCs w:val="1"/>
          <w:color w:val="auto"/>
        </w:rPr>
        <w:t xml:space="preserve">Commercial Mortgage-Backed Securities. </w:t>
      </w:r>
      <w:r>
        <w:rPr>
          <w:rFonts w:ascii="Arial" w:cs="Arial" w:eastAsia="Arial" w:hAnsi="Arial"/>
          <w:sz w:val="18"/>
          <w:szCs w:val="18"/>
          <w:color w:val="auto"/>
        </w:rPr>
        <w:t>As of September 30, 2015, based on amortized cost, 60% of our CMBS portfolio had ratings of A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higher and 48% was issued prior to 2005 and after 2008.</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The following tables present our exposure by credit quality, based on the lowest NRSRO designation, and year of issuance (“vintage”) for our CMBS portfolio as of the periods indicated.</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122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580" w:type="dxa"/>
            <w:vAlign w:val="bottom"/>
            <w:tcBorders>
              <w:bottom w:val="single" w:sz="8" w:color="auto"/>
            </w:tcBorders>
            <w:gridSpan w:val="6"/>
          </w:tcPr>
          <w:p>
            <w:pPr>
              <w:jc w:val="right"/>
              <w:ind w:right="560"/>
              <w:spacing w:after="0"/>
              <w:rPr>
                <w:sz w:val="20"/>
                <w:szCs w:val="20"/>
                <w:color w:val="auto"/>
              </w:rPr>
            </w:pPr>
            <w:r>
              <w:rPr>
                <w:rFonts w:ascii="Arial" w:cs="Arial" w:eastAsia="Arial" w:hAnsi="Arial"/>
                <w:sz w:val="11"/>
                <w:szCs w:val="11"/>
                <w:b w:val="1"/>
                <w:bCs w:val="1"/>
                <w:color w:val="auto"/>
                <w:w w:val="97"/>
              </w:rPr>
              <w:t>September 30, 2015</w:t>
            </w:r>
          </w:p>
        </w:tc>
        <w:tc>
          <w:tcPr>
            <w:tcW w:w="10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r>
      <w:tr>
        <w:trPr>
          <w:trHeight w:val="115"/>
        </w:trPr>
        <w:tc>
          <w:tcPr>
            <w:tcW w:w="1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gridSpan w:val="3"/>
          </w:tcPr>
          <w:p>
            <w:pPr>
              <w:jc w:val="right"/>
              <w:ind w:right="11"/>
              <w:spacing w:after="0" w:line="115" w:lineRule="exact"/>
              <w:rPr>
                <w:sz w:val="20"/>
                <w:szCs w:val="20"/>
                <w:color w:val="auto"/>
              </w:rPr>
            </w:pPr>
            <w:r>
              <w:rPr>
                <w:rFonts w:ascii="Arial" w:cs="Arial" w:eastAsia="Arial" w:hAnsi="Arial"/>
                <w:sz w:val="11"/>
                <w:szCs w:val="11"/>
                <w:b w:val="1"/>
                <w:bCs w:val="1"/>
                <w:color w:val="auto"/>
              </w:rPr>
              <w:t>AAA</w:t>
            </w:r>
          </w:p>
        </w:tc>
        <w:tc>
          <w:tcPr>
            <w:tcW w:w="6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80" w:type="dxa"/>
            <w:vAlign w:val="bottom"/>
            <w:gridSpan w:val="2"/>
          </w:tcPr>
          <w:p>
            <w:pPr>
              <w:jc w:val="right"/>
              <w:ind w:right="71"/>
              <w:spacing w:after="0" w:line="115" w:lineRule="exact"/>
              <w:rPr>
                <w:sz w:val="20"/>
                <w:szCs w:val="20"/>
                <w:color w:val="auto"/>
              </w:rPr>
            </w:pPr>
            <w:r>
              <w:rPr>
                <w:rFonts w:ascii="Arial" w:cs="Arial" w:eastAsia="Arial" w:hAnsi="Arial"/>
                <w:sz w:val="11"/>
                <w:szCs w:val="11"/>
                <w:b w:val="1"/>
                <w:bCs w:val="1"/>
                <w:color w:val="auto"/>
                <w:w w:val="87"/>
              </w:rPr>
              <w:t>AA</w:t>
            </w: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0" w:type="dxa"/>
            <w:vAlign w:val="bottom"/>
            <w:gridSpan w:val="2"/>
          </w:tcPr>
          <w:p>
            <w:pPr>
              <w:jc w:val="right"/>
              <w:ind w:right="113"/>
              <w:spacing w:after="0" w:line="115" w:lineRule="exact"/>
              <w:rPr>
                <w:sz w:val="20"/>
                <w:szCs w:val="20"/>
                <w:color w:val="auto"/>
              </w:rPr>
            </w:pPr>
            <w:r>
              <w:rPr>
                <w:rFonts w:ascii="Arial" w:cs="Arial" w:eastAsia="Arial" w:hAnsi="Arial"/>
                <w:sz w:val="11"/>
                <w:szCs w:val="11"/>
                <w:b w:val="1"/>
                <w:bCs w:val="1"/>
                <w:color w:val="auto"/>
              </w:rPr>
              <w:t>A</w:t>
            </w: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60" w:type="dxa"/>
            <w:vAlign w:val="bottom"/>
            <w:gridSpan w:val="3"/>
          </w:tcPr>
          <w:p>
            <w:pPr>
              <w:jc w:val="right"/>
              <w:ind w:right="11"/>
              <w:spacing w:after="0" w:line="115" w:lineRule="exact"/>
              <w:rPr>
                <w:sz w:val="20"/>
                <w:szCs w:val="20"/>
                <w:color w:val="auto"/>
              </w:rPr>
            </w:pPr>
            <w:r>
              <w:rPr>
                <w:rFonts w:ascii="Arial" w:cs="Arial" w:eastAsia="Arial" w:hAnsi="Arial"/>
                <w:sz w:val="11"/>
                <w:szCs w:val="11"/>
                <w:b w:val="1"/>
                <w:bCs w:val="1"/>
                <w:color w:val="auto"/>
              </w:rPr>
              <w:t>BBB</w:t>
            </w: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0" w:type="dxa"/>
            <w:vAlign w:val="bottom"/>
            <w:gridSpan w:val="6"/>
          </w:tcPr>
          <w:p>
            <w:pPr>
              <w:ind w:left="320"/>
              <w:spacing w:after="0" w:line="115" w:lineRule="exact"/>
              <w:rPr>
                <w:sz w:val="20"/>
                <w:szCs w:val="20"/>
                <w:color w:val="auto"/>
              </w:rPr>
            </w:pPr>
            <w:r>
              <w:rPr>
                <w:rFonts w:ascii="Arial" w:cs="Arial" w:eastAsia="Arial" w:hAnsi="Arial"/>
                <w:sz w:val="11"/>
                <w:szCs w:val="11"/>
                <w:b w:val="1"/>
                <w:bCs w:val="1"/>
                <w:color w:val="auto"/>
              </w:rPr>
              <w:t>BB+ and Below</w:t>
            </w:r>
          </w:p>
        </w:tc>
        <w:tc>
          <w:tcPr>
            <w:tcW w:w="80" w:type="dxa"/>
            <w:vAlign w:val="bottom"/>
          </w:tcPr>
          <w:p>
            <w:pPr>
              <w:spacing w:after="0"/>
              <w:rPr>
                <w:sz w:val="10"/>
                <w:szCs w:val="10"/>
                <w:color w:val="auto"/>
              </w:rPr>
            </w:pPr>
          </w:p>
        </w:tc>
        <w:tc>
          <w:tcPr>
            <w:tcW w:w="840" w:type="dxa"/>
            <w:vAlign w:val="bottom"/>
            <w:gridSpan w:val="4"/>
          </w:tcPr>
          <w:p>
            <w:pPr>
              <w:jc w:val="right"/>
              <w:ind w:right="13"/>
              <w:spacing w:after="0" w:line="115" w:lineRule="exact"/>
              <w:rPr>
                <w:sz w:val="20"/>
                <w:szCs w:val="20"/>
                <w:color w:val="auto"/>
              </w:rPr>
            </w:pPr>
            <w:r>
              <w:rPr>
                <w:rFonts w:ascii="Arial" w:cs="Arial" w:eastAsia="Arial" w:hAnsi="Arial"/>
                <w:sz w:val="11"/>
                <w:szCs w:val="11"/>
                <w:b w:val="1"/>
                <w:bCs w:val="1"/>
                <w:color w:val="auto"/>
              </w:rPr>
              <w:t>Total</w:t>
            </w: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r>
      <w:tr>
        <w:trPr>
          <w:trHeight w:val="101"/>
        </w:trPr>
        <w:tc>
          <w:tcPr>
            <w:tcW w:w="122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800" w:type="dxa"/>
            <w:vAlign w:val="bottom"/>
            <w:tcBorders>
              <w:top w:val="single" w:sz="8" w:color="auto"/>
            </w:tcBorders>
            <w:gridSpan w:val="2"/>
          </w:tcPr>
          <w:p>
            <w:pPr>
              <w:jc w:val="right"/>
              <w:ind w:right="280"/>
              <w:spacing w:after="0" w:line="102" w:lineRule="exact"/>
              <w:rPr>
                <w:sz w:val="20"/>
                <w:szCs w:val="20"/>
                <w:color w:val="auto"/>
              </w:rPr>
            </w:pPr>
            <w:r>
              <w:rPr>
                <w:rFonts w:ascii="Arial" w:cs="Arial" w:eastAsia="Arial" w:hAnsi="Arial"/>
                <w:sz w:val="11"/>
                <w:szCs w:val="11"/>
                <w:b w:val="1"/>
                <w:bCs w:val="1"/>
                <w:color w:val="auto"/>
                <w:w w:val="92"/>
              </w:rPr>
              <w:t>Amortized</w:t>
            </w:r>
          </w:p>
        </w:tc>
        <w:tc>
          <w:tcPr>
            <w:tcW w:w="10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jc w:val="right"/>
              <w:ind w:right="86"/>
              <w:spacing w:after="0" w:line="102" w:lineRule="exact"/>
              <w:rPr>
                <w:sz w:val="20"/>
                <w:szCs w:val="20"/>
                <w:color w:val="auto"/>
              </w:rPr>
            </w:pPr>
            <w:r>
              <w:rPr>
                <w:rFonts w:ascii="Arial" w:cs="Arial" w:eastAsia="Arial" w:hAnsi="Arial"/>
                <w:sz w:val="11"/>
                <w:szCs w:val="11"/>
                <w:b w:val="1"/>
                <w:bCs w:val="1"/>
                <w:color w:val="auto"/>
                <w:w w:val="97"/>
              </w:rPr>
              <w:t>Carrying</w:t>
            </w:r>
          </w:p>
        </w:tc>
        <w:tc>
          <w:tcPr>
            <w:tcW w:w="18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620" w:type="dxa"/>
            <w:vAlign w:val="bottom"/>
            <w:tcBorders>
              <w:top w:val="single" w:sz="8" w:color="auto"/>
            </w:tcBorders>
          </w:tcPr>
          <w:p>
            <w:pPr>
              <w:jc w:val="right"/>
              <w:ind w:right="46"/>
              <w:spacing w:after="0" w:line="102" w:lineRule="exact"/>
              <w:rPr>
                <w:sz w:val="20"/>
                <w:szCs w:val="20"/>
                <w:color w:val="auto"/>
              </w:rPr>
            </w:pPr>
            <w:r>
              <w:rPr>
                <w:rFonts w:ascii="Arial" w:cs="Arial" w:eastAsia="Arial" w:hAnsi="Arial"/>
                <w:sz w:val="11"/>
                <w:szCs w:val="11"/>
                <w:b w:val="1"/>
                <w:bCs w:val="1"/>
                <w:color w:val="auto"/>
                <w:w w:val="92"/>
              </w:rPr>
              <w:t>Amortized</w:t>
            </w:r>
          </w:p>
        </w:tc>
        <w:tc>
          <w:tcPr>
            <w:tcW w:w="18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jc w:val="center"/>
              <w:ind w:right="46"/>
              <w:spacing w:after="0" w:line="102" w:lineRule="exact"/>
              <w:rPr>
                <w:sz w:val="20"/>
                <w:szCs w:val="20"/>
                <w:color w:val="auto"/>
              </w:rPr>
            </w:pPr>
            <w:r>
              <w:rPr>
                <w:rFonts w:ascii="Arial" w:cs="Arial" w:eastAsia="Arial" w:hAnsi="Arial"/>
                <w:sz w:val="11"/>
                <w:szCs w:val="11"/>
                <w:b w:val="1"/>
                <w:bCs w:val="1"/>
                <w:color w:val="auto"/>
                <w:w w:val="92"/>
              </w:rPr>
              <w:t>Carrying</w:t>
            </w: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640" w:type="dxa"/>
            <w:vAlign w:val="bottom"/>
            <w:tcBorders>
              <w:top w:val="single" w:sz="8" w:color="auto"/>
            </w:tcBorders>
            <w:gridSpan w:val="2"/>
          </w:tcPr>
          <w:p>
            <w:pPr>
              <w:jc w:val="center"/>
              <w:ind w:right="100"/>
              <w:spacing w:after="0" w:line="102" w:lineRule="exact"/>
              <w:rPr>
                <w:sz w:val="20"/>
                <w:szCs w:val="20"/>
                <w:color w:val="auto"/>
              </w:rPr>
            </w:pPr>
            <w:r>
              <w:rPr>
                <w:rFonts w:ascii="Arial" w:cs="Arial" w:eastAsia="Arial" w:hAnsi="Arial"/>
                <w:sz w:val="11"/>
                <w:szCs w:val="11"/>
                <w:b w:val="1"/>
                <w:bCs w:val="1"/>
                <w:color w:val="auto"/>
                <w:w w:val="92"/>
              </w:rPr>
              <w:t>Amortized</w:t>
            </w:r>
          </w:p>
        </w:tc>
        <w:tc>
          <w:tcPr>
            <w:tcW w:w="16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580" w:type="dxa"/>
            <w:vAlign w:val="bottom"/>
            <w:tcBorders>
              <w:top w:val="single" w:sz="8" w:color="auto"/>
            </w:tcBorders>
          </w:tcPr>
          <w:p>
            <w:pPr>
              <w:jc w:val="right"/>
              <w:ind w:right="66"/>
              <w:spacing w:after="0" w:line="102" w:lineRule="exact"/>
              <w:rPr>
                <w:sz w:val="20"/>
                <w:szCs w:val="20"/>
                <w:color w:val="auto"/>
              </w:rPr>
            </w:pPr>
            <w:r>
              <w:rPr>
                <w:rFonts w:ascii="Arial" w:cs="Arial" w:eastAsia="Arial" w:hAnsi="Arial"/>
                <w:sz w:val="11"/>
                <w:szCs w:val="11"/>
                <w:b w:val="1"/>
                <w:bCs w:val="1"/>
                <w:color w:val="auto"/>
                <w:w w:val="97"/>
              </w:rPr>
              <w:t>Carrying</w:t>
            </w: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760" w:type="dxa"/>
            <w:vAlign w:val="bottom"/>
            <w:tcBorders>
              <w:top w:val="single" w:sz="8" w:color="auto"/>
            </w:tcBorders>
            <w:gridSpan w:val="2"/>
          </w:tcPr>
          <w:p>
            <w:pPr>
              <w:jc w:val="right"/>
              <w:ind w:right="240"/>
              <w:spacing w:after="0" w:line="102" w:lineRule="exact"/>
              <w:rPr>
                <w:sz w:val="20"/>
                <w:szCs w:val="20"/>
                <w:color w:val="auto"/>
              </w:rPr>
            </w:pPr>
            <w:r>
              <w:rPr>
                <w:rFonts w:ascii="Arial" w:cs="Arial" w:eastAsia="Arial" w:hAnsi="Arial"/>
                <w:sz w:val="11"/>
                <w:szCs w:val="11"/>
                <w:b w:val="1"/>
                <w:bCs w:val="1"/>
                <w:color w:val="auto"/>
                <w:w w:val="92"/>
              </w:rPr>
              <w:t>Amortized</w:t>
            </w:r>
          </w:p>
        </w:tc>
        <w:tc>
          <w:tcPr>
            <w:tcW w:w="100" w:type="dxa"/>
            <w:vAlign w:val="bottom"/>
            <w:tcBorders>
              <w:top w:val="single" w:sz="8" w:color="auto"/>
            </w:tcBorders>
          </w:tcPr>
          <w:p>
            <w:pPr>
              <w:spacing w:after="0"/>
              <w:rPr>
                <w:sz w:val="8"/>
                <w:szCs w:val="8"/>
                <w:color w:val="auto"/>
              </w:rPr>
            </w:pPr>
          </w:p>
        </w:tc>
        <w:tc>
          <w:tcPr>
            <w:tcW w:w="580" w:type="dxa"/>
            <w:vAlign w:val="bottom"/>
            <w:tcBorders>
              <w:top w:val="single" w:sz="8" w:color="auto"/>
            </w:tcBorders>
          </w:tcPr>
          <w:p>
            <w:pPr>
              <w:jc w:val="right"/>
              <w:ind w:right="66"/>
              <w:spacing w:after="0" w:line="102" w:lineRule="exact"/>
              <w:rPr>
                <w:sz w:val="20"/>
                <w:szCs w:val="20"/>
                <w:color w:val="auto"/>
              </w:rPr>
            </w:pPr>
            <w:r>
              <w:rPr>
                <w:rFonts w:ascii="Arial" w:cs="Arial" w:eastAsia="Arial" w:hAnsi="Arial"/>
                <w:sz w:val="11"/>
                <w:szCs w:val="11"/>
                <w:b w:val="1"/>
                <w:bCs w:val="1"/>
                <w:color w:val="auto"/>
                <w:w w:val="97"/>
              </w:rPr>
              <w:t>Carrying</w:t>
            </w:r>
          </w:p>
        </w:tc>
        <w:tc>
          <w:tcPr>
            <w:tcW w:w="16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680" w:type="dxa"/>
            <w:vAlign w:val="bottom"/>
            <w:tcBorders>
              <w:top w:val="single" w:sz="8" w:color="auto"/>
            </w:tcBorders>
            <w:gridSpan w:val="2"/>
          </w:tcPr>
          <w:p>
            <w:pPr>
              <w:jc w:val="right"/>
              <w:ind w:right="180"/>
              <w:spacing w:after="0" w:line="102" w:lineRule="exact"/>
              <w:rPr>
                <w:sz w:val="20"/>
                <w:szCs w:val="20"/>
                <w:color w:val="auto"/>
              </w:rPr>
            </w:pPr>
            <w:r>
              <w:rPr>
                <w:rFonts w:ascii="Arial" w:cs="Arial" w:eastAsia="Arial" w:hAnsi="Arial"/>
                <w:sz w:val="11"/>
                <w:szCs w:val="11"/>
                <w:b w:val="1"/>
                <w:bCs w:val="1"/>
                <w:color w:val="auto"/>
                <w:w w:val="89"/>
              </w:rPr>
              <w:t>Amortized</w:t>
            </w:r>
          </w:p>
        </w:tc>
        <w:tc>
          <w:tcPr>
            <w:tcW w:w="8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580" w:type="dxa"/>
            <w:vAlign w:val="bottom"/>
            <w:tcBorders>
              <w:top w:val="single" w:sz="8" w:color="auto"/>
            </w:tcBorders>
          </w:tcPr>
          <w:p>
            <w:pPr>
              <w:jc w:val="center"/>
              <w:ind w:right="46"/>
              <w:spacing w:after="0" w:line="102" w:lineRule="exact"/>
              <w:rPr>
                <w:sz w:val="20"/>
                <w:szCs w:val="20"/>
                <w:color w:val="auto"/>
              </w:rPr>
            </w:pPr>
            <w:r>
              <w:rPr>
                <w:rFonts w:ascii="Arial" w:cs="Arial" w:eastAsia="Arial" w:hAnsi="Arial"/>
                <w:sz w:val="11"/>
                <w:szCs w:val="11"/>
                <w:b w:val="1"/>
                <w:bCs w:val="1"/>
                <w:color w:val="auto"/>
                <w:w w:val="97"/>
              </w:rPr>
              <w:t>Carrying</w:t>
            </w:r>
          </w:p>
        </w:tc>
        <w:tc>
          <w:tcPr>
            <w:tcW w:w="16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760" w:type="dxa"/>
            <w:vAlign w:val="bottom"/>
            <w:tcBorders>
              <w:top w:val="single" w:sz="8" w:color="auto"/>
            </w:tcBorders>
            <w:gridSpan w:val="2"/>
          </w:tcPr>
          <w:p>
            <w:pPr>
              <w:jc w:val="center"/>
              <w:ind w:right="240"/>
              <w:spacing w:after="0" w:line="102" w:lineRule="exact"/>
              <w:rPr>
                <w:sz w:val="20"/>
                <w:szCs w:val="20"/>
                <w:color w:val="auto"/>
              </w:rPr>
            </w:pPr>
            <w:r>
              <w:rPr>
                <w:rFonts w:ascii="Arial" w:cs="Arial" w:eastAsia="Arial" w:hAnsi="Arial"/>
                <w:sz w:val="11"/>
                <w:szCs w:val="11"/>
                <w:b w:val="1"/>
                <w:bCs w:val="1"/>
                <w:color w:val="auto"/>
                <w:w w:val="89"/>
              </w:rPr>
              <w:t>Amortized</w:t>
            </w:r>
          </w:p>
        </w:tc>
        <w:tc>
          <w:tcPr>
            <w:tcW w:w="2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jc w:val="center"/>
              <w:ind w:right="46"/>
              <w:spacing w:after="0" w:line="102" w:lineRule="exact"/>
              <w:rPr>
                <w:sz w:val="20"/>
                <w:szCs w:val="20"/>
                <w:color w:val="auto"/>
              </w:rPr>
            </w:pPr>
            <w:r>
              <w:rPr>
                <w:rFonts w:ascii="Arial" w:cs="Arial" w:eastAsia="Arial" w:hAnsi="Arial"/>
                <w:sz w:val="11"/>
                <w:szCs w:val="11"/>
                <w:b w:val="1"/>
                <w:bCs w:val="1"/>
                <w:color w:val="auto"/>
                <w:w w:val="92"/>
              </w:rPr>
              <w:t>Carrying</w:t>
            </w:r>
          </w:p>
        </w:tc>
        <w:tc>
          <w:tcPr>
            <w:tcW w:w="100" w:type="dxa"/>
            <w:vAlign w:val="bottom"/>
            <w:gridSpan w:val="2"/>
          </w:tcPr>
          <w:p>
            <w:pPr>
              <w:spacing w:after="0"/>
              <w:rPr>
                <w:sz w:val="8"/>
                <w:szCs w:val="8"/>
                <w:color w:val="auto"/>
              </w:rPr>
            </w:pPr>
          </w:p>
        </w:tc>
      </w:tr>
      <w:tr>
        <w:trPr>
          <w:trHeight w:val="135"/>
        </w:trPr>
        <w:tc>
          <w:tcPr>
            <w:tcW w:w="1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gridSpan w:val="2"/>
          </w:tcPr>
          <w:p>
            <w:pPr>
              <w:jc w:val="right"/>
              <w:ind w:right="440"/>
              <w:spacing w:after="0"/>
              <w:rPr>
                <w:sz w:val="20"/>
                <w:szCs w:val="20"/>
                <w:color w:val="auto"/>
              </w:rPr>
            </w:pPr>
            <w:r>
              <w:rPr>
                <w:rFonts w:ascii="Arial" w:cs="Arial" w:eastAsia="Arial" w:hAnsi="Arial"/>
                <w:sz w:val="11"/>
                <w:szCs w:val="11"/>
                <w:b w:val="1"/>
                <w:bCs w:val="1"/>
                <w:color w:val="auto"/>
              </w:rPr>
              <w:t>cost</w:t>
            </w:r>
          </w:p>
        </w:tc>
        <w:tc>
          <w:tcPr>
            <w:tcW w:w="100" w:type="dxa"/>
            <w:vAlign w:val="bottom"/>
          </w:tcPr>
          <w:p>
            <w:pPr>
              <w:spacing w:after="0"/>
              <w:rPr>
                <w:sz w:val="11"/>
                <w:szCs w:val="11"/>
                <w:color w:val="auto"/>
              </w:rPr>
            </w:pPr>
          </w:p>
        </w:tc>
        <w:tc>
          <w:tcPr>
            <w:tcW w:w="780" w:type="dxa"/>
            <w:vAlign w:val="bottom"/>
            <w:gridSpan w:val="2"/>
          </w:tcPr>
          <w:p>
            <w:pPr>
              <w:jc w:val="right"/>
              <w:ind w:right="360"/>
              <w:spacing w:after="0"/>
              <w:rPr>
                <w:sz w:val="20"/>
                <w:szCs w:val="20"/>
                <w:color w:val="auto"/>
              </w:rPr>
            </w:pPr>
            <w:r>
              <w:rPr>
                <w:rFonts w:ascii="Arial" w:cs="Arial" w:eastAsia="Arial" w:hAnsi="Arial"/>
                <w:sz w:val="11"/>
                <w:szCs w:val="11"/>
                <w:b w:val="1"/>
                <w:bCs w:val="1"/>
                <w:color w:val="auto"/>
              </w:rPr>
              <w:t>amount</w:t>
            </w:r>
          </w:p>
        </w:tc>
        <w:tc>
          <w:tcPr>
            <w:tcW w:w="80" w:type="dxa"/>
            <w:vAlign w:val="bottom"/>
          </w:tcPr>
          <w:p>
            <w:pPr>
              <w:spacing w:after="0"/>
              <w:rPr>
                <w:sz w:val="11"/>
                <w:szCs w:val="11"/>
                <w:color w:val="auto"/>
              </w:rPr>
            </w:pPr>
          </w:p>
        </w:tc>
        <w:tc>
          <w:tcPr>
            <w:tcW w:w="620" w:type="dxa"/>
            <w:vAlign w:val="bottom"/>
          </w:tcPr>
          <w:p>
            <w:pPr>
              <w:jc w:val="right"/>
              <w:ind w:right="206"/>
              <w:spacing w:after="0"/>
              <w:rPr>
                <w:sz w:val="20"/>
                <w:szCs w:val="20"/>
                <w:color w:val="auto"/>
              </w:rPr>
            </w:pPr>
            <w:r>
              <w:rPr>
                <w:rFonts w:ascii="Arial" w:cs="Arial" w:eastAsia="Arial" w:hAnsi="Arial"/>
                <w:sz w:val="11"/>
                <w:szCs w:val="11"/>
                <w:b w:val="1"/>
                <w:bCs w:val="1"/>
                <w:color w:val="auto"/>
              </w:rPr>
              <w:t>cost</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center"/>
              <w:ind w:right="180"/>
              <w:spacing w:after="0"/>
              <w:rPr>
                <w:sz w:val="20"/>
                <w:szCs w:val="20"/>
                <w:color w:val="auto"/>
              </w:rPr>
            </w:pPr>
            <w:r>
              <w:rPr>
                <w:rFonts w:ascii="Arial" w:cs="Arial" w:eastAsia="Arial" w:hAnsi="Arial"/>
                <w:sz w:val="11"/>
                <w:szCs w:val="11"/>
                <w:b w:val="1"/>
                <w:bCs w:val="1"/>
                <w:color w:val="auto"/>
                <w:w w:val="85"/>
              </w:rPr>
              <w:t>amount</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79"/>
              </w:rPr>
              <w:t>cost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1"/>
                <w:szCs w:val="11"/>
                <w:b w:val="1"/>
                <w:bCs w:val="1"/>
                <w:color w:val="auto"/>
              </w:rPr>
              <w:t>amount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gridSpan w:val="2"/>
          </w:tcPr>
          <w:p>
            <w:pPr>
              <w:jc w:val="right"/>
              <w:ind w:right="400"/>
              <w:spacing w:after="0"/>
              <w:rPr>
                <w:sz w:val="20"/>
                <w:szCs w:val="20"/>
                <w:color w:val="auto"/>
              </w:rPr>
            </w:pPr>
            <w:r>
              <w:rPr>
                <w:rFonts w:ascii="Arial" w:cs="Arial" w:eastAsia="Arial" w:hAnsi="Arial"/>
                <w:sz w:val="11"/>
                <w:szCs w:val="11"/>
                <w:b w:val="1"/>
                <w:bCs w:val="1"/>
                <w:color w:val="auto"/>
              </w:rPr>
              <w:t>cost</w:t>
            </w:r>
          </w:p>
        </w:tc>
        <w:tc>
          <w:tcPr>
            <w:tcW w:w="100" w:type="dxa"/>
            <w:vAlign w:val="bottom"/>
          </w:tcPr>
          <w:p>
            <w:pPr>
              <w:spacing w:after="0"/>
              <w:rPr>
                <w:sz w:val="11"/>
                <w:szCs w:val="11"/>
                <w:color w:val="auto"/>
              </w:rPr>
            </w:pPr>
          </w:p>
        </w:tc>
        <w:tc>
          <w:tcPr>
            <w:tcW w:w="580" w:type="dxa"/>
            <w:vAlign w:val="bottom"/>
          </w:tcPr>
          <w:p>
            <w:pPr>
              <w:jc w:val="right"/>
              <w:ind w:right="106"/>
              <w:spacing w:after="0"/>
              <w:rPr>
                <w:sz w:val="20"/>
                <w:szCs w:val="20"/>
                <w:color w:val="auto"/>
              </w:rPr>
            </w:pPr>
            <w:r>
              <w:rPr>
                <w:rFonts w:ascii="Arial" w:cs="Arial" w:eastAsia="Arial" w:hAnsi="Arial"/>
                <w:sz w:val="11"/>
                <w:szCs w:val="11"/>
                <w:b w:val="1"/>
                <w:bCs w:val="1"/>
                <w:color w:val="auto"/>
              </w:rPr>
              <w:t>amount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320"/>
              <w:spacing w:after="0"/>
              <w:rPr>
                <w:sz w:val="20"/>
                <w:szCs w:val="20"/>
                <w:color w:val="auto"/>
              </w:rPr>
            </w:pPr>
            <w:r>
              <w:rPr>
                <w:rFonts w:ascii="Arial" w:cs="Arial" w:eastAsia="Arial" w:hAnsi="Arial"/>
                <w:sz w:val="11"/>
                <w:szCs w:val="11"/>
                <w:b w:val="1"/>
                <w:bCs w:val="1"/>
                <w:color w:val="auto"/>
              </w:rPr>
              <w:t>cost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90"/>
              </w:rPr>
              <w:t>amount</w:t>
            </w:r>
          </w:p>
        </w:tc>
        <w:tc>
          <w:tcPr>
            <w:tcW w:w="80" w:type="dxa"/>
            <w:vAlign w:val="bottom"/>
          </w:tcPr>
          <w:p>
            <w:pPr>
              <w:spacing w:after="0"/>
              <w:rPr>
                <w:sz w:val="11"/>
                <w:szCs w:val="11"/>
                <w:color w:val="auto"/>
              </w:rPr>
            </w:pPr>
          </w:p>
        </w:tc>
        <w:tc>
          <w:tcPr>
            <w:tcW w:w="76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79"/>
              </w:rPr>
              <w:t>cost</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3"/>
          </w:tcPr>
          <w:p>
            <w:pPr>
              <w:jc w:val="center"/>
              <w:ind w:right="180"/>
              <w:spacing w:after="0"/>
              <w:rPr>
                <w:sz w:val="20"/>
                <w:szCs w:val="20"/>
                <w:color w:val="auto"/>
              </w:rPr>
            </w:pPr>
            <w:r>
              <w:rPr>
                <w:rFonts w:ascii="Arial" w:cs="Arial" w:eastAsia="Arial" w:hAnsi="Arial"/>
                <w:sz w:val="11"/>
                <w:szCs w:val="11"/>
                <w:b w:val="1"/>
                <w:bCs w:val="1"/>
                <w:color w:val="auto"/>
                <w:w w:val="90"/>
              </w:rPr>
              <w:t>amount</w:t>
            </w:r>
          </w:p>
        </w:tc>
      </w:tr>
      <w:tr>
        <w:trPr>
          <w:trHeight w:val="115"/>
        </w:trPr>
        <w:tc>
          <w:tcPr>
            <w:tcW w:w="122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580" w:type="dxa"/>
            <w:vAlign w:val="bottom"/>
            <w:tcBorders>
              <w:top w:val="single" w:sz="8" w:color="auto"/>
            </w:tcBorders>
            <w:gridSpan w:val="6"/>
          </w:tcPr>
          <w:p>
            <w:pPr>
              <w:jc w:val="right"/>
              <w:ind w:right="740"/>
              <w:spacing w:after="0" w:line="115" w:lineRule="exact"/>
              <w:rPr>
                <w:sz w:val="20"/>
                <w:szCs w:val="20"/>
                <w:color w:val="auto"/>
              </w:rPr>
            </w:pPr>
            <w:r>
              <w:rPr>
                <w:rFonts w:ascii="Arial" w:cs="Arial" w:eastAsia="Arial" w:hAnsi="Arial"/>
                <w:sz w:val="11"/>
                <w:szCs w:val="11"/>
                <w:b w:val="1"/>
                <w:bCs w:val="1"/>
                <w:color w:val="auto"/>
              </w:rPr>
              <w:t>(in millions)</w:t>
            </w: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2003 &amp; Prior</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b w:val="1"/>
                <w:bCs w:val="1"/>
                <w:color w:val="auto"/>
              </w:rPr>
              <w:t>12.3</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13.2</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4.1</w:t>
            </w:r>
          </w:p>
        </w:tc>
        <w:tc>
          <w:tcPr>
            <w:tcW w:w="280" w:type="dxa"/>
            <w:vAlign w:val="bottom"/>
            <w:gridSpan w:val="2"/>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4.3</w:t>
            </w:r>
          </w:p>
        </w:tc>
        <w:tc>
          <w:tcPr>
            <w:tcW w:w="180" w:type="dxa"/>
            <w:vAlign w:val="bottom"/>
            <w:gridSpan w:val="2"/>
            <w:shd w:val="clear" w:color="auto" w:fill="CCEEFF"/>
          </w:tcPr>
          <w:p>
            <w:pPr>
              <w:jc w:val="right"/>
              <w:ind w:right="13"/>
              <w:spacing w:after="0" w:line="122" w:lineRule="exact"/>
              <w:rPr>
                <w:sz w:val="20"/>
                <w:szCs w:val="20"/>
                <w:color w:val="auto"/>
              </w:rPr>
            </w:pPr>
            <w:r>
              <w:rPr>
                <w:rFonts w:ascii="Arial" w:cs="Arial" w:eastAsia="Arial" w:hAnsi="Arial"/>
                <w:sz w:val="11"/>
                <w:szCs w:val="11"/>
                <w:color w:val="auto"/>
              </w:rPr>
              <w:t>$</w:t>
            </w: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4.3</w:t>
            </w:r>
          </w:p>
        </w:tc>
        <w:tc>
          <w:tcPr>
            <w:tcW w:w="240" w:type="dxa"/>
            <w:vAlign w:val="bottom"/>
            <w:gridSpan w:val="2"/>
            <w:shd w:val="clear" w:color="auto" w:fill="CCEEFF"/>
          </w:tcPr>
          <w:p>
            <w:pPr>
              <w:jc w:val="right"/>
              <w:ind w:right="13"/>
              <w:spacing w:after="0" w:line="122" w:lineRule="exact"/>
              <w:rPr>
                <w:sz w:val="20"/>
                <w:szCs w:val="20"/>
                <w:color w:val="auto"/>
              </w:rPr>
            </w:pPr>
            <w:r>
              <w:rPr>
                <w:rFonts w:ascii="Arial" w:cs="Arial" w:eastAsia="Arial" w:hAnsi="Arial"/>
                <w:sz w:val="11"/>
                <w:szCs w:val="11"/>
                <w:color w:val="auto"/>
              </w:rPr>
              <w:t>$</w:t>
            </w: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4.8</w:t>
            </w:r>
          </w:p>
        </w:tc>
        <w:tc>
          <w:tcPr>
            <w:tcW w:w="160" w:type="dxa"/>
            <w:vAlign w:val="bottom"/>
            <w:gridSpan w:val="2"/>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29.3</w:t>
            </w: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33.1</w:t>
            </w:r>
          </w:p>
        </w:tc>
        <w:tc>
          <w:tcPr>
            <w:tcW w:w="240" w:type="dxa"/>
            <w:vAlign w:val="bottom"/>
            <w:gridSpan w:val="2"/>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34.9</w:t>
            </w:r>
          </w:p>
        </w:tc>
        <w:tc>
          <w:tcPr>
            <w:tcW w:w="180" w:type="dxa"/>
            <w:vAlign w:val="bottom"/>
            <w:gridSpan w:val="2"/>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38.7</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84.9</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94.1</w:t>
            </w:r>
          </w:p>
        </w:tc>
        <w:tc>
          <w:tcPr>
            <w:tcW w:w="80" w:type="dxa"/>
            <w:vAlign w:val="bottom"/>
            <w:shd w:val="clear" w:color="auto" w:fill="CCEEFF"/>
          </w:tcPr>
          <w:p>
            <w:pPr>
              <w:spacing w:after="0"/>
              <w:rPr>
                <w:sz w:val="10"/>
                <w:szCs w:val="10"/>
                <w:color w:val="auto"/>
              </w:rPr>
            </w:pP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2004</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b w:val="1"/>
                <w:bCs w:val="1"/>
                <w:color w:val="auto"/>
              </w:rPr>
              <w:t>15.2</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15.6</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30.4</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30.9</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23.3</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24.9</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14.2</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15.1</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22.2</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22.2</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105.3</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108.7</w:t>
            </w:r>
          </w:p>
        </w:tc>
        <w:tc>
          <w:tcPr>
            <w:tcW w:w="80" w:type="dxa"/>
            <w:vAlign w:val="bottom"/>
          </w:tcPr>
          <w:p>
            <w:pPr>
              <w:spacing w:after="0"/>
              <w:rPr>
                <w:sz w:val="10"/>
                <w:szCs w:val="10"/>
                <w:color w:val="auto"/>
              </w:rPr>
            </w:pP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2005</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b w:val="1"/>
                <w:bCs w:val="1"/>
                <w:color w:val="auto"/>
              </w:rPr>
              <w:t>24.2</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24.5</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2.0</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2.1</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18.6</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19.2</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51.8</w:t>
            </w: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51.9</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109.6</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103.4</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206.2</w:t>
            </w: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201.1</w:t>
            </w:r>
          </w:p>
        </w:tc>
        <w:tc>
          <w:tcPr>
            <w:tcW w:w="80" w:type="dxa"/>
            <w:vAlign w:val="bottom"/>
            <w:shd w:val="clear" w:color="auto" w:fill="CCEEFF"/>
          </w:tcPr>
          <w:p>
            <w:pPr>
              <w:spacing w:after="0"/>
              <w:rPr>
                <w:sz w:val="10"/>
                <w:szCs w:val="10"/>
                <w:color w:val="auto"/>
              </w:rPr>
            </w:pP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2006</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b w:val="1"/>
                <w:bCs w:val="1"/>
                <w:color w:val="auto"/>
              </w:rPr>
              <w:t>70.7</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70.7</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44.5</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44.8</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95.6</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96.9</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159.3</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160.9</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116.4</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105.7</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486.5</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479.0</w:t>
            </w:r>
          </w:p>
        </w:tc>
        <w:tc>
          <w:tcPr>
            <w:tcW w:w="80" w:type="dxa"/>
            <w:vAlign w:val="bottom"/>
          </w:tcPr>
          <w:p>
            <w:pPr>
              <w:spacing w:after="0"/>
              <w:rPr>
                <w:sz w:val="10"/>
                <w:szCs w:val="10"/>
                <w:color w:val="auto"/>
              </w:rPr>
            </w:pP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2007</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b w:val="1"/>
                <w:bCs w:val="1"/>
                <w:color w:val="auto"/>
              </w:rPr>
              <w:t>31.7</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32.0</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110.9</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117.2</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156.3</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165.5</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223.7</w:t>
            </w: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232.1</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621.7</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630.6</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1,144.3</w:t>
            </w: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1,177.4</w:t>
            </w:r>
          </w:p>
        </w:tc>
        <w:tc>
          <w:tcPr>
            <w:tcW w:w="80" w:type="dxa"/>
            <w:vAlign w:val="bottom"/>
            <w:shd w:val="clear" w:color="auto" w:fill="CCEEFF"/>
          </w:tcPr>
          <w:p>
            <w:pPr>
              <w:spacing w:after="0"/>
              <w:rPr>
                <w:sz w:val="10"/>
                <w:szCs w:val="10"/>
                <w:color w:val="auto"/>
              </w:rPr>
            </w:pP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2008</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b w:val="1"/>
                <w:bCs w:val="1"/>
                <w:color w:val="auto"/>
              </w:rPr>
              <w:t>10.7</w:t>
            </w:r>
          </w:p>
        </w:tc>
        <w:tc>
          <w:tcPr>
            <w:tcW w:w="100" w:type="dxa"/>
            <w:vAlign w:val="bottom"/>
          </w:tcPr>
          <w:p>
            <w:pPr>
              <w:spacing w:after="0"/>
              <w:rPr>
                <w:sz w:val="10"/>
                <w:szCs w:val="10"/>
                <w:color w:val="auto"/>
              </w:rPr>
            </w:pPr>
          </w:p>
        </w:tc>
        <w:tc>
          <w:tcPr>
            <w:tcW w:w="780" w:type="dxa"/>
            <w:vAlign w:val="bottom"/>
            <w:gridSpan w:val="2"/>
          </w:tcPr>
          <w:p>
            <w:pPr>
              <w:jc w:val="right"/>
              <w:ind w:right="180"/>
              <w:spacing w:after="0" w:line="122" w:lineRule="exact"/>
              <w:rPr>
                <w:sz w:val="20"/>
                <w:szCs w:val="20"/>
                <w:color w:val="auto"/>
              </w:rPr>
            </w:pPr>
            <w:r>
              <w:rPr>
                <w:rFonts w:ascii="Arial" w:cs="Arial" w:eastAsia="Arial" w:hAnsi="Arial"/>
                <w:sz w:val="11"/>
                <w:szCs w:val="11"/>
                <w:b w:val="1"/>
                <w:bCs w:val="1"/>
                <w:color w:val="auto"/>
              </w:rPr>
              <w:t>11.4</w:t>
            </w: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34.0</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35.4</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43.7</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44.8</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54.9</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59.0</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143.3</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150.6</w:t>
            </w:r>
          </w:p>
        </w:tc>
        <w:tc>
          <w:tcPr>
            <w:tcW w:w="80" w:type="dxa"/>
            <w:vAlign w:val="bottom"/>
          </w:tcPr>
          <w:p>
            <w:pPr>
              <w:spacing w:after="0"/>
              <w:rPr>
                <w:sz w:val="10"/>
                <w:szCs w:val="10"/>
                <w:color w:val="auto"/>
              </w:rPr>
            </w:pP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2009</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b w:val="1"/>
                <w:bCs w:val="1"/>
                <w:color w:val="auto"/>
              </w:rPr>
              <w:t>64.1</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65.6</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42.3</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43.7</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24.0</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24.5</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w:t>
            </w: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4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130.4</w:t>
            </w: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133.8</w:t>
            </w:r>
          </w:p>
        </w:tc>
        <w:tc>
          <w:tcPr>
            <w:tcW w:w="80" w:type="dxa"/>
            <w:vAlign w:val="bottom"/>
            <w:shd w:val="clear" w:color="auto" w:fill="CCEEFF"/>
          </w:tcPr>
          <w:p>
            <w:pPr>
              <w:spacing w:after="0"/>
              <w:rPr>
                <w:sz w:val="10"/>
                <w:szCs w:val="10"/>
                <w:color w:val="auto"/>
              </w:rPr>
            </w:pP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2010</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b w:val="1"/>
                <w:bCs w:val="1"/>
                <w:color w:val="auto"/>
              </w:rPr>
              <w:t>60.9</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62.8</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30.9</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32.2</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w:t>
            </w: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91.8</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95.0</w:t>
            </w:r>
          </w:p>
        </w:tc>
        <w:tc>
          <w:tcPr>
            <w:tcW w:w="80" w:type="dxa"/>
            <w:vAlign w:val="bottom"/>
          </w:tcPr>
          <w:p>
            <w:pPr>
              <w:spacing w:after="0"/>
              <w:rPr>
                <w:sz w:val="10"/>
                <w:szCs w:val="10"/>
                <w:color w:val="auto"/>
              </w:rPr>
            </w:pP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2011</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b w:val="1"/>
                <w:bCs w:val="1"/>
                <w:color w:val="auto"/>
              </w:rPr>
              <w:t>64.2</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63.8</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125.2</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127.4</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2.2</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2.2</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w:t>
            </w: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0.7</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0.8</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192.3</w:t>
            </w: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194.2</w:t>
            </w:r>
          </w:p>
        </w:tc>
        <w:tc>
          <w:tcPr>
            <w:tcW w:w="80" w:type="dxa"/>
            <w:vAlign w:val="bottom"/>
            <w:shd w:val="clear" w:color="auto" w:fill="CCEEFF"/>
          </w:tcPr>
          <w:p>
            <w:pPr>
              <w:spacing w:after="0"/>
              <w:rPr>
                <w:sz w:val="10"/>
                <w:szCs w:val="10"/>
                <w:color w:val="auto"/>
              </w:rPr>
            </w:pP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2012</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b w:val="1"/>
                <w:bCs w:val="1"/>
                <w:color w:val="auto"/>
              </w:rPr>
              <w:t>210.8</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212.8</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139.4</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142.0</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7.8</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7.7</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1.2</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1.2</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359.2</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363.7</w:t>
            </w:r>
          </w:p>
        </w:tc>
        <w:tc>
          <w:tcPr>
            <w:tcW w:w="80" w:type="dxa"/>
            <w:vAlign w:val="bottom"/>
          </w:tcPr>
          <w:p>
            <w:pPr>
              <w:spacing w:after="0"/>
              <w:rPr>
                <w:sz w:val="10"/>
                <w:szCs w:val="10"/>
                <w:color w:val="auto"/>
              </w:rPr>
            </w:pP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2013</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b w:val="1"/>
                <w:bCs w:val="1"/>
                <w:color w:val="auto"/>
              </w:rPr>
              <w:t>234.6</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232.8</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85.1</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85.3</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19.3</w:t>
            </w: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19.4</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10.3</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10.3</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349.3</w:t>
            </w: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347.8</w:t>
            </w:r>
          </w:p>
        </w:tc>
        <w:tc>
          <w:tcPr>
            <w:tcW w:w="80" w:type="dxa"/>
            <w:vAlign w:val="bottom"/>
            <w:shd w:val="clear" w:color="auto" w:fill="CCEEFF"/>
          </w:tcPr>
          <w:p>
            <w:pPr>
              <w:spacing w:after="0"/>
              <w:rPr>
                <w:sz w:val="10"/>
                <w:szCs w:val="10"/>
                <w:color w:val="auto"/>
              </w:rPr>
            </w:pP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2014</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b w:val="1"/>
                <w:bCs w:val="1"/>
                <w:color w:val="auto"/>
              </w:rPr>
              <w:t>192.7</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193.0</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60.3</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60.4</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5.3</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5.3</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3.0</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b w:val="1"/>
                <w:bCs w:val="1"/>
                <w:color w:val="auto"/>
              </w:rPr>
              <w:t>3.0</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b w:val="1"/>
                <w:bCs w:val="1"/>
                <w:color w:val="auto"/>
              </w:rPr>
              <w:t>261.3</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gridSpan w:val="2"/>
          </w:tcPr>
          <w:p>
            <w:pPr>
              <w:jc w:val="right"/>
              <w:ind w:right="20"/>
              <w:spacing w:after="0" w:line="122" w:lineRule="exact"/>
              <w:rPr>
                <w:sz w:val="20"/>
                <w:szCs w:val="20"/>
                <w:color w:val="auto"/>
              </w:rPr>
            </w:pPr>
            <w:r>
              <w:rPr>
                <w:rFonts w:ascii="Arial" w:cs="Arial" w:eastAsia="Arial" w:hAnsi="Arial"/>
                <w:sz w:val="11"/>
                <w:szCs w:val="11"/>
                <w:b w:val="1"/>
                <w:bCs w:val="1"/>
                <w:color w:val="auto"/>
              </w:rPr>
              <w:t>261.7</w:t>
            </w:r>
          </w:p>
        </w:tc>
        <w:tc>
          <w:tcPr>
            <w:tcW w:w="80" w:type="dxa"/>
            <w:vAlign w:val="bottom"/>
          </w:tcPr>
          <w:p>
            <w:pPr>
              <w:spacing w:after="0"/>
              <w:rPr>
                <w:sz w:val="10"/>
                <w:szCs w:val="10"/>
                <w:color w:val="auto"/>
              </w:rPr>
            </w:pP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2015</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b w:val="1"/>
                <w:bCs w:val="1"/>
                <w:color w:val="auto"/>
              </w:rPr>
              <w:t>116.4</w:t>
            </w:r>
          </w:p>
        </w:tc>
        <w:tc>
          <w:tcPr>
            <w:tcW w:w="100" w:type="dxa"/>
            <w:vAlign w:val="bottom"/>
            <w:shd w:val="clear" w:color="auto" w:fill="CCEEFF"/>
          </w:tcPr>
          <w:p>
            <w:pPr>
              <w:spacing w:after="0"/>
              <w:rPr>
                <w:sz w:val="10"/>
                <w:szCs w:val="10"/>
                <w:color w:val="auto"/>
              </w:rPr>
            </w:pPr>
          </w:p>
        </w:tc>
        <w:tc>
          <w:tcPr>
            <w:tcW w:w="78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b w:val="1"/>
                <w:bCs w:val="1"/>
                <w:color w:val="auto"/>
              </w:rPr>
              <w:t>116.5</w:t>
            </w: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136.5</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136.5</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9.9</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9.9</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0.8</w:t>
            </w: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b w:val="1"/>
                <w:bCs w:val="1"/>
                <w:color w:val="auto"/>
              </w:rPr>
              <w:t>0.8</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4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w:t>
            </w:r>
          </w:p>
        </w:tc>
        <w:tc>
          <w:tcPr>
            <w:tcW w:w="8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b w:val="1"/>
                <w:bCs w:val="1"/>
                <w:color w:val="auto"/>
              </w:rPr>
              <w:t>263.6</w:t>
            </w:r>
          </w:p>
        </w:tc>
        <w:tc>
          <w:tcPr>
            <w:tcW w:w="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b w:val="1"/>
                <w:bCs w:val="1"/>
                <w:color w:val="auto"/>
              </w:rPr>
              <w:t>263.7</w:t>
            </w:r>
          </w:p>
        </w:tc>
        <w:tc>
          <w:tcPr>
            <w:tcW w:w="80" w:type="dxa"/>
            <w:vAlign w:val="bottom"/>
            <w:shd w:val="clear" w:color="auto" w:fill="CCEEFF"/>
          </w:tcPr>
          <w:p>
            <w:pPr>
              <w:spacing w:after="0"/>
              <w:rPr>
                <w:sz w:val="10"/>
                <w:szCs w:val="10"/>
                <w:color w:val="auto"/>
              </w:rPr>
            </w:pPr>
          </w:p>
        </w:tc>
      </w:tr>
      <w:tr>
        <w:trPr>
          <w:trHeight w:val="115"/>
        </w:trPr>
        <w:tc>
          <w:tcPr>
            <w:tcW w:w="1220" w:type="dxa"/>
            <w:vAlign w:val="bottom"/>
          </w:tcPr>
          <w:p>
            <w:pPr>
              <w:spacing w:after="0" w:line="115" w:lineRule="exact"/>
              <w:rPr>
                <w:sz w:val="20"/>
                <w:szCs w:val="20"/>
                <w:color w:val="auto"/>
              </w:rPr>
            </w:pPr>
            <w:r>
              <w:rPr>
                <w:rFonts w:ascii="Arial" w:cs="Arial" w:eastAsia="Arial" w:hAnsi="Arial"/>
                <w:sz w:val="11"/>
                <w:szCs w:val="11"/>
                <w:color w:val="auto"/>
              </w:rPr>
              <w:t>Total (1)</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1,108.5</w:t>
            </w:r>
          </w:p>
        </w:tc>
        <w:tc>
          <w:tcPr>
            <w:tcW w:w="180" w:type="dxa"/>
            <w:vAlign w:val="bottom"/>
          </w:tcPr>
          <w:p>
            <w:pPr>
              <w:spacing w:after="0"/>
              <w:rPr>
                <w:sz w:val="10"/>
                <w:szCs w:val="1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1,114.7</w:t>
            </w:r>
          </w:p>
        </w:tc>
        <w:tc>
          <w:tcPr>
            <w:tcW w:w="180" w:type="dxa"/>
            <w:vAlign w:val="bottom"/>
          </w:tcPr>
          <w:p>
            <w:pPr>
              <w:spacing w:after="0"/>
              <w:rPr>
                <w:sz w:val="10"/>
                <w:szCs w:val="10"/>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845.6</w:t>
            </w:r>
          </w:p>
        </w:tc>
        <w:tc>
          <w:tcPr>
            <w:tcW w:w="180" w:type="dxa"/>
            <w:vAlign w:val="bottom"/>
          </w:tcPr>
          <w:p>
            <w:pPr>
              <w:spacing w:after="0"/>
              <w:rPr>
                <w:sz w:val="10"/>
                <w:szCs w:val="1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862.2</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5"/>
                <w:szCs w:val="5"/>
                <w:color w:val="auto"/>
                <w:w w:val="70"/>
              </w:rPr>
              <w:t>$</w:t>
            </w:r>
          </w:p>
        </w:tc>
        <w:tc>
          <w:tcPr>
            <w:tcW w:w="62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347.3</w:t>
            </w: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5"/>
                <w:szCs w:val="5"/>
                <w:color w:val="auto"/>
                <w:w w:val="70"/>
              </w:rPr>
              <w:t>$</w:t>
            </w:r>
          </w:p>
        </w:tc>
        <w:tc>
          <w:tcPr>
            <w:tcW w:w="58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360.9</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color w:val="auto"/>
                <w:w w:val="70"/>
              </w:rPr>
              <w:t>$</w:t>
            </w:r>
          </w:p>
        </w:tc>
        <w:tc>
          <w:tcPr>
            <w:tcW w:w="60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546.3</w:t>
            </w:r>
          </w:p>
        </w:tc>
        <w:tc>
          <w:tcPr>
            <w:tcW w:w="160" w:type="dxa"/>
            <w:vAlign w:val="bottom"/>
          </w:tcPr>
          <w:p>
            <w:pPr>
              <w:spacing w:after="0"/>
              <w:rPr>
                <w:sz w:val="10"/>
                <w:szCs w:val="1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562.3</w:t>
            </w:r>
          </w:p>
        </w:tc>
        <w:tc>
          <w:tcPr>
            <w:tcW w:w="160" w:type="dxa"/>
            <w:vAlign w:val="bottom"/>
          </w:tcPr>
          <w:p>
            <w:pPr>
              <w:spacing w:after="0"/>
              <w:rPr>
                <w:sz w:val="10"/>
                <w:szCs w:val="10"/>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970.7</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970.7</w:t>
            </w:r>
          </w:p>
        </w:tc>
        <w:tc>
          <w:tcPr>
            <w:tcW w:w="160" w:type="dxa"/>
            <w:vAlign w:val="bottom"/>
          </w:tcPr>
          <w:p>
            <w:pPr>
              <w:spacing w:after="0"/>
              <w:rPr>
                <w:sz w:val="10"/>
                <w:szCs w:val="10"/>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3,818.4</w:t>
            </w:r>
          </w:p>
        </w:tc>
        <w:tc>
          <w:tcPr>
            <w:tcW w:w="160" w:type="dxa"/>
            <w:vAlign w:val="bottom"/>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5"/>
                <w:szCs w:val="5"/>
                <w:color w:val="auto"/>
                <w:w w:val="70"/>
              </w:rPr>
              <w:t>$</w:t>
            </w:r>
          </w:p>
        </w:tc>
        <w:tc>
          <w:tcPr>
            <w:tcW w:w="600" w:type="dxa"/>
            <w:vAlign w:val="bottom"/>
            <w:tcBorders>
              <w:top w:val="single" w:sz="8" w:color="auto"/>
              <w:bottom w:val="single" w:sz="8" w:color="auto"/>
            </w:tcBorders>
          </w:tcPr>
          <w:p>
            <w:pPr>
              <w:jc w:val="right"/>
              <w:spacing w:after="0" w:line="115" w:lineRule="exact"/>
              <w:rPr>
                <w:sz w:val="20"/>
                <w:szCs w:val="20"/>
                <w:color w:val="auto"/>
              </w:rPr>
            </w:pPr>
            <w:r>
              <w:rPr>
                <w:rFonts w:ascii="Arial" w:cs="Arial" w:eastAsia="Arial" w:hAnsi="Arial"/>
                <w:sz w:val="11"/>
                <w:szCs w:val="11"/>
                <w:b w:val="1"/>
                <w:bCs w:val="1"/>
                <w:color w:val="auto"/>
              </w:rPr>
              <w:t>3,870.8</w:t>
            </w:r>
          </w:p>
        </w:tc>
        <w:tc>
          <w:tcPr>
            <w:tcW w:w="20" w:type="dxa"/>
            <w:vAlign w:val="bottom"/>
            <w:tcBorders>
              <w:bottom w:val="single" w:sz="8" w:color="auto"/>
            </w:tcBorders>
          </w:tcPr>
          <w:p>
            <w:pPr>
              <w:spacing w:after="0"/>
              <w:rPr>
                <w:sz w:val="10"/>
                <w:szCs w:val="10"/>
                <w:color w:val="auto"/>
              </w:rPr>
            </w:pPr>
          </w:p>
        </w:tc>
        <w:tc>
          <w:tcPr>
            <w:tcW w:w="80" w:type="dxa"/>
            <w:vAlign w:val="bottom"/>
          </w:tcPr>
          <w:p>
            <w:pPr>
              <w:spacing w:after="0"/>
              <w:rPr>
                <w:sz w:val="10"/>
                <w:szCs w:val="10"/>
                <w:color w:val="auto"/>
              </w:rPr>
            </w:pPr>
          </w:p>
        </w:tc>
      </w:tr>
      <w:tr>
        <w:trPr>
          <w:trHeight w:val="20"/>
        </w:trPr>
        <w:tc>
          <w:tcPr>
            <w:tcW w:w="1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6" w:lineRule="exact"/>
        <w:rPr>
          <w:sz w:val="20"/>
          <w:szCs w:val="20"/>
          <w:color w:val="auto"/>
        </w:rPr>
      </w:pPr>
    </w:p>
    <w:p>
      <w:pPr>
        <w:spacing w:after="0"/>
        <w:tabs>
          <w:tab w:leader="none" w:pos="220" w:val="left"/>
        </w:tabs>
        <w:rPr>
          <w:sz w:val="20"/>
          <w:szCs w:val="20"/>
          <w:color w:val="auto"/>
        </w:rPr>
      </w:pPr>
      <w:r>
        <w:rPr>
          <w:rFonts w:ascii="Arial" w:cs="Arial" w:eastAsia="Arial" w:hAnsi="Arial"/>
          <w:sz w:val="11"/>
          <w:szCs w:val="11"/>
          <w:color w:val="auto"/>
        </w:rPr>
        <w:t>(1)</w:t>
      </w:r>
      <w:r>
        <w:rPr>
          <w:sz w:val="20"/>
          <w:szCs w:val="20"/>
          <w:color w:val="auto"/>
        </w:rPr>
        <w:tab/>
      </w:r>
      <w:r>
        <w:rPr>
          <w:rFonts w:ascii="Arial" w:cs="Arial" w:eastAsia="Arial" w:hAnsi="Arial"/>
          <w:sz w:val="10"/>
          <w:szCs w:val="10"/>
          <w:color w:val="auto"/>
        </w:rPr>
        <w:t>The CMBS portfolio included agency CMBS with a $389.2 million amortized cost and a $394.8 million carrying amount.</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122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580" w:type="dxa"/>
            <w:vAlign w:val="bottom"/>
            <w:tcBorders>
              <w:bottom w:val="single" w:sz="8" w:color="auto"/>
            </w:tcBorders>
            <w:gridSpan w:val="6"/>
          </w:tcPr>
          <w:p>
            <w:pPr>
              <w:jc w:val="right"/>
              <w:ind w:right="580"/>
              <w:spacing w:after="0"/>
              <w:rPr>
                <w:sz w:val="20"/>
                <w:szCs w:val="20"/>
                <w:color w:val="auto"/>
              </w:rPr>
            </w:pPr>
            <w:r>
              <w:rPr>
                <w:rFonts w:ascii="Arial" w:cs="Arial" w:eastAsia="Arial" w:hAnsi="Arial"/>
                <w:sz w:val="11"/>
                <w:szCs w:val="11"/>
                <w:b w:val="1"/>
                <w:bCs w:val="1"/>
                <w:color w:val="auto"/>
                <w:w w:val="98"/>
              </w:rPr>
              <w:t>December 31, 2014</w:t>
            </w:r>
          </w:p>
        </w:tc>
        <w:tc>
          <w:tcPr>
            <w:tcW w:w="10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00" w:type="dxa"/>
            <w:vAlign w:val="bottom"/>
          </w:tcPr>
          <w:p>
            <w:pPr>
              <w:spacing w:after="0"/>
              <w:rPr>
                <w:sz w:val="11"/>
                <w:szCs w:val="11"/>
                <w:color w:val="auto"/>
              </w:rPr>
            </w:pPr>
          </w:p>
        </w:tc>
      </w:tr>
      <w:tr>
        <w:trPr>
          <w:trHeight w:val="115"/>
        </w:trPr>
        <w:tc>
          <w:tcPr>
            <w:tcW w:w="1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gridSpan w:val="3"/>
          </w:tcPr>
          <w:p>
            <w:pPr>
              <w:jc w:val="right"/>
              <w:ind w:right="11"/>
              <w:spacing w:after="0" w:line="115" w:lineRule="exact"/>
              <w:rPr>
                <w:sz w:val="20"/>
                <w:szCs w:val="20"/>
                <w:color w:val="auto"/>
              </w:rPr>
            </w:pPr>
            <w:r>
              <w:rPr>
                <w:rFonts w:ascii="Arial" w:cs="Arial" w:eastAsia="Arial" w:hAnsi="Arial"/>
                <w:sz w:val="11"/>
                <w:szCs w:val="11"/>
                <w:b w:val="1"/>
                <w:bCs w:val="1"/>
                <w:color w:val="auto"/>
              </w:rPr>
              <w:t>AAA</w:t>
            </w:r>
          </w:p>
        </w:tc>
        <w:tc>
          <w:tcPr>
            <w:tcW w:w="6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80" w:type="dxa"/>
            <w:vAlign w:val="bottom"/>
            <w:gridSpan w:val="2"/>
          </w:tcPr>
          <w:p>
            <w:pPr>
              <w:jc w:val="right"/>
              <w:ind w:right="71"/>
              <w:spacing w:after="0" w:line="115" w:lineRule="exact"/>
              <w:rPr>
                <w:sz w:val="20"/>
                <w:szCs w:val="20"/>
                <w:color w:val="auto"/>
              </w:rPr>
            </w:pPr>
            <w:r>
              <w:rPr>
                <w:rFonts w:ascii="Arial" w:cs="Arial" w:eastAsia="Arial" w:hAnsi="Arial"/>
                <w:sz w:val="11"/>
                <w:szCs w:val="11"/>
                <w:b w:val="1"/>
                <w:bCs w:val="1"/>
                <w:color w:val="auto"/>
                <w:w w:val="87"/>
              </w:rPr>
              <w:t>AA</w:t>
            </w: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0" w:type="dxa"/>
            <w:vAlign w:val="bottom"/>
            <w:gridSpan w:val="2"/>
          </w:tcPr>
          <w:p>
            <w:pPr>
              <w:jc w:val="right"/>
              <w:ind w:right="113"/>
              <w:spacing w:after="0" w:line="115" w:lineRule="exact"/>
              <w:rPr>
                <w:sz w:val="20"/>
                <w:szCs w:val="20"/>
                <w:color w:val="auto"/>
              </w:rPr>
            </w:pPr>
            <w:r>
              <w:rPr>
                <w:rFonts w:ascii="Arial" w:cs="Arial" w:eastAsia="Arial" w:hAnsi="Arial"/>
                <w:sz w:val="11"/>
                <w:szCs w:val="11"/>
                <w:b w:val="1"/>
                <w:bCs w:val="1"/>
                <w:color w:val="auto"/>
              </w:rPr>
              <w:t>A</w:t>
            </w: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60" w:type="dxa"/>
            <w:vAlign w:val="bottom"/>
            <w:gridSpan w:val="3"/>
          </w:tcPr>
          <w:p>
            <w:pPr>
              <w:jc w:val="right"/>
              <w:ind w:right="11"/>
              <w:spacing w:after="0" w:line="115" w:lineRule="exact"/>
              <w:rPr>
                <w:sz w:val="20"/>
                <w:szCs w:val="20"/>
                <w:color w:val="auto"/>
              </w:rPr>
            </w:pPr>
            <w:r>
              <w:rPr>
                <w:rFonts w:ascii="Arial" w:cs="Arial" w:eastAsia="Arial" w:hAnsi="Arial"/>
                <w:sz w:val="11"/>
                <w:szCs w:val="11"/>
                <w:b w:val="1"/>
                <w:bCs w:val="1"/>
                <w:color w:val="auto"/>
              </w:rPr>
              <w:t>BBB</w:t>
            </w: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0" w:type="dxa"/>
            <w:vAlign w:val="bottom"/>
            <w:gridSpan w:val="6"/>
          </w:tcPr>
          <w:p>
            <w:pPr>
              <w:ind w:left="320"/>
              <w:spacing w:after="0" w:line="115" w:lineRule="exact"/>
              <w:rPr>
                <w:sz w:val="20"/>
                <w:szCs w:val="20"/>
                <w:color w:val="auto"/>
              </w:rPr>
            </w:pPr>
            <w:r>
              <w:rPr>
                <w:rFonts w:ascii="Arial" w:cs="Arial" w:eastAsia="Arial" w:hAnsi="Arial"/>
                <w:sz w:val="11"/>
                <w:szCs w:val="11"/>
                <w:b w:val="1"/>
                <w:bCs w:val="1"/>
                <w:color w:val="auto"/>
              </w:rPr>
              <w:t>BB+ and Below</w:t>
            </w:r>
          </w:p>
        </w:tc>
        <w:tc>
          <w:tcPr>
            <w:tcW w:w="80" w:type="dxa"/>
            <w:vAlign w:val="bottom"/>
          </w:tcPr>
          <w:p>
            <w:pPr>
              <w:spacing w:after="0"/>
              <w:rPr>
                <w:sz w:val="10"/>
                <w:szCs w:val="10"/>
                <w:color w:val="auto"/>
              </w:rPr>
            </w:pPr>
          </w:p>
        </w:tc>
        <w:tc>
          <w:tcPr>
            <w:tcW w:w="840" w:type="dxa"/>
            <w:vAlign w:val="bottom"/>
            <w:gridSpan w:val="4"/>
          </w:tcPr>
          <w:p>
            <w:pPr>
              <w:jc w:val="right"/>
              <w:spacing w:after="0" w:line="115" w:lineRule="exact"/>
              <w:rPr>
                <w:sz w:val="20"/>
                <w:szCs w:val="20"/>
                <w:color w:val="auto"/>
              </w:rPr>
            </w:pPr>
            <w:r>
              <w:rPr>
                <w:rFonts w:ascii="Arial" w:cs="Arial" w:eastAsia="Arial" w:hAnsi="Arial"/>
                <w:sz w:val="11"/>
                <w:szCs w:val="11"/>
                <w:b w:val="1"/>
                <w:bCs w:val="1"/>
                <w:color w:val="auto"/>
              </w:rPr>
              <w:t>Total</w:t>
            </w: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r>
      <w:tr>
        <w:trPr>
          <w:trHeight w:val="101"/>
        </w:trPr>
        <w:tc>
          <w:tcPr>
            <w:tcW w:w="122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800" w:type="dxa"/>
            <w:vAlign w:val="bottom"/>
            <w:tcBorders>
              <w:top w:val="single" w:sz="8" w:color="auto"/>
            </w:tcBorders>
            <w:gridSpan w:val="2"/>
          </w:tcPr>
          <w:p>
            <w:pPr>
              <w:jc w:val="right"/>
              <w:ind w:right="280"/>
              <w:spacing w:after="0" w:line="102" w:lineRule="exact"/>
              <w:rPr>
                <w:sz w:val="20"/>
                <w:szCs w:val="20"/>
                <w:color w:val="auto"/>
              </w:rPr>
            </w:pPr>
            <w:r>
              <w:rPr>
                <w:rFonts w:ascii="Arial" w:cs="Arial" w:eastAsia="Arial" w:hAnsi="Arial"/>
                <w:sz w:val="11"/>
                <w:szCs w:val="11"/>
                <w:b w:val="1"/>
                <w:bCs w:val="1"/>
                <w:color w:val="auto"/>
                <w:w w:val="92"/>
              </w:rPr>
              <w:t>Amortized</w:t>
            </w:r>
          </w:p>
        </w:tc>
        <w:tc>
          <w:tcPr>
            <w:tcW w:w="10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jc w:val="center"/>
              <w:ind w:right="46"/>
              <w:spacing w:after="0" w:line="102" w:lineRule="exact"/>
              <w:rPr>
                <w:sz w:val="20"/>
                <w:szCs w:val="20"/>
                <w:color w:val="auto"/>
              </w:rPr>
            </w:pPr>
            <w:r>
              <w:rPr>
                <w:rFonts w:ascii="Arial" w:cs="Arial" w:eastAsia="Arial" w:hAnsi="Arial"/>
                <w:sz w:val="11"/>
                <w:szCs w:val="11"/>
                <w:b w:val="1"/>
                <w:bCs w:val="1"/>
                <w:color w:val="auto"/>
                <w:w w:val="92"/>
              </w:rPr>
              <w:t>Carrying</w:t>
            </w:r>
          </w:p>
        </w:tc>
        <w:tc>
          <w:tcPr>
            <w:tcW w:w="18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620" w:type="dxa"/>
            <w:vAlign w:val="bottom"/>
            <w:tcBorders>
              <w:top w:val="single" w:sz="8" w:color="auto"/>
            </w:tcBorders>
          </w:tcPr>
          <w:p>
            <w:pPr>
              <w:jc w:val="right"/>
              <w:ind w:right="46"/>
              <w:spacing w:after="0" w:line="102" w:lineRule="exact"/>
              <w:rPr>
                <w:sz w:val="20"/>
                <w:szCs w:val="20"/>
                <w:color w:val="auto"/>
              </w:rPr>
            </w:pPr>
            <w:r>
              <w:rPr>
                <w:rFonts w:ascii="Arial" w:cs="Arial" w:eastAsia="Arial" w:hAnsi="Arial"/>
                <w:sz w:val="11"/>
                <w:szCs w:val="11"/>
                <w:b w:val="1"/>
                <w:bCs w:val="1"/>
                <w:color w:val="auto"/>
                <w:w w:val="92"/>
              </w:rPr>
              <w:t>Amortized</w:t>
            </w:r>
          </w:p>
        </w:tc>
        <w:tc>
          <w:tcPr>
            <w:tcW w:w="18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jc w:val="center"/>
              <w:ind w:right="46"/>
              <w:spacing w:after="0" w:line="102" w:lineRule="exact"/>
              <w:rPr>
                <w:sz w:val="20"/>
                <w:szCs w:val="20"/>
                <w:color w:val="auto"/>
              </w:rPr>
            </w:pPr>
            <w:r>
              <w:rPr>
                <w:rFonts w:ascii="Arial" w:cs="Arial" w:eastAsia="Arial" w:hAnsi="Arial"/>
                <w:sz w:val="11"/>
                <w:szCs w:val="11"/>
                <w:b w:val="1"/>
                <w:bCs w:val="1"/>
                <w:color w:val="auto"/>
                <w:w w:val="92"/>
              </w:rPr>
              <w:t>Carrying</w:t>
            </w: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640" w:type="dxa"/>
            <w:vAlign w:val="bottom"/>
            <w:tcBorders>
              <w:top w:val="single" w:sz="8" w:color="auto"/>
            </w:tcBorders>
            <w:gridSpan w:val="2"/>
          </w:tcPr>
          <w:p>
            <w:pPr>
              <w:jc w:val="center"/>
              <w:ind w:right="100"/>
              <w:spacing w:after="0" w:line="102" w:lineRule="exact"/>
              <w:rPr>
                <w:sz w:val="20"/>
                <w:szCs w:val="20"/>
                <w:color w:val="auto"/>
              </w:rPr>
            </w:pPr>
            <w:r>
              <w:rPr>
                <w:rFonts w:ascii="Arial" w:cs="Arial" w:eastAsia="Arial" w:hAnsi="Arial"/>
                <w:sz w:val="11"/>
                <w:szCs w:val="11"/>
                <w:b w:val="1"/>
                <w:bCs w:val="1"/>
                <w:color w:val="auto"/>
                <w:w w:val="92"/>
              </w:rPr>
              <w:t>Amortized</w:t>
            </w:r>
          </w:p>
        </w:tc>
        <w:tc>
          <w:tcPr>
            <w:tcW w:w="16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580" w:type="dxa"/>
            <w:vAlign w:val="bottom"/>
            <w:tcBorders>
              <w:top w:val="single" w:sz="8" w:color="auto"/>
            </w:tcBorders>
          </w:tcPr>
          <w:p>
            <w:pPr>
              <w:jc w:val="right"/>
              <w:ind w:right="66"/>
              <w:spacing w:after="0" w:line="102" w:lineRule="exact"/>
              <w:rPr>
                <w:sz w:val="20"/>
                <w:szCs w:val="20"/>
                <w:color w:val="auto"/>
              </w:rPr>
            </w:pPr>
            <w:r>
              <w:rPr>
                <w:rFonts w:ascii="Arial" w:cs="Arial" w:eastAsia="Arial" w:hAnsi="Arial"/>
                <w:sz w:val="11"/>
                <w:szCs w:val="11"/>
                <w:b w:val="1"/>
                <w:bCs w:val="1"/>
                <w:color w:val="auto"/>
                <w:w w:val="97"/>
              </w:rPr>
              <w:t>Carrying</w:t>
            </w: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760" w:type="dxa"/>
            <w:vAlign w:val="bottom"/>
            <w:tcBorders>
              <w:top w:val="single" w:sz="8" w:color="auto"/>
            </w:tcBorders>
            <w:gridSpan w:val="2"/>
          </w:tcPr>
          <w:p>
            <w:pPr>
              <w:jc w:val="right"/>
              <w:ind w:right="240"/>
              <w:spacing w:after="0" w:line="102" w:lineRule="exact"/>
              <w:rPr>
                <w:sz w:val="20"/>
                <w:szCs w:val="20"/>
                <w:color w:val="auto"/>
              </w:rPr>
            </w:pPr>
            <w:r>
              <w:rPr>
                <w:rFonts w:ascii="Arial" w:cs="Arial" w:eastAsia="Arial" w:hAnsi="Arial"/>
                <w:sz w:val="11"/>
                <w:szCs w:val="11"/>
                <w:b w:val="1"/>
                <w:bCs w:val="1"/>
                <w:color w:val="auto"/>
                <w:w w:val="92"/>
              </w:rPr>
              <w:t>Amortized</w:t>
            </w:r>
          </w:p>
        </w:tc>
        <w:tc>
          <w:tcPr>
            <w:tcW w:w="100" w:type="dxa"/>
            <w:vAlign w:val="bottom"/>
            <w:tcBorders>
              <w:top w:val="single" w:sz="8" w:color="auto"/>
            </w:tcBorders>
          </w:tcPr>
          <w:p>
            <w:pPr>
              <w:spacing w:after="0"/>
              <w:rPr>
                <w:sz w:val="8"/>
                <w:szCs w:val="8"/>
                <w:color w:val="auto"/>
              </w:rPr>
            </w:pPr>
          </w:p>
        </w:tc>
        <w:tc>
          <w:tcPr>
            <w:tcW w:w="580" w:type="dxa"/>
            <w:vAlign w:val="bottom"/>
            <w:tcBorders>
              <w:top w:val="single" w:sz="8" w:color="auto"/>
            </w:tcBorders>
          </w:tcPr>
          <w:p>
            <w:pPr>
              <w:jc w:val="right"/>
              <w:ind w:right="66"/>
              <w:spacing w:after="0" w:line="102" w:lineRule="exact"/>
              <w:rPr>
                <w:sz w:val="20"/>
                <w:szCs w:val="20"/>
                <w:color w:val="auto"/>
              </w:rPr>
            </w:pPr>
            <w:r>
              <w:rPr>
                <w:rFonts w:ascii="Arial" w:cs="Arial" w:eastAsia="Arial" w:hAnsi="Arial"/>
                <w:sz w:val="11"/>
                <w:szCs w:val="11"/>
                <w:b w:val="1"/>
                <w:bCs w:val="1"/>
                <w:color w:val="auto"/>
                <w:w w:val="97"/>
              </w:rPr>
              <w:t>Carrying</w:t>
            </w:r>
          </w:p>
        </w:tc>
        <w:tc>
          <w:tcPr>
            <w:tcW w:w="16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680" w:type="dxa"/>
            <w:vAlign w:val="bottom"/>
            <w:tcBorders>
              <w:top w:val="single" w:sz="8" w:color="auto"/>
            </w:tcBorders>
            <w:gridSpan w:val="2"/>
          </w:tcPr>
          <w:p>
            <w:pPr>
              <w:jc w:val="right"/>
              <w:ind w:right="180"/>
              <w:spacing w:after="0" w:line="102" w:lineRule="exact"/>
              <w:rPr>
                <w:sz w:val="20"/>
                <w:szCs w:val="20"/>
                <w:color w:val="auto"/>
              </w:rPr>
            </w:pPr>
            <w:r>
              <w:rPr>
                <w:rFonts w:ascii="Arial" w:cs="Arial" w:eastAsia="Arial" w:hAnsi="Arial"/>
                <w:sz w:val="11"/>
                <w:szCs w:val="11"/>
                <w:b w:val="1"/>
                <w:bCs w:val="1"/>
                <w:color w:val="auto"/>
                <w:w w:val="89"/>
              </w:rPr>
              <w:t>Amortized</w:t>
            </w:r>
          </w:p>
        </w:tc>
        <w:tc>
          <w:tcPr>
            <w:tcW w:w="8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580" w:type="dxa"/>
            <w:vAlign w:val="bottom"/>
            <w:tcBorders>
              <w:top w:val="single" w:sz="8" w:color="auto"/>
            </w:tcBorders>
          </w:tcPr>
          <w:p>
            <w:pPr>
              <w:jc w:val="center"/>
              <w:ind w:right="46"/>
              <w:spacing w:after="0" w:line="102" w:lineRule="exact"/>
              <w:rPr>
                <w:sz w:val="20"/>
                <w:szCs w:val="20"/>
                <w:color w:val="auto"/>
              </w:rPr>
            </w:pPr>
            <w:r>
              <w:rPr>
                <w:rFonts w:ascii="Arial" w:cs="Arial" w:eastAsia="Arial" w:hAnsi="Arial"/>
                <w:sz w:val="11"/>
                <w:szCs w:val="11"/>
                <w:b w:val="1"/>
                <w:bCs w:val="1"/>
                <w:color w:val="auto"/>
                <w:w w:val="97"/>
              </w:rPr>
              <w:t>Carrying</w:t>
            </w:r>
          </w:p>
        </w:tc>
        <w:tc>
          <w:tcPr>
            <w:tcW w:w="16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680" w:type="dxa"/>
            <w:vAlign w:val="bottom"/>
            <w:tcBorders>
              <w:top w:val="single" w:sz="8" w:color="auto"/>
            </w:tcBorders>
            <w:gridSpan w:val="2"/>
          </w:tcPr>
          <w:p>
            <w:pPr>
              <w:jc w:val="center"/>
              <w:ind w:right="160"/>
              <w:spacing w:after="0" w:line="102" w:lineRule="exact"/>
              <w:rPr>
                <w:sz w:val="20"/>
                <w:szCs w:val="20"/>
                <w:color w:val="auto"/>
              </w:rPr>
            </w:pPr>
            <w:r>
              <w:rPr>
                <w:rFonts w:ascii="Arial" w:cs="Arial" w:eastAsia="Arial" w:hAnsi="Arial"/>
                <w:sz w:val="11"/>
                <w:szCs w:val="11"/>
                <w:b w:val="1"/>
                <w:bCs w:val="1"/>
                <w:color w:val="auto"/>
                <w:w w:val="89"/>
              </w:rPr>
              <w:t>Amortized</w:t>
            </w:r>
          </w:p>
        </w:tc>
        <w:tc>
          <w:tcPr>
            <w:tcW w:w="8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jc w:val="center"/>
              <w:ind w:right="46"/>
              <w:spacing w:after="0" w:line="102" w:lineRule="exact"/>
              <w:rPr>
                <w:sz w:val="20"/>
                <w:szCs w:val="20"/>
                <w:color w:val="auto"/>
              </w:rPr>
            </w:pPr>
            <w:r>
              <w:rPr>
                <w:rFonts w:ascii="Arial" w:cs="Arial" w:eastAsia="Arial" w:hAnsi="Arial"/>
                <w:sz w:val="11"/>
                <w:szCs w:val="11"/>
                <w:b w:val="1"/>
                <w:bCs w:val="1"/>
                <w:color w:val="auto"/>
                <w:w w:val="92"/>
              </w:rPr>
              <w:t>Carrying</w:t>
            </w:r>
          </w:p>
        </w:tc>
        <w:tc>
          <w:tcPr>
            <w:tcW w:w="100" w:type="dxa"/>
            <w:vAlign w:val="bottom"/>
          </w:tcPr>
          <w:p>
            <w:pPr>
              <w:spacing w:after="0"/>
              <w:rPr>
                <w:sz w:val="8"/>
                <w:szCs w:val="8"/>
                <w:color w:val="auto"/>
              </w:rPr>
            </w:pPr>
          </w:p>
        </w:tc>
      </w:tr>
      <w:tr>
        <w:trPr>
          <w:trHeight w:val="135"/>
        </w:trPr>
        <w:tc>
          <w:tcPr>
            <w:tcW w:w="1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gridSpan w:val="2"/>
          </w:tcPr>
          <w:p>
            <w:pPr>
              <w:jc w:val="right"/>
              <w:ind w:right="440"/>
              <w:spacing w:after="0"/>
              <w:rPr>
                <w:sz w:val="20"/>
                <w:szCs w:val="20"/>
                <w:color w:val="auto"/>
              </w:rPr>
            </w:pPr>
            <w:r>
              <w:rPr>
                <w:rFonts w:ascii="Arial" w:cs="Arial" w:eastAsia="Arial" w:hAnsi="Arial"/>
                <w:sz w:val="11"/>
                <w:szCs w:val="11"/>
                <w:b w:val="1"/>
                <w:bCs w:val="1"/>
                <w:color w:val="auto"/>
              </w:rPr>
              <w:t>cost</w:t>
            </w:r>
          </w:p>
        </w:tc>
        <w:tc>
          <w:tcPr>
            <w:tcW w:w="100" w:type="dxa"/>
            <w:vAlign w:val="bottom"/>
          </w:tcPr>
          <w:p>
            <w:pPr>
              <w:spacing w:after="0"/>
              <w:rPr>
                <w:sz w:val="11"/>
                <w:szCs w:val="11"/>
                <w:color w:val="auto"/>
              </w:rPr>
            </w:pPr>
          </w:p>
        </w:tc>
        <w:tc>
          <w:tcPr>
            <w:tcW w:w="780" w:type="dxa"/>
            <w:vAlign w:val="bottom"/>
            <w:gridSpan w:val="2"/>
          </w:tcPr>
          <w:p>
            <w:pPr>
              <w:jc w:val="center"/>
              <w:ind w:right="280"/>
              <w:spacing w:after="0"/>
              <w:rPr>
                <w:sz w:val="20"/>
                <w:szCs w:val="20"/>
                <w:color w:val="auto"/>
              </w:rPr>
            </w:pPr>
            <w:r>
              <w:rPr>
                <w:rFonts w:ascii="Arial" w:cs="Arial" w:eastAsia="Arial" w:hAnsi="Arial"/>
                <w:sz w:val="11"/>
                <w:szCs w:val="11"/>
                <w:b w:val="1"/>
                <w:bCs w:val="1"/>
                <w:color w:val="auto"/>
                <w:w w:val="85"/>
              </w:rPr>
              <w:t>amount</w:t>
            </w:r>
          </w:p>
        </w:tc>
        <w:tc>
          <w:tcPr>
            <w:tcW w:w="80" w:type="dxa"/>
            <w:vAlign w:val="bottom"/>
          </w:tcPr>
          <w:p>
            <w:pPr>
              <w:spacing w:after="0"/>
              <w:rPr>
                <w:sz w:val="11"/>
                <w:szCs w:val="11"/>
                <w:color w:val="auto"/>
              </w:rPr>
            </w:pPr>
          </w:p>
        </w:tc>
        <w:tc>
          <w:tcPr>
            <w:tcW w:w="620" w:type="dxa"/>
            <w:vAlign w:val="bottom"/>
          </w:tcPr>
          <w:p>
            <w:pPr>
              <w:jc w:val="right"/>
              <w:ind w:right="206"/>
              <w:spacing w:after="0"/>
              <w:rPr>
                <w:sz w:val="20"/>
                <w:szCs w:val="20"/>
                <w:color w:val="auto"/>
              </w:rPr>
            </w:pPr>
            <w:r>
              <w:rPr>
                <w:rFonts w:ascii="Arial" w:cs="Arial" w:eastAsia="Arial" w:hAnsi="Arial"/>
                <w:sz w:val="11"/>
                <w:szCs w:val="11"/>
                <w:b w:val="1"/>
                <w:bCs w:val="1"/>
                <w:color w:val="auto"/>
              </w:rPr>
              <w:t>cost</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center"/>
              <w:ind w:right="180"/>
              <w:spacing w:after="0"/>
              <w:rPr>
                <w:sz w:val="20"/>
                <w:szCs w:val="20"/>
                <w:color w:val="auto"/>
              </w:rPr>
            </w:pPr>
            <w:r>
              <w:rPr>
                <w:rFonts w:ascii="Arial" w:cs="Arial" w:eastAsia="Arial" w:hAnsi="Arial"/>
                <w:sz w:val="11"/>
                <w:szCs w:val="11"/>
                <w:b w:val="1"/>
                <w:bCs w:val="1"/>
                <w:color w:val="auto"/>
                <w:w w:val="85"/>
              </w:rPr>
              <w:t>amount</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79"/>
              </w:rPr>
              <w:t>cost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1"/>
                <w:szCs w:val="11"/>
                <w:b w:val="1"/>
                <w:bCs w:val="1"/>
                <w:color w:val="auto"/>
              </w:rPr>
              <w:t>amount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gridSpan w:val="2"/>
          </w:tcPr>
          <w:p>
            <w:pPr>
              <w:jc w:val="right"/>
              <w:ind w:right="400"/>
              <w:spacing w:after="0"/>
              <w:rPr>
                <w:sz w:val="20"/>
                <w:szCs w:val="20"/>
                <w:color w:val="auto"/>
              </w:rPr>
            </w:pPr>
            <w:r>
              <w:rPr>
                <w:rFonts w:ascii="Arial" w:cs="Arial" w:eastAsia="Arial" w:hAnsi="Arial"/>
                <w:sz w:val="11"/>
                <w:szCs w:val="11"/>
                <w:b w:val="1"/>
                <w:bCs w:val="1"/>
                <w:color w:val="auto"/>
              </w:rPr>
              <w:t>cost</w:t>
            </w:r>
          </w:p>
        </w:tc>
        <w:tc>
          <w:tcPr>
            <w:tcW w:w="100" w:type="dxa"/>
            <w:vAlign w:val="bottom"/>
          </w:tcPr>
          <w:p>
            <w:pPr>
              <w:spacing w:after="0"/>
              <w:rPr>
                <w:sz w:val="11"/>
                <w:szCs w:val="11"/>
                <w:color w:val="auto"/>
              </w:rPr>
            </w:pPr>
          </w:p>
        </w:tc>
        <w:tc>
          <w:tcPr>
            <w:tcW w:w="580" w:type="dxa"/>
            <w:vAlign w:val="bottom"/>
          </w:tcPr>
          <w:p>
            <w:pPr>
              <w:jc w:val="right"/>
              <w:ind w:right="106"/>
              <w:spacing w:after="0"/>
              <w:rPr>
                <w:sz w:val="20"/>
                <w:szCs w:val="20"/>
                <w:color w:val="auto"/>
              </w:rPr>
            </w:pPr>
            <w:r>
              <w:rPr>
                <w:rFonts w:ascii="Arial" w:cs="Arial" w:eastAsia="Arial" w:hAnsi="Arial"/>
                <w:sz w:val="11"/>
                <w:szCs w:val="11"/>
                <w:b w:val="1"/>
                <w:bCs w:val="1"/>
                <w:color w:val="auto"/>
              </w:rPr>
              <w:t>amount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320"/>
              <w:spacing w:after="0"/>
              <w:rPr>
                <w:sz w:val="20"/>
                <w:szCs w:val="20"/>
                <w:color w:val="auto"/>
              </w:rPr>
            </w:pPr>
            <w:r>
              <w:rPr>
                <w:rFonts w:ascii="Arial" w:cs="Arial" w:eastAsia="Arial" w:hAnsi="Arial"/>
                <w:sz w:val="11"/>
                <w:szCs w:val="11"/>
                <w:b w:val="1"/>
                <w:bCs w:val="1"/>
                <w:color w:val="auto"/>
              </w:rPr>
              <w:t>cost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90"/>
              </w:rPr>
              <w:t>amount</w:t>
            </w:r>
          </w:p>
        </w:tc>
        <w:tc>
          <w:tcPr>
            <w:tcW w:w="80" w:type="dxa"/>
            <w:vAlign w:val="bottom"/>
          </w:tcPr>
          <w:p>
            <w:pPr>
              <w:spacing w:after="0"/>
              <w:rPr>
                <w:sz w:val="11"/>
                <w:szCs w:val="11"/>
                <w:color w:val="auto"/>
              </w:rPr>
            </w:pPr>
          </w:p>
        </w:tc>
        <w:tc>
          <w:tcPr>
            <w:tcW w:w="680" w:type="dxa"/>
            <w:vAlign w:val="bottom"/>
            <w:gridSpan w:val="2"/>
          </w:tcPr>
          <w:p>
            <w:pPr>
              <w:jc w:val="center"/>
              <w:ind w:right="180"/>
              <w:spacing w:after="0"/>
              <w:rPr>
                <w:sz w:val="20"/>
                <w:szCs w:val="20"/>
                <w:color w:val="auto"/>
              </w:rPr>
            </w:pPr>
            <w:r>
              <w:rPr>
                <w:rFonts w:ascii="Arial" w:cs="Arial" w:eastAsia="Arial" w:hAnsi="Arial"/>
                <w:sz w:val="11"/>
                <w:szCs w:val="11"/>
                <w:b w:val="1"/>
                <w:bCs w:val="1"/>
                <w:color w:val="auto"/>
                <w:w w:val="79"/>
              </w:rPr>
              <w:t>cost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center"/>
              <w:ind w:right="180"/>
              <w:spacing w:after="0"/>
              <w:rPr>
                <w:sz w:val="20"/>
                <w:szCs w:val="20"/>
                <w:color w:val="auto"/>
              </w:rPr>
            </w:pPr>
            <w:r>
              <w:rPr>
                <w:rFonts w:ascii="Arial" w:cs="Arial" w:eastAsia="Arial" w:hAnsi="Arial"/>
                <w:sz w:val="11"/>
                <w:szCs w:val="11"/>
                <w:b w:val="1"/>
                <w:bCs w:val="1"/>
                <w:color w:val="auto"/>
                <w:w w:val="90"/>
              </w:rPr>
              <w:t>amount</w:t>
            </w:r>
          </w:p>
        </w:tc>
      </w:tr>
      <w:tr>
        <w:trPr>
          <w:trHeight w:val="115"/>
        </w:trPr>
        <w:tc>
          <w:tcPr>
            <w:tcW w:w="122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580" w:type="dxa"/>
            <w:vAlign w:val="bottom"/>
            <w:tcBorders>
              <w:top w:val="single" w:sz="8" w:color="auto"/>
            </w:tcBorders>
            <w:gridSpan w:val="6"/>
          </w:tcPr>
          <w:p>
            <w:pPr>
              <w:jc w:val="right"/>
              <w:ind w:right="740"/>
              <w:spacing w:after="0" w:line="115" w:lineRule="exact"/>
              <w:rPr>
                <w:sz w:val="20"/>
                <w:szCs w:val="20"/>
                <w:color w:val="auto"/>
              </w:rPr>
            </w:pPr>
            <w:r>
              <w:rPr>
                <w:rFonts w:ascii="Arial" w:cs="Arial" w:eastAsia="Arial" w:hAnsi="Arial"/>
                <w:sz w:val="11"/>
                <w:szCs w:val="11"/>
                <w:b w:val="1"/>
                <w:bCs w:val="1"/>
                <w:color w:val="auto"/>
              </w:rPr>
              <w:t>(in millions)</w:t>
            </w: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2003 &amp; Prior</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color w:val="auto"/>
              </w:rPr>
              <w:t>14.4</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15.1</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9.8</w:t>
            </w:r>
          </w:p>
        </w:tc>
        <w:tc>
          <w:tcPr>
            <w:tcW w:w="280" w:type="dxa"/>
            <w:vAlign w:val="bottom"/>
            <w:gridSpan w:val="2"/>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10.5</w:t>
            </w:r>
          </w:p>
        </w:tc>
        <w:tc>
          <w:tcPr>
            <w:tcW w:w="180" w:type="dxa"/>
            <w:vAlign w:val="bottom"/>
            <w:gridSpan w:val="2"/>
            <w:shd w:val="clear" w:color="auto" w:fill="CCEEFF"/>
          </w:tcPr>
          <w:p>
            <w:pPr>
              <w:jc w:val="right"/>
              <w:ind w:right="13"/>
              <w:spacing w:after="0" w:line="122" w:lineRule="exact"/>
              <w:rPr>
                <w:sz w:val="20"/>
                <w:szCs w:val="20"/>
                <w:color w:val="auto"/>
              </w:rPr>
            </w:pPr>
            <w:r>
              <w:rPr>
                <w:rFonts w:ascii="Arial" w:cs="Arial" w:eastAsia="Arial" w:hAnsi="Arial"/>
                <w:sz w:val="11"/>
                <w:szCs w:val="11"/>
                <w:color w:val="auto"/>
              </w:rPr>
              <w:t>$</w:t>
            </w: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color w:val="auto"/>
              </w:rPr>
              <w:t>4.8</w:t>
            </w:r>
          </w:p>
        </w:tc>
        <w:tc>
          <w:tcPr>
            <w:tcW w:w="240" w:type="dxa"/>
            <w:vAlign w:val="bottom"/>
            <w:gridSpan w:val="2"/>
            <w:shd w:val="clear" w:color="auto" w:fill="CCEEFF"/>
          </w:tcPr>
          <w:p>
            <w:pPr>
              <w:jc w:val="right"/>
              <w:ind w:right="13"/>
              <w:spacing w:after="0" w:line="122" w:lineRule="exact"/>
              <w:rPr>
                <w:sz w:val="20"/>
                <w:szCs w:val="20"/>
                <w:color w:val="auto"/>
              </w:rPr>
            </w:pPr>
            <w:r>
              <w:rPr>
                <w:rFonts w:ascii="Arial" w:cs="Arial" w:eastAsia="Arial" w:hAnsi="Arial"/>
                <w:sz w:val="11"/>
                <w:szCs w:val="11"/>
                <w:color w:val="auto"/>
              </w:rPr>
              <w:t>$</w:t>
            </w: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5.2</w:t>
            </w:r>
          </w:p>
        </w:tc>
        <w:tc>
          <w:tcPr>
            <w:tcW w:w="160" w:type="dxa"/>
            <w:vAlign w:val="bottom"/>
            <w:gridSpan w:val="2"/>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28.7</w:t>
            </w: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33.5</w:t>
            </w:r>
          </w:p>
        </w:tc>
        <w:tc>
          <w:tcPr>
            <w:tcW w:w="240" w:type="dxa"/>
            <w:vAlign w:val="bottom"/>
            <w:gridSpan w:val="2"/>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39.8</w:t>
            </w:r>
          </w:p>
        </w:tc>
        <w:tc>
          <w:tcPr>
            <w:tcW w:w="180" w:type="dxa"/>
            <w:vAlign w:val="bottom"/>
            <w:gridSpan w:val="2"/>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43.6</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97.5</w:t>
            </w:r>
          </w:p>
        </w:tc>
        <w:tc>
          <w:tcPr>
            <w:tcW w:w="160" w:type="dxa"/>
            <w:vAlign w:val="bottom"/>
            <w:gridSpan w:val="2"/>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700" w:type="dxa"/>
            <w:vAlign w:val="bottom"/>
            <w:gridSpan w:val="2"/>
            <w:shd w:val="clear" w:color="auto" w:fill="CCEEFF"/>
          </w:tcPr>
          <w:p>
            <w:pPr>
              <w:jc w:val="right"/>
              <w:ind w:right="100"/>
              <w:spacing w:after="0" w:line="122" w:lineRule="exact"/>
              <w:rPr>
                <w:sz w:val="20"/>
                <w:szCs w:val="20"/>
                <w:color w:val="auto"/>
              </w:rPr>
            </w:pPr>
            <w:r>
              <w:rPr>
                <w:rFonts w:ascii="Arial" w:cs="Arial" w:eastAsia="Arial" w:hAnsi="Arial"/>
                <w:sz w:val="11"/>
                <w:szCs w:val="11"/>
                <w:color w:val="auto"/>
              </w:rPr>
              <w:t>107.9</w:t>
            </w: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2004</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color w:val="auto"/>
              </w:rPr>
              <w:t>2.8</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color w:val="auto"/>
              </w:rPr>
              <w:t>3.3</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color w:val="auto"/>
              </w:rPr>
              <w:t>39.1</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39.8</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color w:val="auto"/>
              </w:rPr>
              <w:t>31.6</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33.4</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color w:val="auto"/>
              </w:rPr>
              <w:t>25.8</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color w:val="auto"/>
              </w:rPr>
              <w:t>27.3</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29.9</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color w:val="auto"/>
              </w:rPr>
              <w:t>30.3</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129.2</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134.1</w:t>
            </w: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2005</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color w:val="auto"/>
              </w:rPr>
              <w:t>205.5</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208.3</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63.3</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64.7</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color w:val="auto"/>
              </w:rPr>
              <w:t>28.7</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29.6</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85.2</w:t>
            </w: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86.4</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139.0</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125.2</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521.7</w:t>
            </w: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100"/>
              <w:spacing w:after="0" w:line="122" w:lineRule="exact"/>
              <w:rPr>
                <w:sz w:val="20"/>
                <w:szCs w:val="20"/>
                <w:color w:val="auto"/>
              </w:rPr>
            </w:pPr>
            <w:r>
              <w:rPr>
                <w:rFonts w:ascii="Arial" w:cs="Arial" w:eastAsia="Arial" w:hAnsi="Arial"/>
                <w:sz w:val="11"/>
                <w:szCs w:val="11"/>
                <w:color w:val="auto"/>
              </w:rPr>
              <w:t>514.2</w:t>
            </w: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2006</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color w:val="auto"/>
              </w:rPr>
              <w:t>80.1</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color w:val="auto"/>
              </w:rPr>
              <w:t>82.2</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color w:val="auto"/>
              </w:rPr>
              <w:t>45.2</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46.2</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color w:val="auto"/>
              </w:rPr>
              <w:t>85.8</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88.6</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color w:val="auto"/>
              </w:rPr>
              <w:t>150.9</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color w:val="auto"/>
              </w:rPr>
              <w:t>155.1</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126.9</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color w:val="auto"/>
              </w:rPr>
              <w:t>115.7</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488.9</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487.8</w:t>
            </w: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2007</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color w:val="auto"/>
              </w:rPr>
              <w:t>41.0</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42.4</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102.3</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111.2</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color w:val="auto"/>
              </w:rPr>
              <w:t>156.0</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169.7</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213.8</w:t>
            </w: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226.8</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665.9</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670.5</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1,179.0</w:t>
            </w: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100"/>
              <w:spacing w:after="0" w:line="122" w:lineRule="exact"/>
              <w:rPr>
                <w:sz w:val="20"/>
                <w:szCs w:val="20"/>
                <w:color w:val="auto"/>
              </w:rPr>
            </w:pPr>
            <w:r>
              <w:rPr>
                <w:rFonts w:ascii="Arial" w:cs="Arial" w:eastAsia="Arial" w:hAnsi="Arial"/>
                <w:sz w:val="11"/>
                <w:szCs w:val="11"/>
                <w:color w:val="auto"/>
              </w:rPr>
              <w:t>1,220.6</w:t>
            </w: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2008</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color w:val="auto"/>
              </w:rPr>
              <w:t>22.0</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color w:val="auto"/>
              </w:rPr>
              <w:t>23.3</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color w:val="auto"/>
              </w:rPr>
              <w:t>26.7</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29.1</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color w:val="auto"/>
              </w:rPr>
              <w:t>44.6</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color w:val="auto"/>
              </w:rPr>
              <w:t>45.5</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55.5</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color w:val="auto"/>
              </w:rPr>
              <w:t>61.2</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148.8</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159.1</w:t>
            </w: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2009</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color w:val="auto"/>
              </w:rPr>
              <w:t>70.2</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73.0</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45.6</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47.4</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color w:val="auto"/>
              </w:rPr>
              <w:t>18.4</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19.2</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4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134.2</w:t>
            </w: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100"/>
              <w:spacing w:after="0" w:line="122" w:lineRule="exact"/>
              <w:rPr>
                <w:sz w:val="20"/>
                <w:szCs w:val="20"/>
                <w:color w:val="auto"/>
              </w:rPr>
            </w:pPr>
            <w:r>
              <w:rPr>
                <w:rFonts w:ascii="Arial" w:cs="Arial" w:eastAsia="Arial" w:hAnsi="Arial"/>
                <w:sz w:val="11"/>
                <w:szCs w:val="11"/>
                <w:color w:val="auto"/>
              </w:rPr>
              <w:t>139.6</w:t>
            </w: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2010</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color w:val="auto"/>
              </w:rPr>
              <w:t>64.7</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color w:val="auto"/>
              </w:rPr>
              <w:t>68.4</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color w:val="auto"/>
              </w:rPr>
              <w:t>41.3</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42.7</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gridSpan w:val="2"/>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106.0</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111.1</w:t>
            </w: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2011</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color w:val="auto"/>
              </w:rPr>
              <w:t>76.5</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77.0</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136.8</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139.0</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color w:val="auto"/>
              </w:rPr>
              <w:t>2.2</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2.2</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7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4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215.5</w:t>
            </w: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100"/>
              <w:spacing w:after="0" w:line="122" w:lineRule="exact"/>
              <w:rPr>
                <w:sz w:val="20"/>
                <w:szCs w:val="20"/>
                <w:color w:val="auto"/>
              </w:rPr>
            </w:pPr>
            <w:r>
              <w:rPr>
                <w:rFonts w:ascii="Arial" w:cs="Arial" w:eastAsia="Arial" w:hAnsi="Arial"/>
                <w:sz w:val="11"/>
                <w:szCs w:val="11"/>
                <w:color w:val="auto"/>
              </w:rPr>
              <w:t>218.2</w:t>
            </w: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2012</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color w:val="auto"/>
              </w:rPr>
              <w:t>214.8</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color w:val="auto"/>
              </w:rPr>
              <w:t>218.3</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color w:val="auto"/>
              </w:rPr>
              <w:t>143.3</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145.4</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color w:val="auto"/>
              </w:rPr>
              <w:t>3.5</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3.5</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gridSpan w:val="2"/>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361.6</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367.2</w:t>
            </w:r>
          </w:p>
        </w:tc>
      </w:tr>
      <w:tr>
        <w:trPr>
          <w:trHeight w:val="122"/>
        </w:trPr>
        <w:tc>
          <w:tcPr>
            <w:tcW w:w="1220" w:type="dxa"/>
            <w:vAlign w:val="bottom"/>
            <w:shd w:val="clear" w:color="auto" w:fill="CCEEFF"/>
          </w:tcPr>
          <w:p>
            <w:pPr>
              <w:spacing w:after="0" w:line="122" w:lineRule="exact"/>
              <w:rPr>
                <w:sz w:val="20"/>
                <w:szCs w:val="20"/>
                <w:color w:val="auto"/>
              </w:rPr>
            </w:pPr>
            <w:r>
              <w:rPr>
                <w:rFonts w:ascii="Arial" w:cs="Arial" w:eastAsia="Arial" w:hAnsi="Arial"/>
                <w:sz w:val="11"/>
                <w:szCs w:val="11"/>
                <w:color w:val="auto"/>
              </w:rPr>
              <w:t>2013</w:t>
            </w:r>
          </w:p>
        </w:tc>
        <w:tc>
          <w:tcPr>
            <w:tcW w:w="8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80"/>
              <w:spacing w:after="0" w:line="122" w:lineRule="exact"/>
              <w:rPr>
                <w:sz w:val="20"/>
                <w:szCs w:val="20"/>
                <w:color w:val="auto"/>
              </w:rPr>
            </w:pPr>
            <w:r>
              <w:rPr>
                <w:rFonts w:ascii="Arial" w:cs="Arial" w:eastAsia="Arial" w:hAnsi="Arial"/>
                <w:sz w:val="11"/>
                <w:szCs w:val="11"/>
                <w:color w:val="auto"/>
              </w:rPr>
              <w:t>201.4</w:t>
            </w: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200.7</w:t>
            </w:r>
          </w:p>
        </w:tc>
        <w:tc>
          <w:tcPr>
            <w:tcW w:w="1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72.8</w:t>
            </w:r>
          </w:p>
        </w:tc>
        <w:tc>
          <w:tcPr>
            <w:tcW w:w="1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73.0</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4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1"/>
                <w:szCs w:val="11"/>
                <w:color w:val="auto"/>
              </w:rPr>
              <w:t>—</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6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15.6</w:t>
            </w: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15.7</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10.3</w:t>
            </w: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10.4</w:t>
            </w: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80"/>
              <w:spacing w:after="0" w:line="122" w:lineRule="exact"/>
              <w:rPr>
                <w:sz w:val="20"/>
                <w:szCs w:val="20"/>
                <w:color w:val="auto"/>
              </w:rPr>
            </w:pPr>
            <w:r>
              <w:rPr>
                <w:rFonts w:ascii="Arial" w:cs="Arial" w:eastAsia="Arial" w:hAnsi="Arial"/>
                <w:sz w:val="11"/>
                <w:szCs w:val="11"/>
                <w:color w:val="auto"/>
              </w:rPr>
              <w:t>300.1</w:t>
            </w: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100"/>
              <w:spacing w:after="0" w:line="122" w:lineRule="exact"/>
              <w:rPr>
                <w:sz w:val="20"/>
                <w:szCs w:val="20"/>
                <w:color w:val="auto"/>
              </w:rPr>
            </w:pPr>
            <w:r>
              <w:rPr>
                <w:rFonts w:ascii="Arial" w:cs="Arial" w:eastAsia="Arial" w:hAnsi="Arial"/>
                <w:sz w:val="11"/>
                <w:szCs w:val="11"/>
                <w:color w:val="auto"/>
              </w:rPr>
              <w:t>299.8</w:t>
            </w:r>
          </w:p>
        </w:tc>
      </w:tr>
      <w:tr>
        <w:trPr>
          <w:trHeight w:val="122"/>
        </w:trPr>
        <w:tc>
          <w:tcPr>
            <w:tcW w:w="1220" w:type="dxa"/>
            <w:vAlign w:val="bottom"/>
          </w:tcPr>
          <w:p>
            <w:pPr>
              <w:spacing w:after="0" w:line="122" w:lineRule="exact"/>
              <w:rPr>
                <w:sz w:val="20"/>
                <w:szCs w:val="20"/>
                <w:color w:val="auto"/>
              </w:rPr>
            </w:pPr>
            <w:r>
              <w:rPr>
                <w:rFonts w:ascii="Arial" w:cs="Arial" w:eastAsia="Arial" w:hAnsi="Arial"/>
                <w:sz w:val="11"/>
                <w:szCs w:val="11"/>
                <w:color w:val="auto"/>
              </w:rPr>
              <w:t>2014</w:t>
            </w:r>
          </w:p>
        </w:tc>
        <w:tc>
          <w:tcPr>
            <w:tcW w:w="80" w:type="dxa"/>
            <w:vAlign w:val="bottom"/>
          </w:tcPr>
          <w:p>
            <w:pPr>
              <w:spacing w:after="0"/>
              <w:rPr>
                <w:sz w:val="10"/>
                <w:szCs w:val="10"/>
                <w:color w:val="auto"/>
              </w:rPr>
            </w:pPr>
          </w:p>
        </w:tc>
        <w:tc>
          <w:tcPr>
            <w:tcW w:w="800" w:type="dxa"/>
            <w:vAlign w:val="bottom"/>
            <w:gridSpan w:val="2"/>
          </w:tcPr>
          <w:p>
            <w:pPr>
              <w:jc w:val="right"/>
              <w:ind w:right="180"/>
              <w:spacing w:after="0" w:line="122" w:lineRule="exact"/>
              <w:rPr>
                <w:sz w:val="20"/>
                <w:szCs w:val="20"/>
                <w:color w:val="auto"/>
              </w:rPr>
            </w:pPr>
            <w:r>
              <w:rPr>
                <w:rFonts w:ascii="Arial" w:cs="Arial" w:eastAsia="Arial" w:hAnsi="Arial"/>
                <w:sz w:val="11"/>
                <w:szCs w:val="11"/>
                <w:color w:val="auto"/>
              </w:rPr>
              <w:t>168.1</w:t>
            </w:r>
          </w:p>
        </w:tc>
        <w:tc>
          <w:tcPr>
            <w:tcW w:w="10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1"/>
                <w:szCs w:val="11"/>
                <w:color w:val="auto"/>
              </w:rPr>
              <w:t>169.5</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jc w:val="right"/>
              <w:spacing w:after="0" w:line="122" w:lineRule="exact"/>
              <w:rPr>
                <w:sz w:val="20"/>
                <w:szCs w:val="20"/>
                <w:color w:val="auto"/>
              </w:rPr>
            </w:pPr>
            <w:r>
              <w:rPr>
                <w:rFonts w:ascii="Arial" w:cs="Arial" w:eastAsia="Arial" w:hAnsi="Arial"/>
                <w:sz w:val="11"/>
                <w:szCs w:val="11"/>
                <w:color w:val="auto"/>
              </w:rPr>
              <w:t>44.8</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44.9</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2"/>
          </w:tcPr>
          <w:p>
            <w:pPr>
              <w:jc w:val="right"/>
              <w:ind w:right="20"/>
              <w:spacing w:after="0" w:line="122" w:lineRule="exact"/>
              <w:rPr>
                <w:sz w:val="20"/>
                <w:szCs w:val="20"/>
                <w:color w:val="auto"/>
              </w:rPr>
            </w:pPr>
            <w:r>
              <w:rPr>
                <w:rFonts w:ascii="Arial" w:cs="Arial" w:eastAsia="Arial" w:hAnsi="Arial"/>
                <w:sz w:val="11"/>
                <w:szCs w:val="11"/>
                <w:color w:val="auto"/>
              </w:rPr>
              <w:t>3.0</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3.0</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gridSpan w:val="2"/>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58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gridSpan w:val="2"/>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68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215.9</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217.4</w:t>
            </w:r>
          </w:p>
        </w:tc>
      </w:tr>
      <w:tr>
        <w:trPr>
          <w:trHeight w:val="115"/>
        </w:trPr>
        <w:tc>
          <w:tcPr>
            <w:tcW w:w="1220" w:type="dxa"/>
            <w:vAlign w:val="bottom"/>
            <w:tcBorders>
              <w:top w:val="single" w:sz="8" w:color="CCEEFF"/>
              <w:bottom w:val="single" w:sz="8" w:color="CCEEFF"/>
            </w:tcBorders>
            <w:shd w:val="clear" w:color="auto" w:fill="CCEEFF"/>
          </w:tcPr>
          <w:p>
            <w:pPr>
              <w:spacing w:after="0" w:line="115" w:lineRule="exact"/>
              <w:rPr>
                <w:sz w:val="20"/>
                <w:szCs w:val="20"/>
                <w:color w:val="auto"/>
              </w:rPr>
            </w:pPr>
            <w:r>
              <w:rPr>
                <w:rFonts w:ascii="Arial" w:cs="Arial" w:eastAsia="Arial" w:hAnsi="Arial"/>
                <w:sz w:val="11"/>
                <w:szCs w:val="11"/>
                <w:color w:val="auto"/>
              </w:rPr>
              <w:t>Total (1)</w:t>
            </w: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1,161.5</w:t>
            </w:r>
          </w:p>
        </w:tc>
        <w:tc>
          <w:tcPr>
            <w:tcW w:w="180" w:type="dxa"/>
            <w:vAlign w:val="bottom"/>
            <w:tcBorders>
              <w:top w:val="single" w:sz="8" w:color="CCEEFF"/>
              <w:bottom w:val="single" w:sz="8" w:color="CCEEFF"/>
            </w:tcBorders>
            <w:shd w:val="clear" w:color="auto" w:fill="CCEEFF"/>
          </w:tcPr>
          <w:p>
            <w:pPr>
              <w:spacing w:after="0"/>
              <w:rPr>
                <w:sz w:val="10"/>
                <w:szCs w:val="10"/>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1,181.5</w:t>
            </w:r>
          </w:p>
        </w:tc>
        <w:tc>
          <w:tcPr>
            <w:tcW w:w="18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771.0</w:t>
            </w:r>
          </w:p>
        </w:tc>
        <w:tc>
          <w:tcPr>
            <w:tcW w:w="180" w:type="dxa"/>
            <w:vAlign w:val="bottom"/>
            <w:tcBorders>
              <w:top w:val="single" w:sz="8" w:color="CCEEFF"/>
              <w:bottom w:val="single" w:sz="8" w:color="CCEEFF"/>
            </w:tcBorders>
            <w:shd w:val="clear" w:color="auto" w:fill="CCEEFF"/>
          </w:tcPr>
          <w:p>
            <w:pPr>
              <w:spacing w:after="0"/>
              <w:rPr>
                <w:sz w:val="10"/>
                <w:szCs w:val="10"/>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793.9</w:t>
            </w:r>
          </w:p>
        </w:tc>
        <w:tc>
          <w:tcPr>
            <w:tcW w:w="80" w:type="dxa"/>
            <w:vAlign w:val="bottom"/>
            <w:tcBorders>
              <w:top w:val="single" w:sz="8" w:color="CCEEFF"/>
              <w:bottom w:val="single" w:sz="8" w:color="CCEEFF"/>
            </w:tcBorders>
            <w:shd w:val="clear" w:color="auto" w:fill="CCEEFF"/>
          </w:tcPr>
          <w:p>
            <w:pPr>
              <w:spacing w:after="0"/>
              <w:rPr>
                <w:sz w:val="10"/>
                <w:szCs w:val="10"/>
                <w:color w:val="auto"/>
              </w:rPr>
            </w:pPr>
          </w:p>
        </w:tc>
        <w:tc>
          <w:tcPr>
            <w:tcW w:w="10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auto"/>
              <w:bottom w:val="single" w:sz="8" w:color="auto"/>
            </w:tcBorders>
            <w:shd w:val="clear" w:color="auto" w:fill="CCEEFF"/>
          </w:tcPr>
          <w:p>
            <w:pPr>
              <w:jc w:val="right"/>
              <w:ind w:right="13"/>
              <w:spacing w:after="0"/>
              <w:rPr>
                <w:sz w:val="20"/>
                <w:szCs w:val="20"/>
                <w:color w:val="auto"/>
              </w:rPr>
            </w:pPr>
            <w:r>
              <w:rPr>
                <w:rFonts w:ascii="Arial" w:cs="Arial" w:eastAsia="Arial" w:hAnsi="Arial"/>
                <w:sz w:val="5"/>
                <w:szCs w:val="5"/>
                <w:color w:val="auto"/>
                <w:w w:val="70"/>
              </w:rPr>
              <w:t>$</w:t>
            </w:r>
          </w:p>
        </w:tc>
        <w:tc>
          <w:tcPr>
            <w:tcW w:w="62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334.0</w:t>
            </w:r>
          </w:p>
        </w:tc>
        <w:tc>
          <w:tcPr>
            <w:tcW w:w="20" w:type="dxa"/>
            <w:vAlign w:val="bottom"/>
            <w:tcBorders>
              <w:top w:val="single" w:sz="8" w:color="CCEEFF"/>
              <w:bottom w:val="single" w:sz="8" w:color="CCEEFF"/>
            </w:tcBorders>
            <w:shd w:val="clear" w:color="auto" w:fill="CCEEFF"/>
          </w:tcPr>
          <w:p>
            <w:pPr>
              <w:spacing w:after="0"/>
              <w:rPr>
                <w:sz w:val="10"/>
                <w:szCs w:val="10"/>
                <w:color w:val="auto"/>
              </w:rPr>
            </w:pPr>
          </w:p>
        </w:tc>
        <w:tc>
          <w:tcPr>
            <w:tcW w:w="16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auto"/>
              <w:bottom w:val="single" w:sz="8" w:color="auto"/>
            </w:tcBorders>
            <w:shd w:val="clear" w:color="auto" w:fill="CCEEFF"/>
          </w:tcPr>
          <w:p>
            <w:pPr>
              <w:jc w:val="right"/>
              <w:ind w:right="13"/>
              <w:spacing w:after="0"/>
              <w:rPr>
                <w:sz w:val="20"/>
                <w:szCs w:val="20"/>
                <w:color w:val="auto"/>
              </w:rPr>
            </w:pPr>
            <w:r>
              <w:rPr>
                <w:rFonts w:ascii="Arial" w:cs="Arial" w:eastAsia="Arial" w:hAnsi="Arial"/>
                <w:sz w:val="5"/>
                <w:szCs w:val="5"/>
                <w:color w:val="auto"/>
                <w:w w:val="70"/>
              </w:rPr>
              <w:t>$</w:t>
            </w:r>
          </w:p>
        </w:tc>
        <w:tc>
          <w:tcPr>
            <w:tcW w:w="58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354.4</w:t>
            </w:r>
          </w:p>
        </w:tc>
        <w:tc>
          <w:tcPr>
            <w:tcW w:w="80" w:type="dxa"/>
            <w:vAlign w:val="bottom"/>
            <w:tcBorders>
              <w:top w:val="single" w:sz="8" w:color="CCEEFF"/>
              <w:bottom w:val="single" w:sz="8" w:color="CCEEFF"/>
            </w:tcBorders>
            <w:shd w:val="clear" w:color="auto" w:fill="CCEEFF"/>
          </w:tcPr>
          <w:p>
            <w:pPr>
              <w:spacing w:after="0"/>
              <w:rPr>
                <w:sz w:val="10"/>
                <w:szCs w:val="10"/>
                <w:color w:val="auto"/>
              </w:rPr>
            </w:pPr>
          </w:p>
        </w:tc>
        <w:tc>
          <w:tcPr>
            <w:tcW w:w="100" w:type="dxa"/>
            <w:vAlign w:val="bottom"/>
            <w:tcBorders>
              <w:top w:val="single" w:sz="8" w:color="CCEEFF"/>
              <w:bottom w:val="single" w:sz="8" w:color="CCEEFF"/>
            </w:tcBorders>
            <w:shd w:val="clear" w:color="auto" w:fill="CCEEFF"/>
          </w:tcPr>
          <w:p>
            <w:pPr>
              <w:spacing w:after="0"/>
              <w:rPr>
                <w:sz w:val="10"/>
                <w:szCs w:val="10"/>
                <w:color w:val="auto"/>
              </w:rPr>
            </w:pPr>
          </w:p>
        </w:tc>
        <w:tc>
          <w:tcPr>
            <w:tcW w:w="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60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564.6</w:t>
            </w:r>
          </w:p>
        </w:tc>
        <w:tc>
          <w:tcPr>
            <w:tcW w:w="160" w:type="dxa"/>
            <w:vAlign w:val="bottom"/>
            <w:tcBorders>
              <w:top w:val="single" w:sz="8" w:color="CCEEFF"/>
              <w:bottom w:val="single" w:sz="8" w:color="CCEEFF"/>
            </w:tcBorders>
            <w:shd w:val="clear" w:color="auto" w:fill="CCEEFF"/>
          </w:tcPr>
          <w:p>
            <w:pPr>
              <w:spacing w:after="0"/>
              <w:rPr>
                <w:sz w:val="10"/>
                <w:szCs w:val="10"/>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590.3</w:t>
            </w:r>
          </w:p>
        </w:tc>
        <w:tc>
          <w:tcPr>
            <w:tcW w:w="16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1,067.3</w:t>
            </w:r>
          </w:p>
        </w:tc>
        <w:tc>
          <w:tcPr>
            <w:tcW w:w="8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CCEEFF"/>
              <w:bottom w:val="single" w:sz="8" w:color="CCEEFF"/>
            </w:tcBorders>
            <w:shd w:val="clear" w:color="auto" w:fill="CCEEFF"/>
          </w:tcPr>
          <w:p>
            <w:pPr>
              <w:spacing w:after="0"/>
              <w:rPr>
                <w:sz w:val="10"/>
                <w:szCs w:val="10"/>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1,056.9</w:t>
            </w:r>
          </w:p>
        </w:tc>
        <w:tc>
          <w:tcPr>
            <w:tcW w:w="16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3,898.4</w:t>
            </w:r>
          </w:p>
        </w:tc>
        <w:tc>
          <w:tcPr>
            <w:tcW w:w="8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1"/>
                <w:szCs w:val="11"/>
                <w:color w:val="auto"/>
              </w:rPr>
              <w:t>3,977.0</w:t>
            </w:r>
          </w:p>
        </w:tc>
        <w:tc>
          <w:tcPr>
            <w:tcW w:w="100" w:type="dxa"/>
            <w:vAlign w:val="bottom"/>
            <w:tcBorders>
              <w:top w:val="single" w:sz="8" w:color="CCEEFF"/>
              <w:bottom w:val="single" w:sz="8" w:color="CCEEFF"/>
            </w:tcBorders>
            <w:shd w:val="clear" w:color="auto" w:fill="CCEEFF"/>
          </w:tcPr>
          <w:p>
            <w:pPr>
              <w:spacing w:after="0"/>
              <w:rPr>
                <w:sz w:val="10"/>
                <w:szCs w:val="10"/>
                <w:color w:val="auto"/>
              </w:rPr>
            </w:pPr>
          </w:p>
        </w:tc>
      </w:tr>
      <w:tr>
        <w:trPr>
          <w:trHeight w:val="20"/>
        </w:trPr>
        <w:tc>
          <w:tcPr>
            <w:tcW w:w="1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6" w:lineRule="exact"/>
        <w:rPr>
          <w:sz w:val="20"/>
          <w:szCs w:val="20"/>
          <w:color w:val="auto"/>
        </w:rPr>
      </w:pPr>
    </w:p>
    <w:p>
      <w:pPr>
        <w:spacing w:after="0"/>
        <w:tabs>
          <w:tab w:leader="none" w:pos="220" w:val="left"/>
        </w:tabs>
        <w:rPr>
          <w:sz w:val="20"/>
          <w:szCs w:val="20"/>
          <w:color w:val="auto"/>
        </w:rPr>
      </w:pPr>
      <w:r>
        <w:rPr>
          <w:rFonts w:ascii="Arial" w:cs="Arial" w:eastAsia="Arial" w:hAnsi="Arial"/>
          <w:sz w:val="11"/>
          <w:szCs w:val="11"/>
          <w:color w:val="auto"/>
        </w:rPr>
        <w:t>(1)</w:t>
      </w:r>
      <w:r>
        <w:rPr>
          <w:sz w:val="20"/>
          <w:szCs w:val="20"/>
          <w:color w:val="auto"/>
        </w:rPr>
        <w:tab/>
      </w:r>
      <w:r>
        <w:rPr>
          <w:rFonts w:ascii="Arial" w:cs="Arial" w:eastAsia="Arial" w:hAnsi="Arial"/>
          <w:sz w:val="10"/>
          <w:szCs w:val="10"/>
          <w:color w:val="auto"/>
        </w:rPr>
        <w:t>The CMBS portfolio included agency CMBS with a $415.5 million amortized cost and a $420.4 million carrying amount.</w:t>
      </w:r>
    </w:p>
    <w:p>
      <w:pPr>
        <w:spacing w:after="0" w:line="207"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b w:val="1"/>
          <w:bCs w:val="1"/>
          <w:i w:val="1"/>
          <w:iCs w:val="1"/>
          <w:color w:val="auto"/>
        </w:rPr>
        <w:t xml:space="preserve">Fixed Maturities Watch List. </w:t>
      </w:r>
      <w:r>
        <w:rPr>
          <w:rFonts w:ascii="Arial" w:cs="Arial" w:eastAsia="Arial" w:hAnsi="Arial"/>
          <w:sz w:val="16"/>
          <w:szCs w:val="16"/>
          <w:color w:val="auto"/>
        </w:rPr>
        <w:t>We monitor any decline in the credit quality of fixed maturities through the designation of “problem securities,”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“potential problem securities” and “restructured securities”. We define problem securities in our fixed maturity portfolio as securities: (i) with principal and/or interest payments in default or where default is perceived to be imminent in the near term, or (ii) issued by a company that went into bankruptcy subsequent to the acquisition of such securities. We define potential problem securities in our fixed maturity portfolio as securities included on an internal “watch list” for which management has concerns as to the ability of the issuer to comply with the present debt payment terms and which may result in the security becoming a problem or being restructured. The decision whether to classify a performing fixed maturity security as a potential problem involves significant subjective judgments by our management as to the likely future industry conditions and developments with respect to the issuer. We define restructured securities in our</w:t>
      </w:r>
    </w:p>
    <w:p>
      <w:pPr>
        <w:sectPr>
          <w:pgSz w:w="11900" w:h="16838" w:orient="portrait"/>
          <w:cols w:equalWidth="0" w:num="1">
            <w:col w:w="11420"/>
          </w:cols>
          <w:pgMar w:left="240" w:top="125" w:right="239" w:bottom="0" w:gutter="0" w:footer="0" w:header="0"/>
        </w:sectPr>
      </w:pPr>
    </w:p>
    <w:bookmarkStart w:id="84" w:name="page85"/>
    <w:bookmarkEnd w:id="84"/>
    <w:p>
      <w:pPr>
        <w:spacing w:after="0" w:line="61"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fixed maturity portfolio as securities where a concession has been granted to the borrower related to the borrower’s financial difficulties that would not have otherwise been considered. We determine that restructures should occur in those instances where greater economic value will be realized under the new terms than through liquidation or other disposition and may involve a change in contractual cash flows. If the present</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value of the restructured cash flows is less than the current cost of the asset being restructured, a realized capital loss is recorded in net income and a new cost basis is established.</w:t>
      </w:r>
    </w:p>
    <w:p>
      <w:pPr>
        <w:spacing w:after="0" w:line="170"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 following table presents the total carrying amount of our fixed maturities portfolio, as well as its problem, potential problem and restructured fixed maturities for the periods indicated.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7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6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w w:val="96"/>
              </w:rPr>
              <w:t>September 30, 2015</w:t>
            </w: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96"/>
              </w:rPr>
              <w:t>December 31, 2014</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7560" w:type="dxa"/>
            <w:vAlign w:val="bottom"/>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3520" w:type="dxa"/>
            <w:vAlign w:val="bottom"/>
            <w:tcBorders>
              <w:top w:val="single" w:sz="8" w:color="auto"/>
            </w:tcBorders>
            <w:gridSpan w:val="5"/>
          </w:tcPr>
          <w:p>
            <w:pPr>
              <w:jc w:val="right"/>
              <w:ind w:right="1333"/>
              <w:spacing w:after="0"/>
              <w:rPr>
                <w:sz w:val="20"/>
                <w:szCs w:val="20"/>
                <w:color w:val="auto"/>
              </w:rPr>
            </w:pPr>
            <w:r>
              <w:rPr>
                <w:rFonts w:ascii="Arial" w:cs="Arial" w:eastAsia="Arial" w:hAnsi="Arial"/>
                <w:sz w:val="14"/>
                <w:szCs w:val="14"/>
                <w:b w:val="1"/>
                <w:bCs w:val="1"/>
                <w:color w:val="auto"/>
              </w:rPr>
              <w:t>($ in millions)</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75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560" w:type="dxa"/>
            <w:vAlign w:val="bottom"/>
            <w:shd w:val="clear" w:color="auto" w:fill="CCEEFF"/>
          </w:tcPr>
          <w:p>
            <w:pPr>
              <w:spacing w:after="0"/>
              <w:rPr>
                <w:sz w:val="20"/>
                <w:szCs w:val="20"/>
                <w:color w:val="auto"/>
              </w:rPr>
            </w:pPr>
            <w:r>
              <w:rPr>
                <w:rFonts w:ascii="Arial" w:cs="Arial" w:eastAsia="Arial" w:hAnsi="Arial"/>
                <w:sz w:val="18"/>
                <w:szCs w:val="18"/>
                <w:color w:val="auto"/>
              </w:rPr>
              <w:t>Total fixed maturities (public and private)</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47,035.6</w:t>
            </w:r>
          </w:p>
        </w:tc>
        <w:tc>
          <w:tcPr>
            <w:tcW w:w="24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47,028.1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5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Problem fixed maturities (1)</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CCEEFF"/>
            </w:tcBorders>
            <w:vMerge w:val="restart"/>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CCEEFF"/>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7560" w:type="dxa"/>
            <w:vAlign w:val="bottom"/>
            <w:vMerge w:val="continue"/>
          </w:tcPr>
          <w:p>
            <w:pPr>
              <w:spacing w:after="0"/>
              <w:rPr>
                <w:sz w:val="17"/>
                <w:szCs w:val="17"/>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54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252.8</w:t>
            </w:r>
          </w:p>
        </w:tc>
        <w:tc>
          <w:tcPr>
            <w:tcW w:w="220" w:type="dxa"/>
            <w:vAlign w:val="bottom"/>
          </w:tcPr>
          <w:p>
            <w:pPr>
              <w:spacing w:after="0"/>
              <w:rPr>
                <w:sz w:val="17"/>
                <w:szCs w:val="17"/>
                <w:color w:val="auto"/>
              </w:rPr>
            </w:pPr>
          </w:p>
        </w:tc>
        <w:tc>
          <w:tcPr>
            <w:tcW w:w="60" w:type="dxa"/>
            <w:vAlign w:val="bottom"/>
            <w:vMerge w:val="continue"/>
          </w:tcPr>
          <w:p>
            <w:pPr>
              <w:spacing w:after="0"/>
              <w:rPr>
                <w:sz w:val="17"/>
                <w:szCs w:val="17"/>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spacing w:after="0" w:line="196" w:lineRule="exact"/>
              <w:rPr>
                <w:sz w:val="20"/>
                <w:szCs w:val="20"/>
                <w:color w:val="auto"/>
              </w:rPr>
            </w:pPr>
            <w:r>
              <w:rPr>
                <w:rFonts w:ascii="Arial" w:cs="Arial" w:eastAsia="Arial" w:hAnsi="Arial"/>
                <w:sz w:val="18"/>
                <w:szCs w:val="18"/>
                <w:color w:val="auto"/>
              </w:rPr>
              <w:t>297.0</w:t>
            </w:r>
          </w:p>
        </w:tc>
        <w:tc>
          <w:tcPr>
            <w:tcW w:w="1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spacing w:after="0"/>
              <w:rPr>
                <w:sz w:val="20"/>
                <w:szCs w:val="20"/>
                <w:color w:val="auto"/>
              </w:rPr>
            </w:pPr>
            <w:r>
              <w:rPr>
                <w:rFonts w:ascii="Arial" w:cs="Arial" w:eastAsia="Arial" w:hAnsi="Arial"/>
                <w:sz w:val="18"/>
                <w:szCs w:val="18"/>
                <w:color w:val="auto"/>
              </w:rPr>
              <w:t>Potential problem fixed maturities</w:t>
            </w:r>
          </w:p>
        </w:tc>
        <w:tc>
          <w:tcPr>
            <w:tcW w:w="16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132.2</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161.3</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756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Total problem, potential problem and restructured fixed maturities</w:t>
            </w: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385.0</w:t>
            </w:r>
          </w:p>
        </w:tc>
        <w:tc>
          <w:tcPr>
            <w:tcW w:w="22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458.3</w:t>
            </w:r>
          </w:p>
        </w:tc>
        <w:tc>
          <w:tcPr>
            <w:tcW w:w="16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560" w:type="dxa"/>
            <w:vAlign w:val="bottom"/>
            <w:shd w:val="clear" w:color="auto" w:fill="CCEEFF"/>
          </w:tcPr>
          <w:p>
            <w:pPr>
              <w:ind w:left="160"/>
              <w:spacing w:after="0" w:line="156" w:lineRule="exact"/>
              <w:rPr>
                <w:sz w:val="20"/>
                <w:szCs w:val="20"/>
                <w:color w:val="auto"/>
              </w:rPr>
            </w:pPr>
            <w:r>
              <w:rPr>
                <w:rFonts w:ascii="Arial" w:cs="Arial" w:eastAsia="Arial" w:hAnsi="Arial"/>
                <w:sz w:val="18"/>
                <w:szCs w:val="18"/>
                <w:color w:val="auto"/>
              </w:rPr>
              <w:t>Total problem, potential problem and restructured fixed maturities as a percent of total fixed</w:t>
            </w:r>
          </w:p>
        </w:tc>
        <w:tc>
          <w:tcPr>
            <w:tcW w:w="160" w:type="dxa"/>
            <w:vAlign w:val="bottom"/>
            <w:shd w:val="clear" w:color="auto" w:fill="CCEEFF"/>
          </w:tcPr>
          <w:p>
            <w:pPr>
              <w:spacing w:after="0"/>
              <w:rPr>
                <w:sz w:val="13"/>
                <w:szCs w:val="13"/>
                <w:color w:val="auto"/>
              </w:rPr>
            </w:pPr>
          </w:p>
        </w:tc>
        <w:tc>
          <w:tcPr>
            <w:tcW w:w="176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0.82%</w:t>
            </w:r>
          </w:p>
        </w:tc>
        <w:tc>
          <w:tcPr>
            <w:tcW w:w="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5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5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maturities</w:t>
            </w:r>
          </w:p>
        </w:tc>
        <w:tc>
          <w:tcPr>
            <w:tcW w:w="160" w:type="dxa"/>
            <w:vAlign w:val="bottom"/>
            <w:shd w:val="clear" w:color="auto" w:fill="CCEEFF"/>
          </w:tcPr>
          <w:p>
            <w:pPr>
              <w:spacing w:after="0"/>
              <w:rPr>
                <w:sz w:val="20"/>
                <w:szCs w:val="20"/>
                <w:color w:val="auto"/>
              </w:rPr>
            </w:pPr>
          </w:p>
        </w:tc>
        <w:tc>
          <w:tcPr>
            <w:tcW w:w="1760" w:type="dxa"/>
            <w:vAlign w:val="bottom"/>
            <w:gridSpan w:val="2"/>
            <w:vMerge w:val="continue"/>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0.97%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60" w:hanging="652"/>
        <w:spacing w:after="0"/>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problem fixed maturities carrying amount is net of other-than-temporary impairment losses.</w:t>
      </w:r>
    </w:p>
    <w:p>
      <w:pPr>
        <w:spacing w:after="0" w:line="225" w:lineRule="exact"/>
        <w:rPr>
          <w:sz w:val="20"/>
          <w:szCs w:val="20"/>
          <w:color w:val="auto"/>
        </w:rPr>
      </w:pPr>
    </w:p>
    <w:p>
      <w:pPr>
        <w:ind w:right="300" w:firstLine="648"/>
        <w:spacing w:after="0" w:line="279" w:lineRule="auto"/>
        <w:rPr>
          <w:sz w:val="20"/>
          <w:szCs w:val="20"/>
          <w:color w:val="auto"/>
        </w:rPr>
      </w:pPr>
      <w:r>
        <w:rPr>
          <w:rFonts w:ascii="Arial" w:cs="Arial" w:eastAsia="Arial" w:hAnsi="Arial"/>
          <w:sz w:val="17"/>
          <w:szCs w:val="17"/>
          <w:b w:val="1"/>
          <w:bCs w:val="1"/>
          <w:i w:val="1"/>
          <w:iCs w:val="1"/>
          <w:color w:val="auto"/>
        </w:rPr>
        <w:t xml:space="preserve">Fixed Maturities Impairments. </w:t>
      </w:r>
      <w:r>
        <w:rPr>
          <w:rFonts w:ascii="Arial" w:cs="Arial" w:eastAsia="Arial" w:hAnsi="Arial"/>
          <w:sz w:val="17"/>
          <w:szCs w:val="17"/>
          <w:color w:val="auto"/>
        </w:rPr>
        <w:t>We have a process in place to identify securities that could potentially have a credit impairment that is other than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temporary.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spacing w:after="0" w:line="171"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Each reporting period, a group of individuals including the Chief Investment Officer, our Portfolio Managers, members of our Workout Group and representatives from Investment Accounting review all securities to determine whether an other-than-temporary decline in value exists and whether losses should be recognized. The analysis focuses on each issuer’s ability to service its debts in a timely fashion. Formal documentation of the analysis and our decision is prepared and approved by management.</w:t>
      </w:r>
    </w:p>
    <w:p>
      <w:pPr>
        <w:spacing w:after="0" w:line="187"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We consider relevant facts and circumstances in evaluating whether a credit or interest-rate related impairment of a security is other than temporary. Relevant facts and circumstances considered include: (1) the extent and length of time the fair value has been below cost; (2) the reasons for the decline in value; (3) the financial position and access to capital of the issuer, including the current and future impact of any specific events; (4) for structured securities, the adequacy of the expected cash flows and (5) our intent to sell the security or whether it is more likely than not we will be required to sell the security before recovery of its amortized cost which, in some cases, may extend to maturity. To the extent we determine that a security is deemed to be other than temporarily impaired, an impairment loss is recognized. For additional details, see Item 1. “Financial Statements, Notes to Unaudited Consolidated Financial Statements, Note 3, Investments.”</w:t>
      </w:r>
    </w:p>
    <w:p>
      <w:pPr>
        <w:spacing w:after="0" w:line="189"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We would not consider a security with unrealized losses to be other than temporarily impaired when it is not our intent to sell the security, it is not more likely than not that we would be required to sell the security before recovery of the amortized cost, which may be maturity, and we expect to recover the amortized cost basis. However, we do sell securities under certain circumstances, such as when we have evidence of a change in the issuer’s creditworthiness, when we anticipate poor relative future performance of securities, when a change in regulatory requirements modifies what constitutes a permissible investment or the maximum level of investments held or when there is an increase in capital requirements or a change in risk weights of debt securities. Sales generate both gains and losses.</w:t>
      </w:r>
    </w:p>
    <w:p>
      <w:pPr>
        <w:spacing w:after="0" w:line="193" w:lineRule="exact"/>
        <w:rPr>
          <w:sz w:val="20"/>
          <w:szCs w:val="20"/>
          <w:color w:val="auto"/>
        </w:rPr>
      </w:pPr>
    </w:p>
    <w:p>
      <w:pPr>
        <w:ind w:right="60" w:firstLine="648"/>
        <w:spacing w:after="0" w:line="293" w:lineRule="auto"/>
        <w:rPr>
          <w:sz w:val="20"/>
          <w:szCs w:val="20"/>
          <w:color w:val="auto"/>
        </w:rPr>
      </w:pPr>
      <w:r>
        <w:rPr>
          <w:rFonts w:ascii="Arial" w:cs="Arial" w:eastAsia="Arial" w:hAnsi="Arial"/>
          <w:sz w:val="16"/>
          <w:szCs w:val="16"/>
          <w:color w:val="auto"/>
        </w:rPr>
        <w:t>There are a number of significant risks and uncertainties inherent in the process of monitoring credit impairments and determining if an impairment is other than temporary. These risks and uncertainties include: (1) the risk that our assessment of an issuer’s ability to meet all of its contractual obligations will change based on changes in the credit characteristics of that issuer, (2) the risk that the economic outlook will be worse than expected or have more of an impact on the issuer than anticipated, (3) the risk that our investment professionals are making decisions based on fraudulent or misstated information in the financial statements provided by issuers and (4) the risk that new information obtained by us or changes in other facts and circumstances lead us to change our intent to not sell the security prior to recovery of its amortized cost. Any of these situations could result in a charge to net income in a future period.</w:t>
      </w:r>
    </w:p>
    <w:p>
      <w:pPr>
        <w:spacing w:after="0" w:line="165"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The net realized loss relating to other-than-temporary credit impairments and credit related sales of fixed maturities was $7.6 million and $21.7 million for the three months ended September 30, 2015 and 2014, respectively and $21.2 million and $66.7 million for the nine months ended September 30, 2015 and 2014, respectively.</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Maturities Available-for-Sale</w:t>
      </w:r>
    </w:p>
    <w:p>
      <w:pPr>
        <w:spacing w:after="0" w:line="225" w:lineRule="exact"/>
        <w:rPr>
          <w:sz w:val="20"/>
          <w:szCs w:val="20"/>
          <w:color w:val="auto"/>
        </w:rPr>
      </w:pPr>
    </w:p>
    <w:p>
      <w:pPr>
        <w:ind w:right="600" w:firstLine="648"/>
        <w:spacing w:after="0" w:line="277" w:lineRule="auto"/>
        <w:rPr>
          <w:sz w:val="20"/>
          <w:szCs w:val="20"/>
          <w:color w:val="auto"/>
        </w:rPr>
      </w:pPr>
      <w:r>
        <w:rPr>
          <w:rFonts w:ascii="Arial" w:cs="Arial" w:eastAsia="Arial" w:hAnsi="Arial"/>
          <w:sz w:val="18"/>
          <w:szCs w:val="18"/>
          <w:color w:val="auto"/>
        </w:rPr>
        <w:t>The following tables present our fixed maturities available-for-sale by industry category and the associated gross unrealized gains and losses, including other-than-temporary impairment losses reported in AOCI, as of the periods indicated.</w:t>
      </w:r>
    </w:p>
    <w:p>
      <w:pPr>
        <w:spacing w:after="0" w:line="162" w:lineRule="exact"/>
        <w:rPr>
          <w:sz w:val="20"/>
          <w:szCs w:val="20"/>
          <w:color w:val="auto"/>
        </w:rPr>
      </w:pPr>
    </w:p>
    <w:p>
      <w:pPr>
        <w:ind w:left="8020"/>
        <w:spacing w:after="0"/>
        <w:rPr>
          <w:sz w:val="20"/>
          <w:szCs w:val="20"/>
          <w:color w:val="auto"/>
        </w:rPr>
      </w:pPr>
      <w:r>
        <w:rPr>
          <w:rFonts w:ascii="Arial" w:cs="Arial" w:eastAsia="Arial" w:hAnsi="Arial"/>
          <w:sz w:val="14"/>
          <w:szCs w:val="14"/>
          <w:b w:val="1"/>
          <w:bCs w:val="1"/>
          <w:color w:val="auto"/>
        </w:rPr>
        <w:t>September 30, 2015</w:t>
      </w:r>
    </w:p>
    <w:p>
      <w:pPr>
        <w:spacing w:after="0" w:line="10" w:lineRule="exact"/>
        <w:rPr>
          <w:sz w:val="20"/>
          <w:szCs w:val="20"/>
          <w:color w:val="auto"/>
        </w:rPr>
      </w:pPr>
    </w:p>
    <w:tbl>
      <w:tblPr>
        <w:tblLayout w:type="fixed"/>
        <w:tblInd w:w="5900" w:type="dxa"/>
        <w:tblCellMar>
          <w:top w:w="0" w:type="dxa"/>
          <w:left w:w="0" w:type="dxa"/>
          <w:bottom w:w="0" w:type="dxa"/>
          <w:right w:w="0" w:type="dxa"/>
        </w:tblCellMar>
      </w:tblPr>
      <w:tr>
        <w:trPr>
          <w:trHeight w:val="119"/>
        </w:trPr>
        <w:tc>
          <w:tcPr>
            <w:tcW w:w="1300" w:type="dxa"/>
            <w:vAlign w:val="bottom"/>
            <w:tcBorders>
              <w:top w:val="single" w:sz="8" w:color="auto"/>
            </w:tcBorders>
            <w:vMerge w:val="restart"/>
          </w:tcPr>
          <w:p>
            <w:pPr>
              <w:ind w:left="260"/>
              <w:spacing w:after="0"/>
              <w:rPr>
                <w:sz w:val="20"/>
                <w:szCs w:val="20"/>
                <w:color w:val="auto"/>
              </w:rPr>
            </w:pPr>
            <w:r>
              <w:rPr>
                <w:rFonts w:ascii="Arial" w:cs="Arial" w:eastAsia="Arial" w:hAnsi="Arial"/>
                <w:sz w:val="14"/>
                <w:szCs w:val="14"/>
                <w:b w:val="1"/>
                <w:bCs w:val="1"/>
                <w:color w:val="auto"/>
              </w:rPr>
              <w:t>Amortized</w:t>
            </w:r>
          </w:p>
        </w:tc>
        <w:tc>
          <w:tcPr>
            <w:tcW w:w="142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0"/>
              </w:rPr>
              <w:t>Gross</w:t>
            </w:r>
          </w:p>
        </w:tc>
        <w:tc>
          <w:tcPr>
            <w:tcW w:w="144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5"/>
              </w:rPr>
              <w:t>Gross</w:t>
            </w:r>
          </w:p>
        </w:tc>
        <w:tc>
          <w:tcPr>
            <w:tcW w:w="1260" w:type="dxa"/>
            <w:vAlign w:val="bottom"/>
            <w:tcBorders>
              <w:top w:val="single" w:sz="8" w:color="auto"/>
            </w:tcBorders>
            <w:vMerge w:val="restart"/>
          </w:tcPr>
          <w:p>
            <w:pPr>
              <w:ind w:left="400"/>
              <w:spacing w:after="0"/>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86"/>
        </w:trPr>
        <w:tc>
          <w:tcPr>
            <w:tcW w:w="1300" w:type="dxa"/>
            <w:vAlign w:val="bottom"/>
            <w:vMerge w:val="continue"/>
          </w:tcPr>
          <w:p>
            <w:pPr>
              <w:spacing w:after="0"/>
              <w:rPr>
                <w:sz w:val="16"/>
                <w:szCs w:val="16"/>
                <w:color w:val="auto"/>
              </w:rPr>
            </w:pP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95"/>
              </w:rPr>
              <w:t>unrealized</w:t>
            </w:r>
          </w:p>
        </w:tc>
        <w:tc>
          <w:tcPr>
            <w:tcW w:w="1440" w:type="dxa"/>
            <w:vAlign w:val="bottom"/>
          </w:tcPr>
          <w:p>
            <w:pPr>
              <w:jc w:val="center"/>
              <w:spacing w:after="0"/>
              <w:rPr>
                <w:sz w:val="20"/>
                <w:szCs w:val="20"/>
                <w:color w:val="auto"/>
              </w:rPr>
            </w:pPr>
            <w:r>
              <w:rPr>
                <w:rFonts w:ascii="Arial" w:cs="Arial" w:eastAsia="Arial" w:hAnsi="Arial"/>
                <w:sz w:val="14"/>
                <w:szCs w:val="14"/>
                <w:b w:val="1"/>
                <w:bCs w:val="1"/>
                <w:color w:val="auto"/>
                <w:w w:val="92"/>
              </w:rPr>
              <w:t>unrealized</w:t>
            </w:r>
          </w:p>
        </w:tc>
        <w:tc>
          <w:tcPr>
            <w:tcW w:w="12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ectPr>
          <w:pgSz w:w="11900" w:h="16899" w:orient="portrait"/>
          <w:cols w:equalWidth="0" w:num="1">
            <w:col w:w="11420"/>
          </w:cols>
          <w:pgMar w:left="240" w:top="125" w:right="239" w:bottom="0" w:gutter="0" w:footer="0" w:header="0"/>
        </w:sectPr>
      </w:pPr>
    </w:p>
    <w:bookmarkStart w:id="85" w:name="page86"/>
    <w:bookmarkEnd w:id="8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3"/>
              </w:rPr>
              <w:t>cost</w:t>
            </w:r>
          </w:p>
        </w:tc>
        <w:tc>
          <w:tcPr>
            <w:tcW w:w="160" w:type="dxa"/>
            <w:vAlign w:val="bottom"/>
          </w:tcPr>
          <w:p>
            <w:pPr>
              <w:spacing w:after="0"/>
              <w:rPr>
                <w:sz w:val="14"/>
                <w:szCs w:val="14"/>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7"/>
              </w:rPr>
              <w:t>gains</w:t>
            </w: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4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amount</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500" w:type="dxa"/>
            <w:vAlign w:val="bottom"/>
            <w:tcBorders>
              <w:top w:val="single" w:sz="8" w:color="auto"/>
            </w:tcBorders>
            <w:gridSpan w:val="4"/>
          </w:tcPr>
          <w:p>
            <w:pPr>
              <w:jc w:val="center"/>
              <w:ind w:left="632"/>
              <w:spacing w:after="0"/>
              <w:rPr>
                <w:sz w:val="20"/>
                <w:szCs w:val="20"/>
                <w:color w:val="auto"/>
              </w:rPr>
            </w:pPr>
            <w:r>
              <w:rPr>
                <w:rFonts w:ascii="Arial" w:cs="Arial" w:eastAsia="Arial" w:hAnsi="Arial"/>
                <w:sz w:val="14"/>
                <w:szCs w:val="14"/>
                <w:b w:val="1"/>
                <w:bCs w:val="1"/>
                <w:color w:val="auto"/>
                <w:w w:val="94"/>
              </w:rPr>
              <w:t>(in millions)</w:t>
            </w:r>
          </w:p>
        </w:tc>
        <w:tc>
          <w:tcPr>
            <w:tcW w:w="9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126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Finance — Banking</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3,779.1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117.0</w:t>
            </w:r>
          </w:p>
        </w:tc>
        <w:tc>
          <w:tcPr>
            <w:tcW w:w="1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b w:val="1"/>
                <w:bCs w:val="1"/>
                <w:color w:val="auto"/>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114.3</w:t>
            </w:r>
          </w:p>
        </w:tc>
        <w:tc>
          <w:tcPr>
            <w:tcW w:w="32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b w:val="1"/>
                <w:bCs w:val="1"/>
                <w:color w:val="auto"/>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3,781.8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Finance — Brokerage</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235.2</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18.3</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0.9</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252.6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Finance — Finance Companies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261.6</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0.6</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267.8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Finance — Financial Other</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475.6</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54.7</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0.4</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529.9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Finance — Insurance</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2,215.0</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221.4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7.7</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2,428.7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Finance — REITS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880.9</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36.0</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5.0</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911.9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Basic Industry</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1,396.5</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48.0</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55.5</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1,389.0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Industrial — Capital Goods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1,650.9</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123.0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9.2</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1,764.7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Communications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2,234.7</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193.5</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18.1</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2,410.1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Industrial — Consumer Cyclical</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1,405.2</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61.2</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9.3</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1,457.1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Consumer Non-Cyclical</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3,165.1</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167.0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10.8</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3,321.3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Industrial — Energy</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2,849.7</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142.9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133.2</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2,859.4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Other</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318.1</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15.8</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0.3</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333.6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Industrial — Technology</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1,099.3</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33.3</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2.3</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1,130.3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Transportation</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1,056.8</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46.1</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15.8</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1,087.1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Utility — Electric</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2,734.5</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201.5</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14.0</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2,922.0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Utility — Natural Gas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254.1</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13.3</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1.2</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266.2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Utility — Other</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261.3</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17.0</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278.3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Government guaranteed</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1,105.1</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107.9</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15.3</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1,197.7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40" w:type="dxa"/>
            <w:vAlign w:val="bottom"/>
            <w:gridSpan w:val="3"/>
          </w:tcPr>
          <w:p>
            <w:pPr>
              <w:ind w:left="160"/>
              <w:spacing w:after="0"/>
              <w:rPr>
                <w:sz w:val="20"/>
                <w:szCs w:val="20"/>
                <w:color w:val="auto"/>
              </w:rPr>
            </w:pPr>
            <w:r>
              <w:rPr>
                <w:rFonts w:ascii="Arial" w:cs="Arial" w:eastAsia="Arial" w:hAnsi="Arial"/>
                <w:sz w:val="18"/>
                <w:szCs w:val="18"/>
                <w:color w:val="auto"/>
              </w:rPr>
              <w:t>Total corporate securities</w:t>
            </w:r>
          </w:p>
        </w:tc>
        <w:tc>
          <w:tcPr>
            <w:tcW w:w="9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27,378.7</w:t>
            </w:r>
          </w:p>
        </w:tc>
        <w:tc>
          <w:tcPr>
            <w:tcW w:w="2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1,624.7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413.9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28,589.5</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Residential mortgage-backed pass-through securities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2,559.6</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111.9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5.0</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2,666.5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Commercial mortgage-backed securities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3,774.3</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103.0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50.6</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3,826.7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Residential collateralized mortgage obligations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1,386.3</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27.3</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4.1</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1,409.5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Asset-backed securities — Home equity (1)</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288.3</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15.8</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10.3</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293.8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Asset-backed securities — All other</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2,824.8</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17.7</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5.3</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2,837.2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Collateralized debt obligations — Credit</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52.2</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18.8</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33.4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Collateralized debt obligations — CMBS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3.2</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Collateralized debt obligations — Loans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600.5</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5.3</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596.3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40" w:type="dxa"/>
            <w:vAlign w:val="bottom"/>
            <w:gridSpan w:val="3"/>
          </w:tcPr>
          <w:p>
            <w:pPr>
              <w:ind w:left="160"/>
              <w:spacing w:after="0"/>
              <w:rPr>
                <w:sz w:val="20"/>
                <w:szCs w:val="20"/>
                <w:color w:val="auto"/>
              </w:rPr>
            </w:pPr>
            <w:r>
              <w:rPr>
                <w:rFonts w:ascii="Arial" w:cs="Arial" w:eastAsia="Arial" w:hAnsi="Arial"/>
                <w:sz w:val="18"/>
                <w:szCs w:val="18"/>
                <w:color w:val="auto"/>
              </w:rPr>
              <w:t>Total mortgage-backed and other asset-backed securities</w:t>
            </w:r>
          </w:p>
        </w:tc>
        <w:tc>
          <w:tcPr>
            <w:tcW w:w="9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11,489.2</w:t>
            </w:r>
          </w:p>
        </w:tc>
        <w:tc>
          <w:tcPr>
            <w:tcW w:w="2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276.9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99.4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11,666.7</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U.S. government and agencies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1,354.3</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39.6</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3.2</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1,390.7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States and political subdivisions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4,245.0</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231.4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20.7</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4,455.7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Non-U.S. governments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317.2</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82.1</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1.3</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398.0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40" w:type="dxa"/>
            <w:vAlign w:val="bottom"/>
            <w:tcBorders>
              <w:top w:val="single" w:sz="8" w:color="CCEEFF"/>
              <w:bottom w:val="single" w:sz="8" w:color="CCEEFF"/>
            </w:tcBorders>
            <w:gridSpan w:val="3"/>
            <w:shd w:val="clear" w:color="auto" w:fill="CCEEFF"/>
          </w:tcPr>
          <w:p>
            <w:pPr>
              <w:ind w:left="160"/>
              <w:spacing w:after="0"/>
              <w:rPr>
                <w:sz w:val="20"/>
                <w:szCs w:val="20"/>
                <w:color w:val="auto"/>
              </w:rPr>
            </w:pPr>
            <w:r>
              <w:rPr>
                <w:rFonts w:ascii="Arial" w:cs="Arial" w:eastAsia="Arial" w:hAnsi="Arial"/>
                <w:sz w:val="18"/>
                <w:szCs w:val="18"/>
                <w:color w:val="auto"/>
              </w:rPr>
              <w:t>Total fixed maturities, available-for-sale</w:t>
            </w:r>
          </w:p>
        </w:tc>
        <w:tc>
          <w:tcPr>
            <w:tcW w:w="9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44,784.4</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2,254.7</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538.5</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46,500.6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80" w:type="dxa"/>
            <w:vAlign w:val="bottom"/>
            <w:gridSpan w:val="2"/>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20" w:type="dxa"/>
            <w:vAlign w:val="bottom"/>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600" w:type="dxa"/>
            <w:vAlign w:val="bottom"/>
            <w:tcBorders>
              <w:bottom w:val="single" w:sz="8" w:color="808080"/>
            </w:tcBorders>
          </w:tcPr>
          <w:p>
            <w:pPr>
              <w:spacing w:after="0"/>
              <w:rPr>
                <w:sz w:val="24"/>
                <w:szCs w:val="24"/>
                <w:color w:val="auto"/>
              </w:rPr>
            </w:pPr>
          </w:p>
        </w:tc>
        <w:tc>
          <w:tcPr>
            <w:tcW w:w="20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4960" w:type="dxa"/>
            <w:vAlign w:val="bottom"/>
            <w:gridSpan w:val="4"/>
          </w:tcPr>
          <w:p>
            <w:pPr>
              <w:spacing w:after="0"/>
              <w:rPr>
                <w:sz w:val="20"/>
                <w:szCs w:val="20"/>
                <w:color w:val="auto"/>
              </w:rPr>
            </w:pPr>
            <w:r>
              <w:rPr>
                <w:rFonts w:ascii="Arial" w:cs="Arial" w:eastAsia="Arial" w:hAnsi="Arial"/>
                <w:sz w:val="18"/>
                <w:szCs w:val="18"/>
                <w:color w:val="auto"/>
              </w:rPr>
              <w:t>(1) This exposure is all related to sub-prime mortgage loans.</w:t>
            </w: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120</w:t>
            </w: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3680" w:type="dxa"/>
            <w:vAlign w:val="bottom"/>
            <w:tcBorders>
              <w:bottom w:val="single" w:sz="8" w:color="808080"/>
            </w:tcBorders>
            <w:gridSpan w:val="2"/>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4960" w:type="dxa"/>
            <w:vAlign w:val="bottom"/>
            <w:gridSpan w:val="4"/>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160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gridSpan w:val="6"/>
          </w:tcPr>
          <w:p>
            <w:pPr>
              <w:jc w:val="center"/>
              <w:ind w:right="300"/>
              <w:spacing w:after="0"/>
              <w:rPr>
                <w:sz w:val="20"/>
                <w:szCs w:val="20"/>
                <w:color w:val="auto"/>
              </w:rPr>
            </w:pPr>
            <w:r>
              <w:rPr>
                <w:rFonts w:ascii="Arial" w:cs="Arial" w:eastAsia="Arial" w:hAnsi="Arial"/>
                <w:sz w:val="14"/>
                <w:szCs w:val="14"/>
                <w:b w:val="1"/>
                <w:bCs w:val="1"/>
                <w:color w:val="auto"/>
                <w:w w:val="91"/>
              </w:rPr>
              <w:t>December 31, 2014</w:t>
            </w:r>
          </w:p>
        </w:tc>
        <w:tc>
          <w:tcPr>
            <w:tcW w:w="1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208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6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10"/>
                <w:szCs w:val="10"/>
                <w:color w:val="auto"/>
              </w:rPr>
            </w:pPr>
          </w:p>
        </w:tc>
        <w:tc>
          <w:tcPr>
            <w:tcW w:w="1120" w:type="dxa"/>
            <w:vAlign w:val="bottom"/>
            <w:gridSpan w:val="2"/>
          </w:tcPr>
          <w:p>
            <w:pPr>
              <w:jc w:val="center"/>
              <w:ind w:right="300"/>
              <w:spacing w:after="0" w:line="119" w:lineRule="exact"/>
              <w:rPr>
                <w:sz w:val="20"/>
                <w:szCs w:val="20"/>
                <w:color w:val="auto"/>
              </w:rPr>
            </w:pPr>
            <w:r>
              <w:rPr>
                <w:rFonts w:ascii="Arial" w:cs="Arial" w:eastAsia="Arial" w:hAnsi="Arial"/>
                <w:sz w:val="13"/>
                <w:szCs w:val="13"/>
                <w:b w:val="1"/>
                <w:bCs w:val="1"/>
                <w:color w:val="auto"/>
                <w:w w:val="90"/>
              </w:rPr>
              <w:t>Gross</w:t>
            </w: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40" w:type="dxa"/>
            <w:vAlign w:val="bottom"/>
            <w:gridSpan w:val="2"/>
          </w:tcPr>
          <w:p>
            <w:pPr>
              <w:jc w:val="center"/>
              <w:ind w:right="400"/>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7"/>
              </w:rPr>
              <w:t>Carrying</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3"/>
              </w:rPr>
              <w:t>cost</w:t>
            </w:r>
          </w:p>
        </w:tc>
        <w:tc>
          <w:tcPr>
            <w:tcW w:w="160" w:type="dxa"/>
            <w:vAlign w:val="bottom"/>
          </w:tcPr>
          <w:p>
            <w:pPr>
              <w:spacing w:after="0"/>
              <w:rPr>
                <w:sz w:val="14"/>
                <w:szCs w:val="14"/>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7"/>
              </w:rPr>
              <w:t>gains</w:t>
            </w: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4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amount</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500" w:type="dxa"/>
            <w:vAlign w:val="bottom"/>
            <w:tcBorders>
              <w:top w:val="single" w:sz="8" w:color="auto"/>
            </w:tcBorders>
            <w:gridSpan w:val="4"/>
          </w:tcPr>
          <w:p>
            <w:pPr>
              <w:jc w:val="center"/>
              <w:ind w:left="632"/>
              <w:spacing w:after="0"/>
              <w:rPr>
                <w:sz w:val="20"/>
                <w:szCs w:val="20"/>
                <w:color w:val="auto"/>
              </w:rPr>
            </w:pPr>
            <w:r>
              <w:rPr>
                <w:rFonts w:ascii="Arial" w:cs="Arial" w:eastAsia="Arial" w:hAnsi="Arial"/>
                <w:sz w:val="14"/>
                <w:szCs w:val="14"/>
                <w:b w:val="1"/>
                <w:bCs w:val="1"/>
                <w:color w:val="auto"/>
                <w:w w:val="94"/>
              </w:rPr>
              <w:t>(in millions)</w:t>
            </w:r>
          </w:p>
        </w:tc>
        <w:tc>
          <w:tcPr>
            <w:tcW w:w="9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1260" w:type="dxa"/>
            <w:vAlign w:val="bottom"/>
          </w:tcPr>
          <w:p>
            <w:pPr>
              <w:spacing w:after="0"/>
              <w:rPr>
                <w:sz w:val="15"/>
                <w:szCs w:val="15"/>
                <w:color w:val="auto"/>
              </w:rPr>
            </w:pPr>
          </w:p>
        </w:tc>
        <w:tc>
          <w:tcPr>
            <w:tcW w:w="3680" w:type="dxa"/>
            <w:vAlign w:val="bottom"/>
            <w:gridSpan w:val="2"/>
          </w:tcPr>
          <w:p>
            <w:pPr>
              <w:spacing w:after="0"/>
              <w:rPr>
                <w:sz w:val="15"/>
                <w:szCs w:val="15"/>
                <w:color w:val="auto"/>
              </w:rPr>
            </w:pPr>
          </w:p>
        </w:tc>
        <w:tc>
          <w:tcPr>
            <w:tcW w:w="1120" w:type="dxa"/>
            <w:vAlign w:val="bottom"/>
            <w:gridSpan w:val="2"/>
          </w:tcPr>
          <w:p>
            <w:pPr>
              <w:spacing w:after="0"/>
              <w:rPr>
                <w:sz w:val="15"/>
                <w:szCs w:val="15"/>
                <w:color w:val="auto"/>
              </w:rPr>
            </w:pPr>
          </w:p>
        </w:tc>
        <w:tc>
          <w:tcPr>
            <w:tcW w:w="1260" w:type="dxa"/>
            <w:vAlign w:val="bottom"/>
            <w:gridSpan w:val="2"/>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gridSpan w:val="2"/>
          </w:tcPr>
          <w:p>
            <w:pPr>
              <w:spacing w:after="0"/>
              <w:rPr>
                <w:sz w:val="15"/>
                <w:szCs w:val="15"/>
                <w:color w:val="auto"/>
              </w:rPr>
            </w:pPr>
          </w:p>
        </w:tc>
        <w:tc>
          <w:tcPr>
            <w:tcW w:w="1040" w:type="dxa"/>
            <w:vAlign w:val="bottom"/>
            <w:gridSpan w:val="2"/>
          </w:tcPr>
          <w:p>
            <w:pPr>
              <w:spacing w:after="0"/>
              <w:rPr>
                <w:sz w:val="15"/>
                <w:szCs w:val="15"/>
                <w:color w:val="auto"/>
              </w:rPr>
            </w:pPr>
          </w:p>
        </w:tc>
        <w:tc>
          <w:tcPr>
            <w:tcW w:w="320" w:type="dxa"/>
            <w:vAlign w:val="bottom"/>
            <w:gridSpan w:val="2"/>
          </w:tcPr>
          <w:p>
            <w:pPr>
              <w:spacing w:after="0"/>
              <w:rPr>
                <w:sz w:val="15"/>
                <w:szCs w:val="15"/>
                <w:color w:val="auto"/>
              </w:rPr>
            </w:pPr>
          </w:p>
        </w:tc>
        <w:tc>
          <w:tcPr>
            <w:tcW w:w="1060" w:type="dxa"/>
            <w:vAlign w:val="bottom"/>
            <w:gridSpan w:val="2"/>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Finance — Banking</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3,734.8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148.0</w:t>
            </w:r>
          </w:p>
        </w:tc>
        <w:tc>
          <w:tcPr>
            <w:tcW w:w="1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92.4</w:t>
            </w:r>
          </w:p>
        </w:tc>
        <w:tc>
          <w:tcPr>
            <w:tcW w:w="32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3,790.4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Finance — Brokerage</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282.3</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22.0</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304.3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Finance — Finance Companies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210.0</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0.5</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217.2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Finance — Financial Other</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403.8</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55.8</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0.2</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459.4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Finance — Insurance</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2,218.5</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277.1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2,493.6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Finance — REITS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816.8</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47.1</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2.3</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861.6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Basic Industry</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1,527.2</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82.7</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12.4</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1,597.5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Industrial — Capital Goods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1,543.1</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144.4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2.5</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1,685.0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Communications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2,302.0</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268.8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2,560.9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Industrial — Consumer Cyclical</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1,332.2</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78.4</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3.1</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1,407.5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Consumer Non-Cyclical</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3,045.4</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213.9</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3.6</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3,255.7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Industrial — Energy</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2,853.1</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238.7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39.4</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3,052.4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Other</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386.0</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23.1</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0.2</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408.9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Industrial — Technology</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1,061.9</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40.8</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2.0</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1,100.7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Industrial — Transportation</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924.8</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66.8</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2.2</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989.4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Utility — Electric</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2,627.2</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266.1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5.3</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2,888.0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Utility — Natural Gas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243.2</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19.9</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0.1</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Utility — Other</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253.0</w:t>
            </w: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19.6</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272.6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Government guaranteed</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1,226.0</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130.3</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10.3</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1,346.0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40" w:type="dxa"/>
            <w:vAlign w:val="bottom"/>
            <w:gridSpan w:val="3"/>
          </w:tcPr>
          <w:p>
            <w:pPr>
              <w:ind w:left="160"/>
              <w:spacing w:after="0"/>
              <w:rPr>
                <w:sz w:val="20"/>
                <w:szCs w:val="20"/>
                <w:color w:val="auto"/>
              </w:rPr>
            </w:pPr>
            <w:r>
              <w:rPr>
                <w:rFonts w:ascii="Arial" w:cs="Arial" w:eastAsia="Arial" w:hAnsi="Arial"/>
                <w:sz w:val="18"/>
                <w:szCs w:val="18"/>
                <w:color w:val="auto"/>
              </w:rPr>
              <w:t>Total corporate securities</w:t>
            </w:r>
          </w:p>
        </w:tc>
        <w:tc>
          <w:tcPr>
            <w:tcW w:w="9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26,991.3</w:t>
            </w:r>
          </w:p>
        </w:tc>
        <w:tc>
          <w:tcPr>
            <w:tcW w:w="2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2,151.2</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188.4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28,954.1</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680" w:type="dxa"/>
            <w:vAlign w:val="bottom"/>
            <w:gridSpan w:val="2"/>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40" w:type="dxa"/>
            <w:vAlign w:val="bottom"/>
            <w:gridSpan w:val="3"/>
          </w:tcPr>
          <w:p>
            <w:pPr>
              <w:spacing w:after="0"/>
              <w:rPr>
                <w:sz w:val="20"/>
                <w:szCs w:val="20"/>
                <w:color w:val="auto"/>
              </w:rPr>
            </w:pPr>
            <w:r>
              <w:rPr>
                <w:rFonts w:ascii="Arial" w:cs="Arial" w:eastAsia="Arial" w:hAnsi="Arial"/>
                <w:sz w:val="18"/>
                <w:szCs w:val="18"/>
                <w:color w:val="auto"/>
              </w:rPr>
              <w:t>Residential mortgage-backed pass-through securities</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2,687.0</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124.5</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6.3</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2,805.2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Commercial mortgage-backed securities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3,896.9</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141.5</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62.9</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3,975.5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-4451985</wp:posOffset>
            </wp:positionV>
            <wp:extent cx="12700" cy="298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-4451985</wp:posOffset>
            </wp:positionV>
            <wp:extent cx="12700" cy="298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18" w:right="199" w:bottom="0" w:gutter="0" w:footer="0" w:header="0"/>
        </w:sectPr>
      </w:pPr>
    </w:p>
    <w:bookmarkStart w:id="86" w:name="page87"/>
    <w:bookmarkEnd w:id="86"/>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080" w:type="dxa"/>
            <w:vAlign w:val="bottom"/>
            <w:gridSpan w:val="2"/>
          </w:tcPr>
          <w:p>
            <w:pPr>
              <w:spacing w:after="0"/>
              <w:rPr>
                <w:sz w:val="20"/>
                <w:szCs w:val="20"/>
                <w:color w:val="auto"/>
              </w:rPr>
            </w:pPr>
            <w:r>
              <w:rPr>
                <w:rFonts w:ascii="Arial" w:cs="Arial" w:eastAsia="Arial" w:hAnsi="Arial"/>
                <w:sz w:val="18"/>
                <w:szCs w:val="18"/>
                <w:color w:val="auto"/>
              </w:rPr>
              <w:t>Residential collateralized mortgage obligations</w:t>
            </w:r>
          </w:p>
        </w:tc>
        <w:tc>
          <w:tcPr>
            <w:tcW w:w="8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1,229.5</w:t>
            </w:r>
          </w:p>
        </w:tc>
        <w:tc>
          <w:tcPr>
            <w:tcW w:w="340" w:type="dxa"/>
            <w:vAlign w:val="bottom"/>
          </w:tcPr>
          <w:p>
            <w:pPr>
              <w:spacing w:after="0"/>
              <w:rPr>
                <w:sz w:val="20"/>
                <w:szCs w:val="20"/>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25.6</w:t>
            </w:r>
          </w:p>
        </w:tc>
        <w:tc>
          <w:tcPr>
            <w:tcW w:w="1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5.0</w:t>
            </w:r>
          </w:p>
        </w:tc>
        <w:tc>
          <w:tcPr>
            <w:tcW w:w="1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1,250.1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Asset-backed securities — Home equity (1)</w:t>
            </w: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312.0</w:t>
            </w:r>
          </w:p>
        </w:tc>
        <w:tc>
          <w:tcPr>
            <w:tcW w:w="3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14.6</w:t>
            </w: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15.1</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60" w:type="dxa"/>
            <w:vAlign w:val="bottom"/>
          </w:tcPr>
          <w:p>
            <w:pPr>
              <w:spacing w:after="0"/>
              <w:rPr>
                <w:sz w:val="20"/>
                <w:szCs w:val="20"/>
                <w:color w:val="auto"/>
              </w:rPr>
            </w:pPr>
            <w:r>
              <w:rPr>
                <w:rFonts w:ascii="Arial" w:cs="Arial" w:eastAsia="Arial" w:hAnsi="Arial"/>
                <w:sz w:val="18"/>
                <w:szCs w:val="18"/>
                <w:color w:val="auto"/>
              </w:rPr>
              <w:t>Asset-backed securities — All other</w:t>
            </w: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3,041.9</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17.3</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4.4</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3,054.8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Collateralized debt obligations — Credit</w:t>
            </w: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52.4</w:t>
            </w:r>
          </w:p>
        </w:tc>
        <w:tc>
          <w:tcPr>
            <w:tcW w:w="3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18.0</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60" w:type="dxa"/>
            <w:vAlign w:val="bottom"/>
          </w:tcPr>
          <w:p>
            <w:pPr>
              <w:spacing w:after="0"/>
              <w:rPr>
                <w:sz w:val="20"/>
                <w:szCs w:val="20"/>
                <w:color w:val="auto"/>
              </w:rPr>
            </w:pPr>
            <w:r>
              <w:rPr>
                <w:rFonts w:ascii="Arial" w:cs="Arial" w:eastAsia="Arial" w:hAnsi="Arial"/>
                <w:sz w:val="18"/>
                <w:szCs w:val="18"/>
                <w:color w:val="auto"/>
              </w:rPr>
              <w:t>Collateralized debt obligations — CMBS</w:t>
            </w: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3.2</w:t>
            </w: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Collateralized debt obligations — Loans</w:t>
            </w: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465.6</w:t>
            </w: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466.4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60" w:type="dxa"/>
            <w:vAlign w:val="bottom"/>
          </w:tcPr>
          <w:p>
            <w:pPr>
              <w:ind w:left="160"/>
              <w:spacing w:after="0"/>
              <w:rPr>
                <w:sz w:val="20"/>
                <w:szCs w:val="20"/>
                <w:color w:val="auto"/>
              </w:rPr>
            </w:pPr>
            <w:r>
              <w:rPr>
                <w:rFonts w:ascii="Arial" w:cs="Arial" w:eastAsia="Arial" w:hAnsi="Arial"/>
                <w:sz w:val="18"/>
                <w:szCs w:val="18"/>
                <w:color w:val="auto"/>
              </w:rPr>
              <w:t>Total mortgage-backed and other asset-backed securities</w:t>
            </w:r>
          </w:p>
        </w:tc>
        <w:tc>
          <w:tcPr>
            <w:tcW w:w="82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11,688.5</w:t>
            </w:r>
          </w:p>
        </w:tc>
        <w:tc>
          <w:tcPr>
            <w:tcW w:w="2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327.0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114.3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11,901.2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60" w:type="dxa"/>
            <w:vAlign w:val="bottom"/>
          </w:tcPr>
          <w:p>
            <w:pPr>
              <w:spacing w:after="0"/>
              <w:rPr>
                <w:sz w:val="20"/>
                <w:szCs w:val="20"/>
                <w:color w:val="auto"/>
              </w:rPr>
            </w:pPr>
            <w:r>
              <w:rPr>
                <w:rFonts w:ascii="Arial" w:cs="Arial" w:eastAsia="Arial" w:hAnsi="Arial"/>
                <w:sz w:val="18"/>
                <w:szCs w:val="18"/>
                <w:color w:val="auto"/>
              </w:rPr>
              <w:t>U.S. government and agencies</w:t>
            </w: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1,085.6</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39.1</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2.9</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1,121.8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States and political subdivisions</w:t>
            </w: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3,916.8</w:t>
            </w: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291.3</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4.1</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4,204.0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60" w:type="dxa"/>
            <w:vAlign w:val="bottom"/>
          </w:tcPr>
          <w:p>
            <w:pPr>
              <w:spacing w:after="0"/>
              <w:rPr>
                <w:sz w:val="20"/>
                <w:szCs w:val="20"/>
                <w:color w:val="auto"/>
              </w:rPr>
            </w:pPr>
            <w:r>
              <w:rPr>
                <w:rFonts w:ascii="Arial" w:cs="Arial" w:eastAsia="Arial" w:hAnsi="Arial"/>
                <w:sz w:val="18"/>
                <w:szCs w:val="18"/>
                <w:color w:val="auto"/>
              </w:rPr>
              <w:t>Non-U.S. governments</w:t>
            </w: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357.2</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90.8</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1.4</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446.6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60" w:type="dxa"/>
            <w:vAlign w:val="bottom"/>
            <w:tcBorders>
              <w:top w:val="single" w:sz="8" w:color="CCEEFF"/>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 fixed maturities, available-for-sale</w:t>
            </w:r>
          </w:p>
        </w:tc>
        <w:tc>
          <w:tcPr>
            <w:tcW w:w="82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44,039.4</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2,899.4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ind w:right="265"/>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311.1</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46,627.7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This exposure is all related to sub-prime mortgage loans.</w:t>
      </w:r>
    </w:p>
    <w:p>
      <w:pPr>
        <w:spacing w:after="0" w:line="225" w:lineRule="exact"/>
        <w:rPr>
          <w:sz w:val="20"/>
          <w:szCs w:val="20"/>
          <w:color w:val="auto"/>
        </w:rPr>
      </w:pPr>
    </w:p>
    <w:p>
      <w:pPr>
        <w:ind w:right="80" w:firstLine="636"/>
        <w:spacing w:after="0" w:line="273" w:lineRule="auto"/>
        <w:rPr>
          <w:sz w:val="20"/>
          <w:szCs w:val="20"/>
          <w:color w:val="auto"/>
        </w:rPr>
      </w:pPr>
      <w:r>
        <w:rPr>
          <w:rFonts w:ascii="Arial" w:cs="Arial" w:eastAsia="Arial" w:hAnsi="Arial"/>
          <w:sz w:val="17"/>
          <w:szCs w:val="17"/>
          <w:color w:val="auto"/>
        </w:rPr>
        <w:t>Of the $538.5 million in gross unrealized losses as of September 30, 2015, $2.1 million in losses were attributed to securities scheduled to mature in one year or less, $75.1 million attributed to securities scheduled to mature between one to five years, $132.3 million attributed to securities scheduled to mature between five to ten years, $229.6 million attributed to securities scheduled to mature after ten years and $99.4 million related to mortgage-backed and other ABS that are not classified by maturity year. As of September 30, 2015, we were in a $1,716.2 million net unrealized gain position as compared to a $2,588.3 million net unrealized gain position as of December 31, 2014. The $872.1 million decrease in net unrealized gains for the nine months ended September 30, 2015, can primarily be attributed to widening of credit spreads.</w:t>
      </w:r>
    </w:p>
    <w:p>
      <w:pPr>
        <w:spacing w:after="0" w:line="178"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b w:val="1"/>
          <w:bCs w:val="1"/>
          <w:i w:val="1"/>
          <w:iCs w:val="1"/>
          <w:color w:val="auto"/>
        </w:rPr>
        <w:t xml:space="preserve">Fixed Maturities Available-for-Sale Unrealized Losses. </w:t>
      </w:r>
      <w:r>
        <w:rPr>
          <w:rFonts w:ascii="Arial" w:cs="Arial" w:eastAsia="Arial" w:hAnsi="Arial"/>
          <w:sz w:val="17"/>
          <w:szCs w:val="17"/>
          <w:color w:val="auto"/>
        </w:rPr>
        <w:t>We believe that our long-term fixed maturities portfolio is well diversified among industry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types and between publicly traded and privately placed securities. Each year, we direct the majority of our net cash inflows into investment grade fixed maturities. Our current policy is to limit the percentage of cash flow invested in below investment grade assets to 10% of cash flow.</w:t>
      </w:r>
    </w:p>
    <w:p>
      <w:pPr>
        <w:spacing w:after="0" w:line="166" w:lineRule="exact"/>
        <w:rPr>
          <w:sz w:val="20"/>
          <w:szCs w:val="20"/>
          <w:color w:val="auto"/>
        </w:rPr>
      </w:pPr>
    </w:p>
    <w:p>
      <w:pPr>
        <w:ind w:right="120" w:firstLine="648"/>
        <w:spacing w:after="0" w:line="264" w:lineRule="auto"/>
        <w:rPr>
          <w:sz w:val="20"/>
          <w:szCs w:val="20"/>
          <w:color w:val="auto"/>
        </w:rPr>
      </w:pPr>
      <w:r>
        <w:rPr>
          <w:rFonts w:ascii="Arial" w:cs="Arial" w:eastAsia="Arial" w:hAnsi="Arial"/>
          <w:sz w:val="18"/>
          <w:szCs w:val="18"/>
          <w:color w:val="auto"/>
        </w:rPr>
        <w:t>We invest in privately placed fixed maturities to enhance the overall value of the portfolio, increase diversification and obtain higher yields than are possible with comparable quality public market securities. Generally, private placements provide broader access to management information, strengthened negotiated protective covenants, call protection features and, where</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applicable, a higher level of collateral. They are, however, generally not freely tradable because of restrictions imposed by federal and state securities laws and illiquid trading markets.</w:t>
      </w:r>
    </w:p>
    <w:p>
      <w:pPr>
        <w:spacing w:after="0" w:line="170" w:lineRule="exact"/>
        <w:rPr>
          <w:sz w:val="20"/>
          <w:szCs w:val="20"/>
          <w:color w:val="auto"/>
        </w:rPr>
      </w:pPr>
    </w:p>
    <w:p>
      <w:pPr>
        <w:ind w:right="600" w:firstLine="648"/>
        <w:spacing w:after="0" w:line="308" w:lineRule="auto"/>
        <w:rPr>
          <w:sz w:val="20"/>
          <w:szCs w:val="20"/>
          <w:color w:val="auto"/>
        </w:rPr>
      </w:pPr>
      <w:r>
        <w:rPr>
          <w:rFonts w:ascii="Arial" w:cs="Arial" w:eastAsia="Arial" w:hAnsi="Arial"/>
          <w:sz w:val="17"/>
          <w:szCs w:val="17"/>
          <w:color w:val="auto"/>
        </w:rPr>
        <w:t>The following table presents our fixed maturities available-for-sale by investment grade and below investment grade and the associated gross unrealized gains and losses, including the other-than-temporary impairment losses reported in OCI, as of the periods indicated.</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5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5"/>
          </w:tcPr>
          <w:p>
            <w:pPr>
              <w:jc w:val="right"/>
              <w:ind w:right="540"/>
              <w:spacing w:after="0"/>
              <w:rPr>
                <w:sz w:val="20"/>
                <w:szCs w:val="20"/>
                <w:color w:val="auto"/>
              </w:rPr>
            </w:pPr>
            <w:r>
              <w:rPr>
                <w:rFonts w:ascii="Arial" w:cs="Arial" w:eastAsia="Arial" w:hAnsi="Arial"/>
                <w:sz w:val="14"/>
                <w:szCs w:val="14"/>
                <w:b w:val="1"/>
                <w:bCs w:val="1"/>
                <w:color w:val="auto"/>
              </w:rPr>
              <w:t>September 30, 2015</w:t>
            </w: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5"/>
          </w:tcPr>
          <w:p>
            <w:pPr>
              <w:ind w:left="300"/>
              <w:spacing w:after="0"/>
              <w:rPr>
                <w:sz w:val="20"/>
                <w:szCs w:val="20"/>
                <w:color w:val="auto"/>
              </w:rPr>
            </w:pPr>
            <w:r>
              <w:rPr>
                <w:rFonts w:ascii="Arial" w:cs="Arial" w:eastAsia="Arial" w:hAnsi="Arial"/>
                <w:sz w:val="14"/>
                <w:szCs w:val="14"/>
                <w:b w:val="1"/>
                <w:bCs w:val="1"/>
                <w:color w:val="auto"/>
              </w:rPr>
              <w:t>December 31, 2014</w:t>
            </w: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5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6"/>
              </w:rPr>
              <w:t>Amortized</w:t>
            </w:r>
          </w:p>
        </w:tc>
        <w:tc>
          <w:tcPr>
            <w:tcW w:w="120" w:type="dxa"/>
            <w:vAlign w:val="bottom"/>
          </w:tcPr>
          <w:p>
            <w:pPr>
              <w:spacing w:after="0"/>
              <w:rPr>
                <w:sz w:val="10"/>
                <w:szCs w:val="10"/>
                <w:color w:val="auto"/>
              </w:rPr>
            </w:pPr>
          </w:p>
        </w:tc>
        <w:tc>
          <w:tcPr>
            <w:tcW w:w="1020" w:type="dxa"/>
            <w:vAlign w:val="bottom"/>
            <w:gridSpan w:val="2"/>
          </w:tcPr>
          <w:p>
            <w:pPr>
              <w:jc w:val="center"/>
              <w:ind w:right="340"/>
              <w:spacing w:after="0" w:line="119" w:lineRule="exact"/>
              <w:rPr>
                <w:sz w:val="20"/>
                <w:szCs w:val="20"/>
                <w:color w:val="auto"/>
              </w:rPr>
            </w:pPr>
            <w:r>
              <w:rPr>
                <w:rFonts w:ascii="Arial" w:cs="Arial" w:eastAsia="Arial" w:hAnsi="Arial"/>
                <w:sz w:val="13"/>
                <w:szCs w:val="13"/>
                <w:b w:val="1"/>
                <w:bCs w:val="1"/>
                <w:color w:val="auto"/>
                <w:w w:val="95"/>
              </w:rPr>
              <w:t>Gross</w:t>
            </w:r>
          </w:p>
        </w:tc>
        <w:tc>
          <w:tcPr>
            <w:tcW w:w="120" w:type="dxa"/>
            <w:vAlign w:val="bottom"/>
          </w:tcPr>
          <w:p>
            <w:pPr>
              <w:spacing w:after="0"/>
              <w:rPr>
                <w:sz w:val="10"/>
                <w:szCs w:val="10"/>
                <w:color w:val="auto"/>
              </w:rPr>
            </w:pPr>
          </w:p>
        </w:tc>
        <w:tc>
          <w:tcPr>
            <w:tcW w:w="90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w w:val="95"/>
              </w:rPr>
              <w:t>Gross</w:t>
            </w: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rPr>
              <w:t>Carrying</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6"/>
              </w:rPr>
              <w:t>Amortized</w:t>
            </w: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gridSpan w:val="2"/>
          </w:tcPr>
          <w:p>
            <w:pPr>
              <w:jc w:val="center"/>
              <w:ind w:right="320"/>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880" w:type="dxa"/>
            <w:vAlign w:val="bottom"/>
            <w:gridSpan w:val="2"/>
          </w:tcPr>
          <w:p>
            <w:pPr>
              <w:jc w:val="center"/>
              <w:ind w:right="200"/>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7"/>
              </w:rPr>
              <w:t>Carrying</w:t>
            </w:r>
          </w:p>
        </w:tc>
        <w:tc>
          <w:tcPr>
            <w:tcW w:w="0" w:type="dxa"/>
            <w:vAlign w:val="bottom"/>
          </w:tcPr>
          <w:p>
            <w:pPr>
              <w:spacing w:after="0"/>
              <w:rPr>
                <w:sz w:val="1"/>
                <w:szCs w:val="1"/>
                <w:color w:val="auto"/>
              </w:rPr>
            </w:pPr>
          </w:p>
        </w:tc>
      </w:tr>
      <w:tr>
        <w:trPr>
          <w:trHeight w:val="149"/>
        </w:trPr>
        <w:tc>
          <w:tcPr>
            <w:tcW w:w="2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20" w:type="dxa"/>
            <w:vAlign w:val="bottom"/>
          </w:tcPr>
          <w:p>
            <w:pPr>
              <w:spacing w:after="0"/>
              <w:rPr>
                <w:sz w:val="12"/>
                <w:szCs w:val="12"/>
                <w:color w:val="auto"/>
              </w:rPr>
            </w:pPr>
          </w:p>
        </w:tc>
        <w:tc>
          <w:tcPr>
            <w:tcW w:w="9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00" w:type="dxa"/>
            <w:vAlign w:val="bottom"/>
          </w:tcPr>
          <w:p>
            <w:pPr>
              <w:spacing w:after="0"/>
              <w:rPr>
                <w:sz w:val="12"/>
                <w:szCs w:val="12"/>
                <w:color w:val="auto"/>
              </w:rPr>
            </w:pP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3"/>
              </w:rPr>
              <w:t>cost</w:t>
            </w:r>
          </w:p>
        </w:tc>
        <w:tc>
          <w:tcPr>
            <w:tcW w:w="120" w:type="dxa"/>
            <w:vAlign w:val="bottom"/>
          </w:tcPr>
          <w:p>
            <w:pPr>
              <w:spacing w:after="0"/>
              <w:rPr>
                <w:sz w:val="14"/>
                <w:szCs w:val="14"/>
                <w:color w:val="auto"/>
              </w:rPr>
            </w:pPr>
          </w:p>
        </w:tc>
        <w:tc>
          <w:tcPr>
            <w:tcW w:w="10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7"/>
              </w:rPr>
              <w:t>gains</w:t>
            </w:r>
          </w:p>
        </w:tc>
        <w:tc>
          <w:tcPr>
            <w:tcW w:w="120" w:type="dxa"/>
            <w:vAlign w:val="bottom"/>
          </w:tcPr>
          <w:p>
            <w:pPr>
              <w:spacing w:after="0"/>
              <w:rPr>
                <w:sz w:val="14"/>
                <w:szCs w:val="14"/>
                <w:color w:val="auto"/>
              </w:rPr>
            </w:pPr>
          </w:p>
        </w:tc>
        <w:tc>
          <w:tcPr>
            <w:tcW w:w="9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amount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cost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7"/>
              </w:rPr>
              <w:t>gains</w:t>
            </w:r>
          </w:p>
        </w:tc>
        <w:tc>
          <w:tcPr>
            <w:tcW w:w="100" w:type="dxa"/>
            <w:vAlign w:val="bottom"/>
          </w:tcPr>
          <w:p>
            <w:pPr>
              <w:spacing w:after="0"/>
              <w:rPr>
                <w:sz w:val="14"/>
                <w:szCs w:val="14"/>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77"/>
              </w:rPr>
              <w:t>losses</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142"/>
        </w:trPr>
        <w:tc>
          <w:tcPr>
            <w:tcW w:w="25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2040" w:type="dxa"/>
            <w:vAlign w:val="bottom"/>
            <w:tcBorders>
              <w:top w:val="single" w:sz="8" w:color="auto"/>
            </w:tcBorders>
            <w:gridSpan w:val="6"/>
          </w:tcPr>
          <w:p>
            <w:pPr>
              <w:jc w:val="right"/>
              <w:ind w:right="840"/>
              <w:spacing w:after="0" w:line="142" w:lineRule="exact"/>
              <w:rPr>
                <w:sz w:val="20"/>
                <w:szCs w:val="20"/>
                <w:color w:val="auto"/>
              </w:rPr>
            </w:pPr>
            <w:r>
              <w:rPr>
                <w:rFonts w:ascii="Arial" w:cs="Arial" w:eastAsia="Arial" w:hAnsi="Arial"/>
                <w:sz w:val="14"/>
                <w:szCs w:val="14"/>
                <w:b w:val="1"/>
                <w:bCs w:val="1"/>
                <w:color w:val="auto"/>
              </w:rPr>
              <w:t>(in millions)</w:t>
            </w: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Investment grade:</w:t>
            </w: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00" w:type="dxa"/>
            <w:vAlign w:val="bottom"/>
          </w:tcPr>
          <w:p>
            <w:pPr>
              <w:ind w:left="200"/>
              <w:spacing w:after="0"/>
              <w:rPr>
                <w:sz w:val="20"/>
                <w:szCs w:val="20"/>
                <w:color w:val="auto"/>
              </w:rPr>
            </w:pPr>
            <w:r>
              <w:rPr>
                <w:rFonts w:ascii="Arial" w:cs="Arial" w:eastAsia="Arial" w:hAnsi="Arial"/>
                <w:sz w:val="18"/>
                <w:szCs w:val="18"/>
                <w:color w:val="auto"/>
              </w:rPr>
              <w:t>Public</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28,118.1</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1,562.6</w:t>
            </w:r>
          </w:p>
        </w:tc>
        <w:tc>
          <w:tcPr>
            <w:tcW w:w="2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211.4</w:t>
            </w:r>
          </w:p>
        </w:tc>
        <w:tc>
          <w:tcPr>
            <w:tcW w:w="120" w:type="dxa"/>
            <w:vAlign w:val="bottom"/>
          </w:tcPr>
          <w:p>
            <w:pPr>
              <w:spacing w:after="0"/>
              <w:rPr>
                <w:sz w:val="18"/>
                <w:szCs w:val="18"/>
                <w:color w:val="auto"/>
              </w:rPr>
            </w:pPr>
          </w:p>
        </w:tc>
        <w:tc>
          <w:tcPr>
            <w:tcW w:w="2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29,469.3</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27,534.4</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2,049.3</w:t>
            </w:r>
          </w:p>
        </w:tc>
        <w:tc>
          <w:tcPr>
            <w:tcW w:w="2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103.6</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29,480.1</w:t>
            </w:r>
          </w:p>
        </w:tc>
        <w:tc>
          <w:tcPr>
            <w:tcW w:w="0" w:type="dxa"/>
            <w:vAlign w:val="bottom"/>
          </w:tcPr>
          <w:p>
            <w:pPr>
              <w:spacing w:after="0"/>
              <w:rPr>
                <w:sz w:val="1"/>
                <w:szCs w:val="1"/>
                <w:color w:val="auto"/>
              </w:rPr>
            </w:pPr>
          </w:p>
        </w:tc>
      </w:tr>
      <w:tr>
        <w:trPr>
          <w:trHeight w:val="216"/>
        </w:trPr>
        <w:tc>
          <w:tcPr>
            <w:tcW w:w="25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Private</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12,967.8</w:t>
            </w: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621.4</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91.5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13,497.7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12,785.6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763.6</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40.2</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13,509.0</w:t>
            </w:r>
          </w:p>
        </w:tc>
        <w:tc>
          <w:tcPr>
            <w:tcW w:w="0" w:type="dxa"/>
            <w:vAlign w:val="bottom"/>
          </w:tcPr>
          <w:p>
            <w:pPr>
              <w:spacing w:after="0"/>
              <w:rPr>
                <w:sz w:val="1"/>
                <w:szCs w:val="1"/>
                <w:color w:val="auto"/>
              </w:rPr>
            </w:pPr>
          </w:p>
        </w:tc>
      </w:tr>
      <w:tr>
        <w:trPr>
          <w:trHeight w:val="216"/>
        </w:trPr>
        <w:tc>
          <w:tcPr>
            <w:tcW w:w="2500" w:type="dxa"/>
            <w:vAlign w:val="bottom"/>
          </w:tcPr>
          <w:p>
            <w:pPr>
              <w:spacing w:after="0"/>
              <w:rPr>
                <w:sz w:val="20"/>
                <w:szCs w:val="20"/>
                <w:color w:val="auto"/>
              </w:rPr>
            </w:pPr>
            <w:r>
              <w:rPr>
                <w:rFonts w:ascii="Arial" w:cs="Arial" w:eastAsia="Arial" w:hAnsi="Arial"/>
                <w:sz w:val="18"/>
                <w:szCs w:val="18"/>
                <w:color w:val="auto"/>
              </w:rPr>
              <w:t>Below investment grade:</w:t>
            </w: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Public</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1,785.7</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22.3</w:t>
            </w: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128.3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1,679.7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1,931.3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37.4</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90.0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1,878.7</w:t>
            </w:r>
          </w:p>
        </w:tc>
        <w:tc>
          <w:tcPr>
            <w:tcW w:w="0" w:type="dxa"/>
            <w:vAlign w:val="bottom"/>
          </w:tcPr>
          <w:p>
            <w:pPr>
              <w:spacing w:after="0"/>
              <w:rPr>
                <w:sz w:val="1"/>
                <w:szCs w:val="1"/>
                <w:color w:val="auto"/>
              </w:rPr>
            </w:pPr>
          </w:p>
        </w:tc>
      </w:tr>
      <w:tr>
        <w:trPr>
          <w:trHeight w:val="216"/>
        </w:trPr>
        <w:tc>
          <w:tcPr>
            <w:tcW w:w="2500" w:type="dxa"/>
            <w:vAlign w:val="bottom"/>
          </w:tcPr>
          <w:p>
            <w:pPr>
              <w:ind w:left="200"/>
              <w:spacing w:after="0"/>
              <w:rPr>
                <w:sz w:val="20"/>
                <w:szCs w:val="20"/>
                <w:color w:val="auto"/>
              </w:rPr>
            </w:pPr>
            <w:r>
              <w:rPr>
                <w:rFonts w:ascii="Arial" w:cs="Arial" w:eastAsia="Arial" w:hAnsi="Arial"/>
                <w:sz w:val="18"/>
                <w:szCs w:val="18"/>
                <w:color w:val="auto"/>
              </w:rPr>
              <w:t>Private</w:t>
            </w: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1,912.8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48.4</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107.3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1,853.9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1,788.1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49.1</w:t>
            </w:r>
          </w:p>
        </w:tc>
        <w:tc>
          <w:tcPr>
            <w:tcW w:w="1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77.3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1,759.9</w:t>
            </w:r>
          </w:p>
        </w:tc>
        <w:tc>
          <w:tcPr>
            <w:tcW w:w="0" w:type="dxa"/>
            <w:vAlign w:val="bottom"/>
          </w:tcPr>
          <w:p>
            <w:pPr>
              <w:spacing w:after="0"/>
              <w:rPr>
                <w:sz w:val="1"/>
                <w:szCs w:val="1"/>
                <w:color w:val="auto"/>
              </w:rPr>
            </w:pPr>
          </w:p>
        </w:tc>
      </w:tr>
      <w:tr>
        <w:trPr>
          <w:trHeight w:val="20"/>
        </w:trPr>
        <w:tc>
          <w:tcPr>
            <w:tcW w:w="2500" w:type="dxa"/>
            <w:vAlign w:val="bottom"/>
            <w:vMerge w:val="restart"/>
            <w:shd w:val="clear" w:color="auto" w:fill="CCEEFF"/>
          </w:tcPr>
          <w:p>
            <w:pPr>
              <w:spacing w:after="0" w:line="201" w:lineRule="exact"/>
              <w:rPr>
                <w:sz w:val="20"/>
                <w:szCs w:val="20"/>
                <w:color w:val="auto"/>
              </w:rPr>
            </w:pPr>
            <w:r>
              <w:rPr>
                <w:rFonts w:ascii="Arial" w:cs="Arial" w:eastAsia="Arial" w:hAnsi="Arial"/>
                <w:sz w:val="18"/>
                <w:szCs w:val="18"/>
                <w:color w:val="auto"/>
              </w:rPr>
              <w:t>Total fixed maturities,</w:t>
            </w: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2500" w:type="dxa"/>
            <w:vAlign w:val="bottom"/>
            <w:vMerge w:val="continue"/>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44,784.4</w:t>
            </w:r>
          </w:p>
        </w:tc>
        <w:tc>
          <w:tcPr>
            <w:tcW w:w="220" w:type="dxa"/>
            <w:vAlign w:val="bottom"/>
            <w:vMerge w:val="restart"/>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2,254.7</w:t>
            </w:r>
          </w:p>
        </w:tc>
        <w:tc>
          <w:tcPr>
            <w:tcW w:w="220" w:type="dxa"/>
            <w:vAlign w:val="bottom"/>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0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538.5</w:t>
            </w:r>
          </w:p>
        </w:tc>
        <w:tc>
          <w:tcPr>
            <w:tcW w:w="2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46,500.6</w:t>
            </w:r>
          </w:p>
        </w:tc>
        <w:tc>
          <w:tcPr>
            <w:tcW w:w="22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44,039.4</w:t>
            </w:r>
          </w:p>
        </w:tc>
        <w:tc>
          <w:tcPr>
            <w:tcW w:w="20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2,899.</w:t>
            </w:r>
            <w:r>
              <w:rPr>
                <w:rFonts w:ascii="Arial" w:cs="Arial" w:eastAsia="Arial" w:hAnsi="Arial"/>
                <w:sz w:val="18"/>
                <w:szCs w:val="18"/>
                <w:u w:val="single" w:color="auto"/>
                <w:color w:val="auto"/>
              </w:rPr>
              <w:t>4</w:t>
            </w:r>
          </w:p>
        </w:tc>
        <w:tc>
          <w:tcPr>
            <w:tcW w:w="220" w:type="dxa"/>
            <w:vAlign w:val="bottom"/>
            <w:shd w:val="clear" w:color="auto" w:fill="CCEEFF"/>
          </w:tcPr>
          <w:p>
            <w:pPr>
              <w:spacing w:after="0"/>
              <w:rPr>
                <w:sz w:val="15"/>
                <w:szCs w:val="15"/>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color w:val="auto"/>
              </w:rPr>
              <w:t>311.1</w:t>
            </w:r>
          </w:p>
        </w:tc>
        <w:tc>
          <w:tcPr>
            <w:tcW w:w="24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color w:val="auto"/>
              </w:rPr>
              <w:t>46,627.7</w:t>
            </w:r>
          </w:p>
        </w:tc>
        <w:tc>
          <w:tcPr>
            <w:tcW w:w="0" w:type="dxa"/>
            <w:vAlign w:val="bottom"/>
          </w:tcPr>
          <w:p>
            <w:pPr>
              <w:spacing w:after="0"/>
              <w:rPr>
                <w:sz w:val="1"/>
                <w:szCs w:val="1"/>
                <w:color w:val="auto"/>
              </w:rPr>
            </w:pPr>
          </w:p>
        </w:tc>
      </w:tr>
      <w:tr>
        <w:trPr>
          <w:trHeight w:val="217"/>
        </w:trPr>
        <w:tc>
          <w:tcPr>
            <w:tcW w:w="25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available-for-sale</w:t>
            </w:r>
          </w:p>
        </w:tc>
        <w:tc>
          <w:tcPr>
            <w:tcW w:w="120" w:type="dxa"/>
            <w:vAlign w:val="bottom"/>
            <w:vMerge w:val="continue"/>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220" w:type="dxa"/>
            <w:vAlign w:val="bottom"/>
            <w:vMerge w:val="continue"/>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900" w:type="dxa"/>
            <w:vAlign w:val="bottom"/>
            <w:gridSpan w:val="2"/>
            <w:vMerge w:val="continue"/>
            <w:shd w:val="clear" w:color="auto" w:fill="CCEEFF"/>
          </w:tcPr>
          <w:p>
            <w:pPr>
              <w:spacing w:after="0"/>
              <w:rPr>
                <w:sz w:val="18"/>
                <w:szCs w:val="18"/>
                <w:color w:val="auto"/>
              </w:rPr>
            </w:pPr>
          </w:p>
        </w:tc>
        <w:tc>
          <w:tcPr>
            <w:tcW w:w="260" w:type="dxa"/>
            <w:vAlign w:val="bottom"/>
            <w:gridSpan w:val="2"/>
            <w:vMerge w:val="continue"/>
            <w:shd w:val="clear" w:color="auto" w:fill="CCEEFF"/>
          </w:tcPr>
          <w:p>
            <w:pPr>
              <w:spacing w:after="0"/>
              <w:rPr>
                <w:sz w:val="18"/>
                <w:szCs w:val="18"/>
                <w:color w:val="auto"/>
              </w:rPr>
            </w:pPr>
          </w:p>
        </w:tc>
        <w:tc>
          <w:tcPr>
            <w:tcW w:w="900" w:type="dxa"/>
            <w:vAlign w:val="bottom"/>
            <w:gridSpan w:val="2"/>
            <w:vMerge w:val="continue"/>
            <w:shd w:val="clear" w:color="auto" w:fill="CCEEFF"/>
          </w:tcPr>
          <w:p>
            <w:pPr>
              <w:spacing w:after="0"/>
              <w:rPr>
                <w:sz w:val="18"/>
                <w:szCs w:val="18"/>
                <w:color w:val="auto"/>
              </w:rPr>
            </w:pPr>
          </w:p>
        </w:tc>
        <w:tc>
          <w:tcPr>
            <w:tcW w:w="220" w:type="dxa"/>
            <w:vAlign w:val="bottom"/>
            <w:gridSpan w:val="2"/>
            <w:vMerge w:val="continue"/>
            <w:shd w:val="clear" w:color="auto" w:fill="CCEEFF"/>
          </w:tcPr>
          <w:p>
            <w:pPr>
              <w:spacing w:after="0"/>
              <w:rPr>
                <w:sz w:val="18"/>
                <w:szCs w:val="18"/>
                <w:color w:val="auto"/>
              </w:rPr>
            </w:pPr>
          </w:p>
        </w:tc>
        <w:tc>
          <w:tcPr>
            <w:tcW w:w="920" w:type="dxa"/>
            <w:vAlign w:val="bottom"/>
            <w:gridSpan w:val="2"/>
            <w:vMerge w:val="continue"/>
            <w:shd w:val="clear" w:color="auto" w:fill="CCEEFF"/>
          </w:tcPr>
          <w:p>
            <w:pPr>
              <w:spacing w:after="0"/>
              <w:rPr>
                <w:sz w:val="18"/>
                <w:szCs w:val="18"/>
                <w:color w:val="auto"/>
              </w:rPr>
            </w:pPr>
          </w:p>
        </w:tc>
        <w:tc>
          <w:tcPr>
            <w:tcW w:w="200" w:type="dxa"/>
            <w:vAlign w:val="bottom"/>
            <w:gridSpan w:val="2"/>
            <w:vMerge w:val="continue"/>
            <w:shd w:val="clear" w:color="auto" w:fill="CCEEFF"/>
          </w:tcPr>
          <w:p>
            <w:pPr>
              <w:spacing w:after="0"/>
              <w:rPr>
                <w:sz w:val="18"/>
                <w:szCs w:val="18"/>
                <w:color w:val="auto"/>
              </w:rPr>
            </w:pPr>
          </w:p>
        </w:tc>
        <w:tc>
          <w:tcPr>
            <w:tcW w:w="78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880" w:type="dxa"/>
            <w:vAlign w:val="bottom"/>
            <w:gridSpan w:val="2"/>
            <w:vMerge w:val="continue"/>
            <w:shd w:val="clear" w:color="auto" w:fill="CCEEFF"/>
          </w:tcPr>
          <w:p>
            <w:pPr>
              <w:spacing w:after="0"/>
              <w:rPr>
                <w:sz w:val="18"/>
                <w:szCs w:val="18"/>
                <w:color w:val="auto"/>
              </w:rPr>
            </w:pPr>
          </w:p>
        </w:tc>
        <w:tc>
          <w:tcPr>
            <w:tcW w:w="240" w:type="dxa"/>
            <w:vAlign w:val="bottom"/>
            <w:gridSpan w:val="2"/>
            <w:vMerge w:val="continue"/>
            <w:shd w:val="clear" w:color="auto" w:fill="CCEEFF"/>
          </w:tcPr>
          <w:p>
            <w:pPr>
              <w:spacing w:after="0"/>
              <w:rPr>
                <w:sz w:val="18"/>
                <w:szCs w:val="18"/>
                <w:color w:val="auto"/>
              </w:rPr>
            </w:pPr>
          </w:p>
        </w:tc>
        <w:tc>
          <w:tcPr>
            <w:tcW w:w="88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5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following tables present the carrying amount and the gross unrealized losses, including other-than-temporary impairment losses reported in OCI, on investment grade fixed maturities available-for-sale by aging category as of the periods indicated.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1"/>
              </w:rPr>
              <w:t>September 30, 2015</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gridSpan w:val="4"/>
          </w:tcPr>
          <w:p>
            <w:pPr>
              <w:jc w:val="right"/>
              <w:ind w:right="5"/>
              <w:spacing w:after="0" w:line="142" w:lineRule="exact"/>
              <w:rPr>
                <w:sz w:val="20"/>
                <w:szCs w:val="20"/>
                <w:color w:val="auto"/>
              </w:rPr>
            </w:pPr>
            <w:r>
              <w:rPr>
                <w:rFonts w:ascii="Arial" w:cs="Arial" w:eastAsia="Arial" w:hAnsi="Arial"/>
                <w:sz w:val="14"/>
                <w:szCs w:val="14"/>
                <w:b w:val="1"/>
                <w:bCs w:val="1"/>
                <w:color w:val="auto"/>
              </w:rPr>
              <w:t>Public</w:t>
            </w:r>
          </w:p>
        </w:tc>
        <w:tc>
          <w:tcPr>
            <w:tcW w:w="80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160" w:type="dxa"/>
            <w:vAlign w:val="bottom"/>
            <w:tcBorders>
              <w:bottom w:val="single" w:sz="8" w:color="auto"/>
            </w:tcBorders>
            <w:gridSpan w:val="3"/>
          </w:tcPr>
          <w:p>
            <w:pPr>
              <w:jc w:val="center"/>
              <w:ind w:left="580"/>
              <w:spacing w:after="0" w:line="142" w:lineRule="exact"/>
              <w:rPr>
                <w:sz w:val="20"/>
                <w:szCs w:val="20"/>
                <w:color w:val="auto"/>
              </w:rPr>
            </w:pPr>
            <w:r>
              <w:rPr>
                <w:rFonts w:ascii="Arial" w:cs="Arial" w:eastAsia="Arial" w:hAnsi="Arial"/>
                <w:sz w:val="14"/>
                <w:szCs w:val="14"/>
                <w:b w:val="1"/>
                <w:bCs w:val="1"/>
                <w:color w:val="auto"/>
                <w:w w:val="98"/>
              </w:rPr>
              <w:t>Private</w:t>
            </w:r>
          </w:p>
        </w:tc>
        <w:tc>
          <w:tcPr>
            <w:tcW w:w="80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gridSpan w:val="4"/>
          </w:tcPr>
          <w:p>
            <w:pPr>
              <w:jc w:val="right"/>
              <w:ind w:right="10"/>
              <w:spacing w:after="0" w:line="142" w:lineRule="exact"/>
              <w:rPr>
                <w:sz w:val="20"/>
                <w:szCs w:val="20"/>
                <w:color w:val="auto"/>
              </w:rPr>
            </w:pPr>
            <w:r>
              <w:rPr>
                <w:rFonts w:ascii="Arial" w:cs="Arial" w:eastAsia="Arial" w:hAnsi="Arial"/>
                <w:sz w:val="14"/>
                <w:szCs w:val="14"/>
                <w:b w:val="1"/>
                <w:bCs w:val="1"/>
                <w:color w:val="auto"/>
              </w:rPr>
              <w:t>Total</w:t>
            </w:r>
          </w:p>
        </w:tc>
        <w:tc>
          <w:tcPr>
            <w:tcW w:w="80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8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rPr>
              <w:t>Carrying</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center"/>
              <w:ind w:right="38"/>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7"/>
              </w:rPr>
              <w:t>Carrying</w:t>
            </w:r>
          </w:p>
        </w:tc>
        <w:tc>
          <w:tcPr>
            <w:tcW w:w="100" w:type="dxa"/>
            <w:vAlign w:val="bottom"/>
          </w:tcPr>
          <w:p>
            <w:pPr>
              <w:spacing w:after="0"/>
              <w:rPr>
                <w:sz w:val="10"/>
                <w:szCs w:val="10"/>
                <w:color w:val="auto"/>
              </w:rPr>
            </w:pPr>
          </w:p>
        </w:tc>
        <w:tc>
          <w:tcPr>
            <w:tcW w:w="800" w:type="dxa"/>
            <w:vAlign w:val="bottom"/>
          </w:tcPr>
          <w:p>
            <w:pPr>
              <w:jc w:val="center"/>
              <w:ind w:right="38"/>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rPr>
              <w:t>Carrying</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tcPr>
          <w:p>
            <w:pPr>
              <w:jc w:val="center"/>
              <w:ind w:right="38"/>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amount</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8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2100" w:type="dxa"/>
            <w:vAlign w:val="bottom"/>
            <w:tcBorders>
              <w:top w:val="single" w:sz="8" w:color="auto"/>
            </w:tcBorders>
            <w:gridSpan w:val="5"/>
          </w:tcPr>
          <w:p>
            <w:pPr>
              <w:jc w:val="center"/>
              <w:ind w:right="320"/>
              <w:spacing w:after="0"/>
              <w:rPr>
                <w:sz w:val="20"/>
                <w:szCs w:val="20"/>
                <w:color w:val="auto"/>
              </w:rPr>
            </w:pPr>
            <w:r>
              <w:rPr>
                <w:rFonts w:ascii="Arial" w:cs="Arial" w:eastAsia="Arial" w:hAnsi="Arial"/>
                <w:sz w:val="14"/>
                <w:szCs w:val="14"/>
                <w:b w:val="1"/>
                <w:bCs w:val="1"/>
                <w:color w:val="auto"/>
                <w:w w:val="94"/>
              </w:rPr>
              <w:t>(in millions)</w:t>
            </w:r>
          </w:p>
        </w:tc>
        <w:tc>
          <w:tcPr>
            <w:tcW w:w="14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38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1,366.0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18.9</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1,028.2</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25.6</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2,394.2</w:t>
            </w:r>
          </w:p>
        </w:tc>
        <w:tc>
          <w:tcPr>
            <w:tcW w:w="1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2,131.1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66.0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1,047.8</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29.2</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3,178.9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95.2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548.0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13.8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214.3</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5.2</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762.3</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220.8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19.9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120.1</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6.0</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340.9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to twenty-four months</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115.7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8.0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176.8</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3.5</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292.5</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twenty-four to thirty-six months</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373.1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10.7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196.6</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9.2</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569.7</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thirty-six months</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353.0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74.1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144.1</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12.8</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497.1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86.9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820" w:type="dxa"/>
            <w:vAlign w:val="bottom"/>
          </w:tcPr>
          <w:p>
            <w:pPr>
              <w:ind w:left="180"/>
              <w:spacing w:after="0"/>
              <w:rPr>
                <w:sz w:val="20"/>
                <w:szCs w:val="20"/>
                <w:color w:val="auto"/>
              </w:rPr>
            </w:pPr>
            <w:r>
              <w:rPr>
                <w:rFonts w:ascii="Arial" w:cs="Arial" w:eastAsia="Arial" w:hAnsi="Arial"/>
                <w:sz w:val="18"/>
                <w:szCs w:val="18"/>
                <w:color w:val="auto"/>
              </w:rPr>
              <w:t>Total fixed maturities, available-for-sale</w:t>
            </w:r>
          </w:p>
        </w:tc>
        <w:tc>
          <w:tcPr>
            <w:tcW w:w="5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5,107.7</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211.4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2,927.</w:t>
            </w:r>
            <w:r>
              <w:rPr>
                <w:rFonts w:ascii="Arial" w:cs="Arial" w:eastAsia="Arial" w:hAnsi="Arial"/>
                <w:sz w:val="18"/>
                <w:szCs w:val="18"/>
                <w:b w:val="1"/>
                <w:bCs w:val="1"/>
                <w:u w:val="single" w:color="auto"/>
                <w:color w:val="auto"/>
              </w:rPr>
              <w:t>9</w:t>
            </w:r>
          </w:p>
        </w:tc>
        <w:tc>
          <w:tcPr>
            <w:tcW w:w="3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91.5</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8,035.6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302.9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0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2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1"/>
              </w:rPr>
              <w:t>December 31, 2014</w:t>
            </w: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gridSpan w:val="4"/>
          </w:tcPr>
          <w:p>
            <w:pPr>
              <w:jc w:val="right"/>
              <w:ind w:right="5"/>
              <w:spacing w:after="0" w:line="142" w:lineRule="exact"/>
              <w:rPr>
                <w:sz w:val="20"/>
                <w:szCs w:val="20"/>
                <w:color w:val="auto"/>
              </w:rPr>
            </w:pPr>
            <w:r>
              <w:rPr>
                <w:rFonts w:ascii="Arial" w:cs="Arial" w:eastAsia="Arial" w:hAnsi="Arial"/>
                <w:sz w:val="14"/>
                <w:szCs w:val="14"/>
                <w:b w:val="1"/>
                <w:bCs w:val="1"/>
                <w:color w:val="auto"/>
              </w:rPr>
              <w:t>Public</w:t>
            </w:r>
          </w:p>
        </w:tc>
        <w:tc>
          <w:tcPr>
            <w:tcW w:w="80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160" w:type="dxa"/>
            <w:vAlign w:val="bottom"/>
            <w:tcBorders>
              <w:bottom w:val="single" w:sz="8" w:color="auto"/>
            </w:tcBorders>
            <w:gridSpan w:val="3"/>
          </w:tcPr>
          <w:p>
            <w:pPr>
              <w:jc w:val="center"/>
              <w:ind w:left="580"/>
              <w:spacing w:after="0" w:line="142" w:lineRule="exact"/>
              <w:rPr>
                <w:sz w:val="20"/>
                <w:szCs w:val="20"/>
                <w:color w:val="auto"/>
              </w:rPr>
            </w:pPr>
            <w:r>
              <w:rPr>
                <w:rFonts w:ascii="Arial" w:cs="Arial" w:eastAsia="Arial" w:hAnsi="Arial"/>
                <w:sz w:val="14"/>
                <w:szCs w:val="14"/>
                <w:b w:val="1"/>
                <w:bCs w:val="1"/>
                <w:color w:val="auto"/>
                <w:w w:val="98"/>
              </w:rPr>
              <w:t>Private</w:t>
            </w:r>
          </w:p>
        </w:tc>
        <w:tc>
          <w:tcPr>
            <w:tcW w:w="80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gridSpan w:val="4"/>
          </w:tcPr>
          <w:p>
            <w:pPr>
              <w:jc w:val="right"/>
              <w:ind w:right="10"/>
              <w:spacing w:after="0" w:line="142" w:lineRule="exact"/>
              <w:rPr>
                <w:sz w:val="20"/>
                <w:szCs w:val="20"/>
                <w:color w:val="auto"/>
              </w:rPr>
            </w:pPr>
            <w:r>
              <w:rPr>
                <w:rFonts w:ascii="Arial" w:cs="Arial" w:eastAsia="Arial" w:hAnsi="Arial"/>
                <w:sz w:val="14"/>
                <w:szCs w:val="14"/>
                <w:b w:val="1"/>
                <w:bCs w:val="1"/>
                <w:color w:val="auto"/>
              </w:rPr>
              <w:t>Total</w:t>
            </w:r>
          </w:p>
        </w:tc>
        <w:tc>
          <w:tcPr>
            <w:tcW w:w="80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8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rPr>
              <w:t>Carrying</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center"/>
              <w:ind w:right="38"/>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7"/>
              </w:rPr>
              <w:t>Carrying</w:t>
            </w:r>
          </w:p>
        </w:tc>
        <w:tc>
          <w:tcPr>
            <w:tcW w:w="100" w:type="dxa"/>
            <w:vAlign w:val="bottom"/>
          </w:tcPr>
          <w:p>
            <w:pPr>
              <w:spacing w:after="0"/>
              <w:rPr>
                <w:sz w:val="10"/>
                <w:szCs w:val="10"/>
                <w:color w:val="auto"/>
              </w:rPr>
            </w:pPr>
          </w:p>
        </w:tc>
        <w:tc>
          <w:tcPr>
            <w:tcW w:w="800" w:type="dxa"/>
            <w:vAlign w:val="bottom"/>
          </w:tcPr>
          <w:p>
            <w:pPr>
              <w:jc w:val="center"/>
              <w:ind w:right="38"/>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rPr>
              <w:t>Carrying</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tcPr>
          <w:p>
            <w:pPr>
              <w:jc w:val="center"/>
              <w:ind w:right="38"/>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2"/>
          </w:tcPr>
          <w:p>
            <w:pPr>
              <w:jc w:val="center"/>
              <w:ind w:right="420"/>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90"/>
              </w:rPr>
              <w:t>amount</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38"/>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ectPr>
          <w:pgSz w:w="11900" w:h="16884" w:orient="portrait"/>
          <w:cols w:equalWidth="0" w:num="1">
            <w:col w:w="11420"/>
          </w:cols>
          <w:pgMar w:left="240" w:top="125" w:right="239" w:bottom="0" w:gutter="0" w:footer="0" w:header="0"/>
        </w:sectPr>
      </w:pPr>
    </w:p>
    <w:bookmarkStart w:id="87" w:name="page88"/>
    <w:bookmarkEnd w:id="8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38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60" w:type="dxa"/>
            <w:vAlign w:val="bottom"/>
            <w:gridSpan w:val="3"/>
          </w:tcPr>
          <w:p>
            <w:pPr>
              <w:jc w:val="right"/>
              <w:ind w:right="105"/>
              <w:spacing w:after="0"/>
              <w:rPr>
                <w:sz w:val="20"/>
                <w:szCs w:val="20"/>
                <w:color w:val="auto"/>
              </w:rPr>
            </w:pPr>
            <w:r>
              <w:rPr>
                <w:rFonts w:ascii="Arial" w:cs="Arial" w:eastAsia="Arial" w:hAnsi="Arial"/>
                <w:sz w:val="14"/>
                <w:szCs w:val="14"/>
                <w:b w:val="1"/>
                <w:bCs w:val="1"/>
                <w:color w:val="auto"/>
              </w:rPr>
              <w:t>(in millions)</w:t>
            </w: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20" w:type="dxa"/>
            <w:vAlign w:val="bottom"/>
            <w:vMerge w:val="restart"/>
          </w:tcPr>
          <w:p>
            <w:pPr>
              <w:spacing w:after="0"/>
              <w:rPr>
                <w:sz w:val="17"/>
                <w:szCs w:val="17"/>
                <w:color w:val="auto"/>
              </w:rPr>
            </w:pPr>
          </w:p>
        </w:tc>
        <w:tc>
          <w:tcPr>
            <w:tcW w:w="38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82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1,753.2</w:t>
            </w:r>
          </w:p>
        </w:tc>
        <w:tc>
          <w:tcPr>
            <w:tcW w:w="5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18.6</w:t>
            </w:r>
          </w:p>
        </w:tc>
        <w:tc>
          <w:tcPr>
            <w:tcW w:w="36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969.0</w:t>
            </w:r>
          </w:p>
        </w:tc>
        <w:tc>
          <w:tcPr>
            <w:tcW w:w="380" w:type="dxa"/>
            <w:vAlign w:val="bottom"/>
            <w:shd w:val="clear" w:color="auto" w:fill="CCEEFF"/>
          </w:tcPr>
          <w:p>
            <w:pPr>
              <w:jc w:val="right"/>
              <w:ind w:right="225"/>
              <w:spacing w:after="0"/>
              <w:rPr>
                <w:sz w:val="20"/>
                <w:szCs w:val="20"/>
                <w:color w:val="auto"/>
              </w:rPr>
            </w:pPr>
            <w:r>
              <w:rPr>
                <w:rFonts w:ascii="Arial" w:cs="Arial" w:eastAsia="Arial" w:hAnsi="Arial"/>
                <w:sz w:val="15"/>
                <w:szCs w:val="15"/>
                <w:color w:val="auto"/>
                <w:w w:val="71"/>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6.8</w:t>
            </w:r>
          </w:p>
        </w:tc>
        <w:tc>
          <w:tcPr>
            <w:tcW w:w="36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2,722.2</w:t>
            </w:r>
          </w:p>
        </w:tc>
        <w:tc>
          <w:tcPr>
            <w:tcW w:w="14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200.9</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4.1</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300"/>
              <w:spacing w:after="0"/>
              <w:rPr>
                <w:sz w:val="20"/>
                <w:szCs w:val="20"/>
                <w:color w:val="auto"/>
              </w:rPr>
            </w:pPr>
            <w:r>
              <w:rPr>
                <w:rFonts w:ascii="Arial" w:cs="Arial" w:eastAsia="Arial" w:hAnsi="Arial"/>
                <w:sz w:val="18"/>
                <w:szCs w:val="18"/>
                <w:color w:val="auto"/>
              </w:rPr>
              <w:t>375.7</w:t>
            </w:r>
          </w:p>
        </w:tc>
        <w:tc>
          <w:tcPr>
            <w:tcW w:w="38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4.4</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576.6</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8.5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111.4</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142.3</w:t>
            </w:r>
          </w:p>
        </w:tc>
        <w:tc>
          <w:tcPr>
            <w:tcW w:w="3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3.0</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253.7</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7.5</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0.2</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300"/>
              <w:spacing w:after="0"/>
              <w:rPr>
                <w:sz w:val="20"/>
                <w:szCs w:val="20"/>
                <w:color w:val="auto"/>
              </w:rPr>
            </w:pPr>
            <w:r>
              <w:rPr>
                <w:rFonts w:ascii="Arial" w:cs="Arial" w:eastAsia="Arial" w:hAnsi="Arial"/>
                <w:sz w:val="18"/>
                <w:szCs w:val="18"/>
                <w:color w:val="auto"/>
              </w:rPr>
              <w:t>60.0</w:t>
            </w:r>
          </w:p>
        </w:tc>
        <w:tc>
          <w:tcPr>
            <w:tcW w:w="38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0.3</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67.5</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0.5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to twenty-four months</w:t>
            </w: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1,046.0</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20.2</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408.6</w:t>
            </w:r>
          </w:p>
        </w:tc>
        <w:tc>
          <w:tcPr>
            <w:tcW w:w="3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11.9</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1,454.6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twenty-four to thirty-six months</w:t>
            </w: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96.8</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2.6</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300"/>
              <w:spacing w:after="0"/>
              <w:rPr>
                <w:sz w:val="20"/>
                <w:szCs w:val="20"/>
                <w:color w:val="auto"/>
              </w:rPr>
            </w:pPr>
            <w:r>
              <w:rPr>
                <w:rFonts w:ascii="Arial" w:cs="Arial" w:eastAsia="Arial" w:hAnsi="Arial"/>
                <w:sz w:val="18"/>
                <w:szCs w:val="18"/>
                <w:color w:val="auto"/>
              </w:rPr>
              <w:t>21.6</w:t>
            </w:r>
          </w:p>
        </w:tc>
        <w:tc>
          <w:tcPr>
            <w:tcW w:w="38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0.3</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118.4</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2.9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thirty-six months</w:t>
            </w: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436.4</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56.8</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186.3</w:t>
            </w:r>
          </w:p>
        </w:tc>
        <w:tc>
          <w:tcPr>
            <w:tcW w:w="3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13.5</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622.7</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820" w:type="dxa"/>
            <w:vAlign w:val="bottom"/>
          </w:tcPr>
          <w:p>
            <w:pPr>
              <w:ind w:left="180"/>
              <w:spacing w:after="0"/>
              <w:rPr>
                <w:sz w:val="20"/>
                <w:szCs w:val="20"/>
                <w:color w:val="auto"/>
              </w:rPr>
            </w:pPr>
            <w:r>
              <w:rPr>
                <w:rFonts w:ascii="Arial" w:cs="Arial" w:eastAsia="Arial" w:hAnsi="Arial"/>
                <w:sz w:val="18"/>
                <w:szCs w:val="18"/>
                <w:color w:val="auto"/>
              </w:rPr>
              <w:t>Total fixed maturities, available-for-sale</w:t>
            </w:r>
          </w:p>
        </w:tc>
        <w:tc>
          <w:tcPr>
            <w:tcW w:w="58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3,652.</w:t>
            </w:r>
            <w:r>
              <w:rPr>
                <w:rFonts w:ascii="Arial" w:cs="Arial" w:eastAsia="Arial" w:hAnsi="Arial"/>
                <w:sz w:val="18"/>
                <w:szCs w:val="18"/>
                <w:u w:val="single" w:color="auto"/>
                <w:color w:val="auto"/>
              </w:rPr>
              <w:t>2</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center"/>
              <w:ind w:right="170"/>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2,163.</w:t>
            </w:r>
            <w:r>
              <w:rPr>
                <w:rFonts w:ascii="Arial" w:cs="Arial" w:eastAsia="Arial" w:hAnsi="Arial"/>
                <w:sz w:val="18"/>
                <w:szCs w:val="18"/>
                <w:u w:val="single" w:color="auto"/>
                <w:color w:val="auto"/>
              </w:rPr>
              <w:t>5</w:t>
            </w:r>
          </w:p>
        </w:tc>
        <w:tc>
          <w:tcPr>
            <w:tcW w:w="300" w:type="dxa"/>
            <w:vAlign w:val="bottom"/>
          </w:tcPr>
          <w:p>
            <w:pPr>
              <w:spacing w:after="0"/>
              <w:rPr>
                <w:sz w:val="18"/>
                <w:szCs w:val="18"/>
                <w:color w:val="auto"/>
              </w:rPr>
            </w:pPr>
          </w:p>
        </w:tc>
        <w:tc>
          <w:tcPr>
            <w:tcW w:w="380" w:type="dxa"/>
            <w:vAlign w:val="bottom"/>
            <w:tcBorders>
              <w:top w:val="single" w:sz="8" w:color="auto"/>
              <w:bottom w:val="single" w:sz="8" w:color="auto"/>
            </w:tcBorders>
          </w:tcPr>
          <w:p>
            <w:pPr>
              <w:jc w:val="right"/>
              <w:ind w:right="225"/>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40.2</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5,815.</w:t>
            </w:r>
            <w:r>
              <w:rPr>
                <w:rFonts w:ascii="Arial" w:cs="Arial" w:eastAsia="Arial" w:hAnsi="Arial"/>
                <w:sz w:val="18"/>
                <w:szCs w:val="18"/>
                <w:u w:val="single" w:color="auto"/>
                <w:color w:val="auto"/>
              </w:rPr>
              <w:t>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143.8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gridSpan w:val="2"/>
          </w:tcPr>
          <w:p>
            <w:pPr>
              <w:jc w:val="center"/>
              <w:spacing w:after="0"/>
              <w:rPr>
                <w:sz w:val="20"/>
                <w:szCs w:val="20"/>
                <w:color w:val="auto"/>
              </w:rPr>
            </w:pPr>
            <w:r>
              <w:rPr>
                <w:rFonts w:ascii="Arial" w:cs="Arial" w:eastAsia="Arial" w:hAnsi="Arial"/>
                <w:sz w:val="18"/>
                <w:szCs w:val="18"/>
                <w:color w:val="auto"/>
                <w:w w:val="86"/>
              </w:rPr>
              <w:t>122</w:t>
            </w: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382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56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6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314"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The following tables present the carrying amount and the gross unrealized losses, including other-than-temporary impairment losses reported in OCI, on below investment grade fixed maturities available-for-sale by aging category as of the periods indicated.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1"/>
              </w:rPr>
              <w:t>September 30, 2015</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gridSpan w:val="4"/>
          </w:tcPr>
          <w:p>
            <w:pPr>
              <w:jc w:val="right"/>
              <w:ind w:right="5"/>
              <w:spacing w:after="0" w:line="142" w:lineRule="exact"/>
              <w:rPr>
                <w:sz w:val="20"/>
                <w:szCs w:val="20"/>
                <w:color w:val="auto"/>
              </w:rPr>
            </w:pPr>
            <w:r>
              <w:rPr>
                <w:rFonts w:ascii="Arial" w:cs="Arial" w:eastAsia="Arial" w:hAnsi="Arial"/>
                <w:sz w:val="14"/>
                <w:szCs w:val="14"/>
                <w:b w:val="1"/>
                <w:bCs w:val="1"/>
                <w:color w:val="auto"/>
              </w:rPr>
              <w:t>Public</w:t>
            </w:r>
          </w:p>
        </w:tc>
        <w:tc>
          <w:tcPr>
            <w:tcW w:w="80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160" w:type="dxa"/>
            <w:vAlign w:val="bottom"/>
            <w:tcBorders>
              <w:bottom w:val="single" w:sz="8" w:color="auto"/>
            </w:tcBorders>
            <w:gridSpan w:val="3"/>
          </w:tcPr>
          <w:p>
            <w:pPr>
              <w:jc w:val="center"/>
              <w:ind w:left="577"/>
              <w:spacing w:after="0" w:line="142" w:lineRule="exact"/>
              <w:rPr>
                <w:sz w:val="20"/>
                <w:szCs w:val="20"/>
                <w:color w:val="auto"/>
              </w:rPr>
            </w:pPr>
            <w:r>
              <w:rPr>
                <w:rFonts w:ascii="Arial" w:cs="Arial" w:eastAsia="Arial" w:hAnsi="Arial"/>
                <w:sz w:val="14"/>
                <w:szCs w:val="14"/>
                <w:b w:val="1"/>
                <w:bCs w:val="1"/>
                <w:color w:val="auto"/>
                <w:w w:val="98"/>
              </w:rPr>
              <w:t>Private</w:t>
            </w:r>
          </w:p>
        </w:tc>
        <w:tc>
          <w:tcPr>
            <w:tcW w:w="80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gridSpan w:val="4"/>
          </w:tcPr>
          <w:p>
            <w:pPr>
              <w:jc w:val="right"/>
              <w:ind w:right="25"/>
              <w:spacing w:after="0" w:line="142" w:lineRule="exact"/>
              <w:rPr>
                <w:sz w:val="20"/>
                <w:szCs w:val="20"/>
                <w:color w:val="auto"/>
              </w:rPr>
            </w:pPr>
            <w:r>
              <w:rPr>
                <w:rFonts w:ascii="Arial" w:cs="Arial" w:eastAsia="Arial" w:hAnsi="Arial"/>
                <w:sz w:val="14"/>
                <w:szCs w:val="14"/>
                <w:b w:val="1"/>
                <w:bCs w:val="1"/>
                <w:color w:val="auto"/>
              </w:rPr>
              <w:t>Total</w:t>
            </w:r>
          </w:p>
        </w:tc>
        <w:tc>
          <w:tcPr>
            <w:tcW w:w="80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8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rPr>
              <w:t>Carrying</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7"/>
              </w:rPr>
              <w:t>Carrying</w:t>
            </w:r>
          </w:p>
        </w:tc>
        <w:tc>
          <w:tcPr>
            <w:tcW w:w="100" w:type="dxa"/>
            <w:vAlign w:val="bottom"/>
          </w:tcPr>
          <w:p>
            <w:pPr>
              <w:spacing w:after="0"/>
              <w:rPr>
                <w:sz w:val="10"/>
                <w:szCs w:val="10"/>
                <w:color w:val="auto"/>
              </w:rPr>
            </w:pPr>
          </w:p>
        </w:tc>
        <w:tc>
          <w:tcPr>
            <w:tcW w:w="800" w:type="dxa"/>
            <w:vAlign w:val="bottom"/>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rPr>
              <w:t>Carrying</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0"/>
              </w:rPr>
              <w:t>amount</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8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2100" w:type="dxa"/>
            <w:vAlign w:val="bottom"/>
            <w:tcBorders>
              <w:top w:val="single" w:sz="8" w:color="auto"/>
            </w:tcBorders>
            <w:gridSpan w:val="5"/>
          </w:tcPr>
          <w:p>
            <w:pPr>
              <w:jc w:val="center"/>
              <w:ind w:right="320"/>
              <w:spacing w:after="0"/>
              <w:rPr>
                <w:sz w:val="20"/>
                <w:szCs w:val="20"/>
                <w:color w:val="auto"/>
              </w:rPr>
            </w:pPr>
            <w:r>
              <w:rPr>
                <w:rFonts w:ascii="Arial" w:cs="Arial" w:eastAsia="Arial" w:hAnsi="Arial"/>
                <w:sz w:val="14"/>
                <w:szCs w:val="14"/>
                <w:b w:val="1"/>
                <w:bCs w:val="1"/>
                <w:color w:val="auto"/>
                <w:w w:val="94"/>
              </w:rPr>
              <w:t>(in millions)</w:t>
            </w:r>
          </w:p>
        </w:tc>
        <w:tc>
          <w:tcPr>
            <w:tcW w:w="14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38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410.7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10.8</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379.1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7.4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789.8</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18.2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150.8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11.8</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257.7</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12.4</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408.5</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24.2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38.0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46.0</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1.8</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84.0</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125.9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41.4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64.1</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12.9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190.0</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54.3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to twenty-four months</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49.0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8.8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174.2</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34.7</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223.2</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43.5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twenty-four to thirty-six months</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14.0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65.3</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79.3</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5.2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thirty-six months</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189.1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49.1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115.6</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36.2</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304.7</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85.3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820" w:type="dxa"/>
            <w:vAlign w:val="bottom"/>
          </w:tcPr>
          <w:p>
            <w:pPr>
              <w:ind w:left="180"/>
              <w:spacing w:after="0"/>
              <w:rPr>
                <w:sz w:val="20"/>
                <w:szCs w:val="20"/>
                <w:color w:val="auto"/>
              </w:rPr>
            </w:pPr>
            <w:r>
              <w:rPr>
                <w:rFonts w:ascii="Arial" w:cs="Arial" w:eastAsia="Arial" w:hAnsi="Arial"/>
                <w:sz w:val="18"/>
                <w:szCs w:val="18"/>
                <w:color w:val="auto"/>
              </w:rPr>
              <w:t>Total fixed maturities, available-for-sale</w:t>
            </w:r>
          </w:p>
        </w:tc>
        <w:tc>
          <w:tcPr>
            <w:tcW w:w="5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977.5</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128.3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1,102.</w:t>
            </w:r>
            <w:r>
              <w:rPr>
                <w:rFonts w:ascii="Arial" w:cs="Arial" w:eastAsia="Arial" w:hAnsi="Arial"/>
                <w:sz w:val="18"/>
                <w:szCs w:val="18"/>
                <w:b w:val="1"/>
                <w:bCs w:val="1"/>
                <w:u w:val="single" w:color="auto"/>
                <w:color w:val="auto"/>
              </w:rPr>
              <w:t>0</w:t>
            </w:r>
          </w:p>
        </w:tc>
        <w:tc>
          <w:tcPr>
            <w:tcW w:w="3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107.3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2,079.5</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235.6</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0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2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1"/>
              </w:rPr>
              <w:t>December 31, 2014</w:t>
            </w: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gridSpan w:val="4"/>
          </w:tcPr>
          <w:p>
            <w:pPr>
              <w:jc w:val="right"/>
              <w:ind w:right="5"/>
              <w:spacing w:after="0" w:line="142" w:lineRule="exact"/>
              <w:rPr>
                <w:sz w:val="20"/>
                <w:szCs w:val="20"/>
                <w:color w:val="auto"/>
              </w:rPr>
            </w:pPr>
            <w:r>
              <w:rPr>
                <w:rFonts w:ascii="Arial" w:cs="Arial" w:eastAsia="Arial" w:hAnsi="Arial"/>
                <w:sz w:val="14"/>
                <w:szCs w:val="14"/>
                <w:b w:val="1"/>
                <w:bCs w:val="1"/>
                <w:color w:val="auto"/>
              </w:rPr>
              <w:t>Public</w:t>
            </w:r>
          </w:p>
        </w:tc>
        <w:tc>
          <w:tcPr>
            <w:tcW w:w="80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160" w:type="dxa"/>
            <w:vAlign w:val="bottom"/>
            <w:tcBorders>
              <w:bottom w:val="single" w:sz="8" w:color="auto"/>
            </w:tcBorders>
            <w:gridSpan w:val="3"/>
          </w:tcPr>
          <w:p>
            <w:pPr>
              <w:jc w:val="center"/>
              <w:ind w:left="577"/>
              <w:spacing w:after="0" w:line="142" w:lineRule="exact"/>
              <w:rPr>
                <w:sz w:val="20"/>
                <w:szCs w:val="20"/>
                <w:color w:val="auto"/>
              </w:rPr>
            </w:pPr>
            <w:r>
              <w:rPr>
                <w:rFonts w:ascii="Arial" w:cs="Arial" w:eastAsia="Arial" w:hAnsi="Arial"/>
                <w:sz w:val="14"/>
                <w:szCs w:val="14"/>
                <w:b w:val="1"/>
                <w:bCs w:val="1"/>
                <w:color w:val="auto"/>
                <w:w w:val="98"/>
              </w:rPr>
              <w:t>Private</w:t>
            </w:r>
          </w:p>
        </w:tc>
        <w:tc>
          <w:tcPr>
            <w:tcW w:w="80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gridSpan w:val="4"/>
          </w:tcPr>
          <w:p>
            <w:pPr>
              <w:jc w:val="right"/>
              <w:ind w:right="25"/>
              <w:spacing w:after="0" w:line="142" w:lineRule="exact"/>
              <w:rPr>
                <w:sz w:val="20"/>
                <w:szCs w:val="20"/>
                <w:color w:val="auto"/>
              </w:rPr>
            </w:pPr>
            <w:r>
              <w:rPr>
                <w:rFonts w:ascii="Arial" w:cs="Arial" w:eastAsia="Arial" w:hAnsi="Arial"/>
                <w:sz w:val="14"/>
                <w:szCs w:val="14"/>
                <w:b w:val="1"/>
                <w:bCs w:val="1"/>
                <w:color w:val="auto"/>
              </w:rPr>
              <w:t>Total</w:t>
            </w:r>
          </w:p>
        </w:tc>
        <w:tc>
          <w:tcPr>
            <w:tcW w:w="80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8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rPr>
              <w:t>Carrying</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7"/>
              </w:rPr>
              <w:t>Carrying</w:t>
            </w:r>
          </w:p>
        </w:tc>
        <w:tc>
          <w:tcPr>
            <w:tcW w:w="100" w:type="dxa"/>
            <w:vAlign w:val="bottom"/>
          </w:tcPr>
          <w:p>
            <w:pPr>
              <w:spacing w:after="0"/>
              <w:rPr>
                <w:sz w:val="10"/>
                <w:szCs w:val="10"/>
                <w:color w:val="auto"/>
              </w:rPr>
            </w:pPr>
          </w:p>
        </w:tc>
        <w:tc>
          <w:tcPr>
            <w:tcW w:w="800" w:type="dxa"/>
            <w:vAlign w:val="bottom"/>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rPr>
              <w:t>Carrying</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center"/>
              <w:ind w:right="35"/>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0"/>
              </w:rPr>
              <w:t>amount</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8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2100" w:type="dxa"/>
            <w:vAlign w:val="bottom"/>
            <w:tcBorders>
              <w:top w:val="single" w:sz="8" w:color="auto"/>
            </w:tcBorders>
            <w:gridSpan w:val="5"/>
          </w:tcPr>
          <w:p>
            <w:pPr>
              <w:jc w:val="center"/>
              <w:ind w:right="320"/>
              <w:spacing w:after="0"/>
              <w:rPr>
                <w:sz w:val="20"/>
                <w:szCs w:val="20"/>
                <w:color w:val="auto"/>
              </w:rPr>
            </w:pPr>
            <w:r>
              <w:rPr>
                <w:rFonts w:ascii="Arial" w:cs="Arial" w:eastAsia="Arial" w:hAnsi="Arial"/>
                <w:sz w:val="14"/>
                <w:szCs w:val="14"/>
                <w:b w:val="1"/>
                <w:bCs w:val="1"/>
                <w:color w:val="auto"/>
                <w:w w:val="94"/>
              </w:rPr>
              <w:t>(in millions)</w:t>
            </w:r>
          </w:p>
        </w:tc>
        <w:tc>
          <w:tcPr>
            <w:tcW w:w="14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3820" w:type="dxa"/>
            <w:vAlign w:val="bottom"/>
          </w:tcPr>
          <w:p>
            <w:pPr>
              <w:spacing w:after="0"/>
              <w:rPr>
                <w:sz w:val="15"/>
                <w:szCs w:val="15"/>
                <w:color w:val="auto"/>
              </w:rPr>
            </w:pPr>
          </w:p>
        </w:tc>
        <w:tc>
          <w:tcPr>
            <w:tcW w:w="720" w:type="dxa"/>
            <w:vAlign w:val="bottom"/>
            <w:gridSpan w:val="2"/>
          </w:tcPr>
          <w:p>
            <w:pPr>
              <w:spacing w:after="0"/>
              <w:rPr>
                <w:sz w:val="15"/>
                <w:szCs w:val="15"/>
                <w:color w:val="auto"/>
              </w:rPr>
            </w:pPr>
          </w:p>
        </w:tc>
        <w:tc>
          <w:tcPr>
            <w:tcW w:w="940" w:type="dxa"/>
            <w:vAlign w:val="bottom"/>
            <w:gridSpan w:val="2"/>
          </w:tcPr>
          <w:p>
            <w:pPr>
              <w:spacing w:after="0"/>
              <w:rPr>
                <w:sz w:val="15"/>
                <w:szCs w:val="15"/>
                <w:color w:val="auto"/>
              </w:rPr>
            </w:pPr>
          </w:p>
        </w:tc>
        <w:tc>
          <w:tcPr>
            <w:tcW w:w="260" w:type="dxa"/>
            <w:vAlign w:val="bottom"/>
            <w:gridSpan w:val="2"/>
          </w:tcPr>
          <w:p>
            <w:pPr>
              <w:spacing w:after="0"/>
              <w:rPr>
                <w:sz w:val="15"/>
                <w:szCs w:val="15"/>
                <w:color w:val="auto"/>
              </w:rPr>
            </w:pPr>
          </w:p>
        </w:tc>
        <w:tc>
          <w:tcPr>
            <w:tcW w:w="940" w:type="dxa"/>
            <w:vAlign w:val="bottom"/>
            <w:gridSpan w:val="2"/>
          </w:tcPr>
          <w:p>
            <w:pPr>
              <w:spacing w:after="0"/>
              <w:rPr>
                <w:sz w:val="15"/>
                <w:szCs w:val="15"/>
                <w:color w:val="auto"/>
              </w:rPr>
            </w:pPr>
          </w:p>
        </w:tc>
        <w:tc>
          <w:tcPr>
            <w:tcW w:w="280" w:type="dxa"/>
            <w:vAlign w:val="bottom"/>
            <w:gridSpan w:val="2"/>
          </w:tcPr>
          <w:p>
            <w:pPr>
              <w:spacing w:after="0"/>
              <w:rPr>
                <w:sz w:val="15"/>
                <w:szCs w:val="15"/>
                <w:color w:val="auto"/>
              </w:rPr>
            </w:pPr>
          </w:p>
        </w:tc>
        <w:tc>
          <w:tcPr>
            <w:tcW w:w="1060" w:type="dxa"/>
            <w:vAlign w:val="bottom"/>
            <w:gridSpan w:val="2"/>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gridSpan w:val="2"/>
          </w:tcPr>
          <w:p>
            <w:pPr>
              <w:spacing w:after="0"/>
              <w:rPr>
                <w:sz w:val="15"/>
                <w:szCs w:val="15"/>
                <w:color w:val="auto"/>
              </w:rPr>
            </w:pPr>
          </w:p>
        </w:tc>
        <w:tc>
          <w:tcPr>
            <w:tcW w:w="260" w:type="dxa"/>
            <w:vAlign w:val="bottom"/>
            <w:gridSpan w:val="2"/>
          </w:tcPr>
          <w:p>
            <w:pPr>
              <w:spacing w:after="0"/>
              <w:rPr>
                <w:sz w:val="15"/>
                <w:szCs w:val="15"/>
                <w:color w:val="auto"/>
              </w:rPr>
            </w:pPr>
          </w:p>
        </w:tc>
        <w:tc>
          <w:tcPr>
            <w:tcW w:w="1060" w:type="dxa"/>
            <w:vAlign w:val="bottom"/>
            <w:gridSpan w:val="2"/>
          </w:tcPr>
          <w:p>
            <w:pPr>
              <w:spacing w:after="0"/>
              <w:rPr>
                <w:sz w:val="15"/>
                <w:szCs w:val="15"/>
                <w:color w:val="auto"/>
              </w:rPr>
            </w:pPr>
          </w:p>
        </w:tc>
        <w:tc>
          <w:tcPr>
            <w:tcW w:w="120" w:type="dxa"/>
            <w:vAlign w:val="bottom"/>
            <w:gridSpan w:val="2"/>
          </w:tcPr>
          <w:p>
            <w:pPr>
              <w:spacing w:after="0"/>
              <w:rPr>
                <w:sz w:val="15"/>
                <w:szCs w:val="15"/>
                <w:color w:val="auto"/>
              </w:rPr>
            </w:pPr>
          </w:p>
        </w:tc>
        <w:tc>
          <w:tcPr>
            <w:tcW w:w="820" w:type="dxa"/>
            <w:vAlign w:val="bottom"/>
            <w:gridSpan w:val="2"/>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478.0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14.8</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298.1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776.1</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111.8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4.1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color w:val="auto"/>
              </w:rPr>
              <w:t>274.1</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15.9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385.9</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20.0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52.4</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0.7</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60.6</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color w:val="auto"/>
              </w:rPr>
              <w:t>94.8</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2.8</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94.8</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2.8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to twenty-four months</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21.2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66.7</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87.9</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Greater than twenty-four to thirty-six months</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0.5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0.4</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0.9</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0.4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thirty-six months</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280.6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69.5</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151.7</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41.1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432.3</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110.6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820" w:type="dxa"/>
            <w:vAlign w:val="bottom"/>
          </w:tcPr>
          <w:p>
            <w:pPr>
              <w:ind w:left="180"/>
              <w:spacing w:after="0"/>
              <w:rPr>
                <w:sz w:val="20"/>
                <w:szCs w:val="20"/>
                <w:color w:val="auto"/>
              </w:rPr>
            </w:pPr>
            <w:r>
              <w:rPr>
                <w:rFonts w:ascii="Arial" w:cs="Arial" w:eastAsia="Arial" w:hAnsi="Arial"/>
                <w:sz w:val="18"/>
                <w:szCs w:val="18"/>
                <w:color w:val="auto"/>
              </w:rPr>
              <w:t>Total fixed maturities, available-for-sale</w:t>
            </w:r>
          </w:p>
        </w:tc>
        <w:tc>
          <w:tcPr>
            <w:tcW w:w="5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900.3</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90.0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938.2</w:t>
            </w:r>
          </w:p>
        </w:tc>
        <w:tc>
          <w:tcPr>
            <w:tcW w:w="3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1,838.</w:t>
            </w:r>
            <w:r>
              <w:rPr>
                <w:rFonts w:ascii="Arial" w:cs="Arial" w:eastAsia="Arial" w:hAnsi="Arial"/>
                <w:sz w:val="18"/>
                <w:szCs w:val="18"/>
                <w:u w:val="single" w:color="auto"/>
                <w:color w:val="auto"/>
              </w:rPr>
              <w:t>5</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167.3</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The following tables present the carrying amount and the gross unrealized losses, including other-than-temporary impairment losses reported in OCI, on fixed maturities available-for-sale where the estimated fair value had declined and remained below amortized cost by 20% or more as of the periods indicated.</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1"/>
              </w:rPr>
              <w:t>September 30, 2015</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7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140" w:type="dxa"/>
            <w:vAlign w:val="bottom"/>
            <w:gridSpan w:val="6"/>
          </w:tcPr>
          <w:p>
            <w:pPr>
              <w:jc w:val="center"/>
              <w:ind w:right="280"/>
              <w:spacing w:after="0" w:line="119" w:lineRule="exact"/>
              <w:rPr>
                <w:sz w:val="20"/>
                <w:szCs w:val="20"/>
                <w:color w:val="auto"/>
              </w:rPr>
            </w:pPr>
            <w:r>
              <w:rPr>
                <w:rFonts w:ascii="Arial" w:cs="Arial" w:eastAsia="Arial" w:hAnsi="Arial"/>
                <w:sz w:val="13"/>
                <w:szCs w:val="13"/>
                <w:b w:val="1"/>
                <w:bCs w:val="1"/>
                <w:color w:val="auto"/>
              </w:rPr>
              <w:t>Problem, potential</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100" w:type="dxa"/>
            <w:vAlign w:val="bottom"/>
            <w:gridSpan w:val="5"/>
          </w:tcPr>
          <w:p>
            <w:pPr>
              <w:jc w:val="center"/>
              <w:ind w:right="280"/>
              <w:spacing w:after="0" w:line="119" w:lineRule="exact"/>
              <w:rPr>
                <w:sz w:val="20"/>
                <w:szCs w:val="20"/>
                <w:color w:val="auto"/>
              </w:rPr>
            </w:pPr>
            <w:r>
              <w:rPr>
                <w:rFonts w:ascii="Arial" w:cs="Arial" w:eastAsia="Arial" w:hAnsi="Arial"/>
                <w:sz w:val="13"/>
                <w:szCs w:val="13"/>
                <w:b w:val="1"/>
                <w:bCs w:val="1"/>
                <w:color w:val="auto"/>
              </w:rPr>
              <w:t>All other fixed</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80" w:type="dxa"/>
            <w:vAlign w:val="bottom"/>
            <w:gridSpan w:val="4"/>
            <w:vMerge w:val="restart"/>
          </w:tcPr>
          <w:p>
            <w:pPr>
              <w:jc w:val="right"/>
              <w:ind w:right="25"/>
              <w:spacing w:after="0"/>
              <w:rPr>
                <w:sz w:val="20"/>
                <w:szCs w:val="20"/>
                <w:color w:val="auto"/>
              </w:rPr>
            </w:pPr>
            <w:r>
              <w:rPr>
                <w:rFonts w:ascii="Arial" w:cs="Arial" w:eastAsia="Arial" w:hAnsi="Arial"/>
                <w:sz w:val="14"/>
                <w:szCs w:val="14"/>
                <w:b w:val="1"/>
                <w:bCs w:val="1"/>
                <w:color w:val="auto"/>
              </w:rPr>
              <w:t>Total</w:t>
            </w:r>
          </w:p>
        </w:tc>
        <w:tc>
          <w:tcPr>
            <w:tcW w:w="8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40" w:type="dxa"/>
            <w:vAlign w:val="bottom"/>
            <w:gridSpan w:val="6"/>
          </w:tcPr>
          <w:p>
            <w:pPr>
              <w:jc w:val="center"/>
              <w:ind w:right="280"/>
              <w:spacing w:after="0"/>
              <w:rPr>
                <w:sz w:val="20"/>
                <w:szCs w:val="20"/>
                <w:color w:val="auto"/>
              </w:rPr>
            </w:pPr>
            <w:r>
              <w:rPr>
                <w:rFonts w:ascii="Arial" w:cs="Arial" w:eastAsia="Arial" w:hAnsi="Arial"/>
                <w:sz w:val="14"/>
                <w:szCs w:val="14"/>
                <w:b w:val="1"/>
                <w:bCs w:val="1"/>
                <w:color w:val="auto"/>
                <w:w w:val="92"/>
              </w:rPr>
              <w:t>problem and restructured</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0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1"/>
              </w:rPr>
              <w:t>maturity securities</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4"/>
            <w:vMerge w:val="continue"/>
          </w:tcPr>
          <w:p>
            <w:pPr>
              <w:spacing w:after="0"/>
              <w:rPr>
                <w:sz w:val="14"/>
                <w:szCs w:val="14"/>
                <w:color w:val="auto"/>
              </w:rPr>
            </w:pPr>
          </w:p>
        </w:tc>
        <w:tc>
          <w:tcPr>
            <w:tcW w:w="8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7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gridSpan w:val="2"/>
            <w:vMerge w:val="restart"/>
          </w:tcPr>
          <w:p>
            <w:pPr>
              <w:jc w:val="center"/>
              <w:ind w:right="280"/>
              <w:spacing w:after="0"/>
              <w:rPr>
                <w:sz w:val="20"/>
                <w:szCs w:val="20"/>
                <w:color w:val="auto"/>
              </w:rPr>
            </w:pPr>
            <w:r>
              <w:rPr>
                <w:rFonts w:ascii="Arial" w:cs="Arial" w:eastAsia="Arial" w:hAnsi="Arial"/>
                <w:sz w:val="14"/>
                <w:szCs w:val="14"/>
                <w:b w:val="1"/>
                <w:bCs w:val="1"/>
                <w:color w:val="auto"/>
              </w:rPr>
              <w:t>Carrying</w:t>
            </w:r>
          </w:p>
        </w:tc>
        <w:tc>
          <w:tcPr>
            <w:tcW w:w="16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37"/>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060" w:type="dxa"/>
            <w:vAlign w:val="bottom"/>
            <w:tcBorders>
              <w:top w:val="single" w:sz="8" w:color="auto"/>
            </w:tcBorders>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Carrying</w:t>
            </w:r>
          </w:p>
        </w:tc>
        <w:tc>
          <w:tcPr>
            <w:tcW w:w="1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37"/>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060" w:type="dxa"/>
            <w:vAlign w:val="bottom"/>
            <w:tcBorders>
              <w:top w:val="single" w:sz="8" w:color="auto"/>
            </w:tcBorders>
            <w:gridSpan w:val="2"/>
            <w:vMerge w:val="restart"/>
          </w:tcPr>
          <w:p>
            <w:pPr>
              <w:jc w:val="right"/>
              <w:ind w:right="440"/>
              <w:spacing w:after="0"/>
              <w:rPr>
                <w:sz w:val="20"/>
                <w:szCs w:val="20"/>
                <w:color w:val="auto"/>
              </w:rPr>
            </w:pPr>
            <w:r>
              <w:rPr>
                <w:rFonts w:ascii="Arial" w:cs="Arial" w:eastAsia="Arial" w:hAnsi="Arial"/>
                <w:sz w:val="14"/>
                <w:szCs w:val="14"/>
                <w:b w:val="1"/>
                <w:bCs w:val="1"/>
                <w:color w:val="auto"/>
              </w:rPr>
              <w:t>Carrying</w:t>
            </w:r>
          </w:p>
        </w:tc>
        <w:tc>
          <w:tcPr>
            <w:tcW w:w="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37"/>
              <w:spacing w:after="0" w:line="119"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7"/>
              </w:rPr>
              <w:t>losses</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amount</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7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2100" w:type="dxa"/>
            <w:vAlign w:val="bottom"/>
            <w:tcBorders>
              <w:top w:val="single" w:sz="8" w:color="auto"/>
            </w:tcBorders>
            <w:gridSpan w:val="5"/>
          </w:tcPr>
          <w:p>
            <w:pPr>
              <w:jc w:val="center"/>
              <w:ind w:right="320"/>
              <w:spacing w:after="0"/>
              <w:rPr>
                <w:sz w:val="20"/>
                <w:szCs w:val="20"/>
                <w:color w:val="auto"/>
              </w:rPr>
            </w:pPr>
            <w:r>
              <w:rPr>
                <w:rFonts w:ascii="Arial" w:cs="Arial" w:eastAsia="Arial" w:hAnsi="Arial"/>
                <w:sz w:val="14"/>
                <w:szCs w:val="14"/>
                <w:b w:val="1"/>
                <w:bCs w:val="1"/>
                <w:color w:val="auto"/>
                <w:w w:val="94"/>
              </w:rPr>
              <w:t>(in millions)</w:t>
            </w:r>
          </w:p>
        </w:tc>
        <w:tc>
          <w:tcPr>
            <w:tcW w:w="14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37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10.0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11.0</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176.5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61.7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186.5</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72.7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4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7.6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12.0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37.4</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28.7</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45.0</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40.7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52.8</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20.1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52.8</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20.1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4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80.9</w:t>
            </w: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37.2</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80.9</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37.2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months</w:t>
            </w: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29.7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17.4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163.2</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71.0</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192.9</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88.4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40" w:type="dxa"/>
            <w:vAlign w:val="bottom"/>
          </w:tcPr>
          <w:p>
            <w:pPr>
              <w:ind w:left="180"/>
              <w:spacing w:after="0"/>
              <w:rPr>
                <w:sz w:val="20"/>
                <w:szCs w:val="20"/>
                <w:color w:val="auto"/>
              </w:rPr>
            </w:pPr>
            <w:r>
              <w:rPr>
                <w:rFonts w:ascii="Arial" w:cs="Arial" w:eastAsia="Arial" w:hAnsi="Arial"/>
                <w:sz w:val="18"/>
                <w:szCs w:val="18"/>
                <w:color w:val="auto"/>
              </w:rPr>
              <w:t>Total fixed maturities, available-for-sale</w:t>
            </w:r>
          </w:p>
        </w:tc>
        <w:tc>
          <w:tcPr>
            <w:tcW w:w="6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47.3</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40.4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510.8</w:t>
            </w:r>
          </w:p>
        </w:tc>
        <w:tc>
          <w:tcPr>
            <w:tcW w:w="3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218.7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558.1</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259.1</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17" w:lineRule="exact"/>
        <w:rPr>
          <w:sz w:val="20"/>
          <w:szCs w:val="20"/>
          <w:color w:val="auto"/>
        </w:rPr>
      </w:pPr>
    </w:p>
    <w:p>
      <w:pPr>
        <w:ind w:left="7280"/>
        <w:spacing w:after="0"/>
        <w:rPr>
          <w:sz w:val="20"/>
          <w:szCs w:val="20"/>
          <w:color w:val="auto"/>
        </w:rPr>
      </w:pPr>
      <w:r>
        <w:rPr>
          <w:rFonts w:ascii="Arial" w:cs="Arial" w:eastAsia="Arial" w:hAnsi="Arial"/>
          <w:sz w:val="14"/>
          <w:szCs w:val="14"/>
          <w:b w:val="1"/>
          <w:bCs w:val="1"/>
          <w:color w:val="auto"/>
        </w:rPr>
        <w:t>December 31, 2014</w:t>
      </w:r>
    </w:p>
    <w:p>
      <w:pPr>
        <w:spacing w:after="0" w:line="10" w:lineRule="exact"/>
        <w:rPr>
          <w:sz w:val="20"/>
          <w:szCs w:val="20"/>
          <w:color w:val="auto"/>
        </w:rPr>
      </w:pPr>
    </w:p>
    <w:tbl>
      <w:tblPr>
        <w:tblLayout w:type="fixed"/>
        <w:tblInd w:w="4420" w:type="dxa"/>
        <w:tblCellMar>
          <w:top w:w="0" w:type="dxa"/>
          <w:left w:w="0" w:type="dxa"/>
          <w:bottom w:w="0" w:type="dxa"/>
          <w:right w:w="0" w:type="dxa"/>
        </w:tblCellMar>
      </w:tblPr>
      <w:tr>
        <w:trPr>
          <w:trHeight w:val="119"/>
        </w:trPr>
        <w:tc>
          <w:tcPr>
            <w:tcW w:w="2420" w:type="dxa"/>
            <w:vAlign w:val="bottom"/>
            <w:tcBorders>
              <w:top w:val="single" w:sz="8" w:color="auto"/>
            </w:tcBorders>
            <w:gridSpan w:val="3"/>
          </w:tcPr>
          <w:p>
            <w:pPr>
              <w:jc w:val="center"/>
              <w:ind w:right="280"/>
              <w:spacing w:after="0" w:line="119" w:lineRule="exact"/>
              <w:rPr>
                <w:sz w:val="20"/>
                <w:szCs w:val="20"/>
                <w:color w:val="auto"/>
              </w:rPr>
            </w:pPr>
            <w:r>
              <w:rPr>
                <w:rFonts w:ascii="Arial" w:cs="Arial" w:eastAsia="Arial" w:hAnsi="Arial"/>
                <w:sz w:val="13"/>
                <w:szCs w:val="13"/>
                <w:b w:val="1"/>
                <w:bCs w:val="1"/>
                <w:color w:val="auto"/>
              </w:rPr>
              <w:t>Problem, potential</w:t>
            </w:r>
          </w:p>
        </w:tc>
        <w:tc>
          <w:tcPr>
            <w:tcW w:w="2380" w:type="dxa"/>
            <w:vAlign w:val="bottom"/>
            <w:tcBorders>
              <w:top w:val="single" w:sz="8" w:color="auto"/>
            </w:tcBorders>
            <w:gridSpan w:val="3"/>
          </w:tcPr>
          <w:p>
            <w:pPr>
              <w:jc w:val="center"/>
              <w:ind w:right="280"/>
              <w:spacing w:after="0" w:line="119" w:lineRule="exact"/>
              <w:rPr>
                <w:sz w:val="20"/>
                <w:szCs w:val="20"/>
                <w:color w:val="auto"/>
              </w:rPr>
            </w:pPr>
            <w:r>
              <w:rPr>
                <w:rFonts w:ascii="Arial" w:cs="Arial" w:eastAsia="Arial" w:hAnsi="Arial"/>
                <w:sz w:val="13"/>
                <w:szCs w:val="13"/>
                <w:b w:val="1"/>
                <w:bCs w:val="1"/>
                <w:color w:val="auto"/>
              </w:rPr>
              <w:t>All other fixed</w:t>
            </w:r>
          </w:p>
        </w:tc>
        <w:tc>
          <w:tcPr>
            <w:tcW w:w="820" w:type="dxa"/>
            <w:vAlign w:val="bottom"/>
            <w:tcBorders>
              <w:top w:val="single" w:sz="8" w:color="auto"/>
            </w:tcBorders>
          </w:tcPr>
          <w:p>
            <w:pPr>
              <w:spacing w:after="0"/>
              <w:rPr>
                <w:sz w:val="10"/>
                <w:szCs w:val="10"/>
                <w:color w:val="auto"/>
              </w:rPr>
            </w:pPr>
          </w:p>
        </w:tc>
        <w:tc>
          <w:tcPr>
            <w:tcW w:w="1280" w:type="dxa"/>
            <w:vAlign w:val="bottom"/>
            <w:tcBorders>
              <w:top w:val="single" w:sz="8" w:color="auto"/>
            </w:tcBorders>
            <w:vMerge w:val="restart"/>
          </w:tcPr>
          <w:p>
            <w:pPr>
              <w:ind w:left="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4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2"/>
              </w:rPr>
              <w:t>problem and restructured</w:t>
            </w:r>
          </w:p>
        </w:tc>
        <w:tc>
          <w:tcPr>
            <w:tcW w:w="238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1"/>
              </w:rPr>
              <w:t>maturity securities</w:t>
            </w:r>
          </w:p>
        </w:tc>
        <w:tc>
          <w:tcPr>
            <w:tcW w:w="82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1060" w:type="dxa"/>
            <w:vAlign w:val="bottom"/>
            <w:tcBorders>
              <w:top w:val="single" w:sz="8" w:color="auto"/>
            </w:tcBorders>
            <w:vMerge w:val="restart"/>
          </w:tcPr>
          <w:p>
            <w:pPr>
              <w:jc w:val="center"/>
              <w:ind w:right="49"/>
              <w:spacing w:after="0"/>
              <w:rPr>
                <w:sz w:val="20"/>
                <w:szCs w:val="20"/>
                <w:color w:val="auto"/>
              </w:rPr>
            </w:pPr>
            <w:r>
              <w:rPr>
                <w:rFonts w:ascii="Arial" w:cs="Arial" w:eastAsia="Arial" w:hAnsi="Arial"/>
                <w:sz w:val="14"/>
                <w:szCs w:val="14"/>
                <w:b w:val="1"/>
                <w:bCs w:val="1"/>
                <w:color w:val="auto"/>
              </w:rPr>
              <w:t>Carrying</w:t>
            </w:r>
          </w:p>
        </w:tc>
        <w:tc>
          <w:tcPr>
            <w:tcW w:w="1080" w:type="dxa"/>
            <w:vAlign w:val="bottom"/>
            <w:tcBorders>
              <w:top w:val="single" w:sz="8" w:color="auto"/>
            </w:tcBorders>
          </w:tcPr>
          <w:p>
            <w:pPr>
              <w:jc w:val="center"/>
              <w:ind w:left="90"/>
              <w:spacing w:after="0" w:line="119" w:lineRule="exact"/>
              <w:rPr>
                <w:sz w:val="20"/>
                <w:szCs w:val="20"/>
                <w:color w:val="auto"/>
              </w:rPr>
            </w:pPr>
            <w:r>
              <w:rPr>
                <w:rFonts w:ascii="Arial" w:cs="Arial" w:eastAsia="Arial" w:hAnsi="Arial"/>
                <w:sz w:val="13"/>
                <w:szCs w:val="13"/>
                <w:b w:val="1"/>
                <w:bCs w:val="1"/>
                <w:color w:val="auto"/>
                <w:w w:val="95"/>
              </w:rPr>
              <w:t>Gross</w:t>
            </w:r>
          </w:p>
        </w:tc>
        <w:tc>
          <w:tcPr>
            <w:tcW w:w="280" w:type="dxa"/>
            <w:vAlign w:val="bottom"/>
          </w:tcPr>
          <w:p>
            <w:pPr>
              <w:spacing w:after="0"/>
              <w:rPr>
                <w:sz w:val="10"/>
                <w:szCs w:val="10"/>
                <w:color w:val="auto"/>
              </w:rPr>
            </w:pPr>
          </w:p>
        </w:tc>
        <w:tc>
          <w:tcPr>
            <w:tcW w:w="1020" w:type="dxa"/>
            <w:vAlign w:val="bottom"/>
            <w:tcBorders>
              <w:top w:val="single" w:sz="8" w:color="auto"/>
            </w:tcBorders>
            <w:vMerge w:val="restart"/>
          </w:tcPr>
          <w:p>
            <w:pPr>
              <w:jc w:val="center"/>
              <w:ind w:right="29"/>
              <w:spacing w:after="0"/>
              <w:rPr>
                <w:sz w:val="20"/>
                <w:szCs w:val="20"/>
                <w:color w:val="auto"/>
              </w:rPr>
            </w:pPr>
            <w:r>
              <w:rPr>
                <w:rFonts w:ascii="Arial" w:cs="Arial" w:eastAsia="Arial" w:hAnsi="Arial"/>
                <w:sz w:val="14"/>
                <w:szCs w:val="14"/>
                <w:b w:val="1"/>
                <w:bCs w:val="1"/>
                <w:color w:val="auto"/>
                <w:w w:val="97"/>
              </w:rPr>
              <w:t>Carrying</w:t>
            </w:r>
          </w:p>
        </w:tc>
        <w:tc>
          <w:tcPr>
            <w:tcW w:w="1080" w:type="dxa"/>
            <w:vAlign w:val="bottom"/>
            <w:tcBorders>
              <w:top w:val="single" w:sz="8" w:color="auto"/>
            </w:tcBorders>
          </w:tcPr>
          <w:p>
            <w:pPr>
              <w:jc w:val="center"/>
              <w:ind w:left="90"/>
              <w:spacing w:after="0" w:line="119" w:lineRule="exact"/>
              <w:rPr>
                <w:sz w:val="20"/>
                <w:szCs w:val="20"/>
                <w:color w:val="auto"/>
              </w:rPr>
            </w:pPr>
            <w:r>
              <w:rPr>
                <w:rFonts w:ascii="Arial" w:cs="Arial" w:eastAsia="Arial" w:hAnsi="Arial"/>
                <w:sz w:val="13"/>
                <w:szCs w:val="13"/>
                <w:b w:val="1"/>
                <w:bCs w:val="1"/>
                <w:color w:val="auto"/>
                <w:w w:val="95"/>
              </w:rPr>
              <w:t>Gross</w:t>
            </w:r>
          </w:p>
        </w:tc>
        <w:tc>
          <w:tcPr>
            <w:tcW w:w="280" w:type="dxa"/>
            <w:vAlign w:val="bottom"/>
          </w:tcPr>
          <w:p>
            <w:pPr>
              <w:spacing w:after="0"/>
              <w:rPr>
                <w:sz w:val="10"/>
                <w:szCs w:val="10"/>
                <w:color w:val="auto"/>
              </w:rPr>
            </w:pPr>
          </w:p>
        </w:tc>
        <w:tc>
          <w:tcPr>
            <w:tcW w:w="820" w:type="dxa"/>
            <w:vAlign w:val="bottom"/>
            <w:tcBorders>
              <w:top w:val="single" w:sz="8" w:color="auto"/>
            </w:tcBorders>
            <w:vMerge w:val="restart"/>
          </w:tcPr>
          <w:p>
            <w:pPr>
              <w:jc w:val="center"/>
              <w:ind w:left="8"/>
              <w:spacing w:after="0"/>
              <w:rPr>
                <w:sz w:val="20"/>
                <w:szCs w:val="20"/>
                <w:color w:val="auto"/>
              </w:rPr>
            </w:pPr>
            <w:r>
              <w:rPr>
                <w:rFonts w:ascii="Arial" w:cs="Arial" w:eastAsia="Arial" w:hAnsi="Arial"/>
                <w:sz w:val="14"/>
                <w:szCs w:val="14"/>
                <w:b w:val="1"/>
                <w:bCs w:val="1"/>
                <w:color w:val="auto"/>
              </w:rPr>
              <w:t>Carrying</w:t>
            </w:r>
          </w:p>
        </w:tc>
        <w:tc>
          <w:tcPr>
            <w:tcW w:w="1280" w:type="dxa"/>
            <w:vAlign w:val="bottom"/>
            <w:tcBorders>
              <w:top w:val="single" w:sz="8" w:color="auto"/>
            </w:tcBorders>
          </w:tcPr>
          <w:p>
            <w:pPr>
              <w:jc w:val="center"/>
              <w:ind w:left="289"/>
              <w:spacing w:after="0" w:line="119" w:lineRule="exact"/>
              <w:rPr>
                <w:sz w:val="20"/>
                <w:szCs w:val="20"/>
                <w:color w:val="auto"/>
              </w:rPr>
            </w:pPr>
            <w:r>
              <w:rPr>
                <w:rFonts w:ascii="Arial" w:cs="Arial" w:eastAsia="Arial" w:hAnsi="Arial"/>
                <w:sz w:val="13"/>
                <w:szCs w:val="13"/>
                <w:b w:val="1"/>
                <w:bCs w:val="1"/>
                <w:color w:val="auto"/>
                <w:w w:val="95"/>
              </w:rPr>
              <w:t>Gross</w:t>
            </w:r>
          </w:p>
        </w:tc>
        <w:tc>
          <w:tcPr>
            <w:tcW w:w="0" w:type="dxa"/>
            <w:vAlign w:val="bottom"/>
          </w:tcPr>
          <w:p>
            <w:pPr>
              <w:spacing w:after="0"/>
              <w:rPr>
                <w:sz w:val="1"/>
                <w:szCs w:val="1"/>
                <w:color w:val="auto"/>
              </w:rPr>
            </w:pPr>
          </w:p>
        </w:tc>
      </w:tr>
      <w:tr>
        <w:trPr>
          <w:trHeight w:val="149"/>
        </w:trPr>
        <w:tc>
          <w:tcPr>
            <w:tcW w:w="1060" w:type="dxa"/>
            <w:vAlign w:val="bottom"/>
            <w:vMerge w:val="continue"/>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1020" w:type="dxa"/>
            <w:vAlign w:val="bottom"/>
            <w:vMerge w:val="continue"/>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unrealized</w:t>
            </w:r>
          </w:p>
        </w:tc>
        <w:tc>
          <w:tcPr>
            <w:tcW w:w="820" w:type="dxa"/>
            <w:vAlign w:val="bottom"/>
            <w:vMerge w:val="continue"/>
          </w:tcPr>
          <w:p>
            <w:pPr>
              <w:spacing w:after="0"/>
              <w:rPr>
                <w:sz w:val="12"/>
                <w:szCs w:val="12"/>
                <w:color w:val="auto"/>
              </w:rPr>
            </w:pPr>
          </w:p>
        </w:tc>
        <w:tc>
          <w:tcPr>
            <w:tcW w:w="1280" w:type="dxa"/>
            <w:vAlign w:val="bottom"/>
          </w:tcPr>
          <w:p>
            <w:pPr>
              <w:jc w:val="center"/>
              <w:ind w:left="289"/>
              <w:spacing w:after="0" w:line="149"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71"/>
        </w:trPr>
        <w:tc>
          <w:tcPr>
            <w:tcW w:w="1060" w:type="dxa"/>
            <w:vAlign w:val="bottom"/>
            <w:tcBorders>
              <w:bottom w:val="single" w:sz="8" w:color="auto"/>
            </w:tcBorders>
          </w:tcPr>
          <w:p>
            <w:pPr>
              <w:jc w:val="center"/>
              <w:ind w:right="49"/>
              <w:spacing w:after="0"/>
              <w:rPr>
                <w:sz w:val="20"/>
                <w:szCs w:val="20"/>
                <w:color w:val="auto"/>
              </w:rPr>
            </w:pPr>
            <w:r>
              <w:rPr>
                <w:rFonts w:ascii="Arial" w:cs="Arial" w:eastAsia="Arial" w:hAnsi="Arial"/>
                <w:sz w:val="14"/>
                <w:szCs w:val="14"/>
                <w:b w:val="1"/>
                <w:bCs w:val="1"/>
                <w:color w:val="auto"/>
                <w:w w:val="90"/>
              </w:rPr>
              <w:t>amount</w:t>
            </w:r>
          </w:p>
        </w:tc>
        <w:tc>
          <w:tcPr>
            <w:tcW w:w="136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77"/>
              </w:rPr>
              <w:t>losses</w:t>
            </w:r>
          </w:p>
        </w:tc>
        <w:tc>
          <w:tcPr>
            <w:tcW w:w="1020" w:type="dxa"/>
            <w:vAlign w:val="bottom"/>
            <w:tcBorders>
              <w:bottom w:val="single" w:sz="8" w:color="auto"/>
            </w:tcBorders>
          </w:tcPr>
          <w:p>
            <w:pPr>
              <w:jc w:val="center"/>
              <w:ind w:right="29"/>
              <w:spacing w:after="0"/>
              <w:rPr>
                <w:sz w:val="20"/>
                <w:szCs w:val="20"/>
                <w:color w:val="auto"/>
              </w:rPr>
            </w:pPr>
            <w:r>
              <w:rPr>
                <w:rFonts w:ascii="Arial" w:cs="Arial" w:eastAsia="Arial" w:hAnsi="Arial"/>
                <w:sz w:val="14"/>
                <w:szCs w:val="14"/>
                <w:b w:val="1"/>
                <w:bCs w:val="1"/>
                <w:color w:val="auto"/>
                <w:w w:val="94"/>
              </w:rPr>
              <w:t>amount</w:t>
            </w:r>
          </w:p>
        </w:tc>
        <w:tc>
          <w:tcPr>
            <w:tcW w:w="136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77"/>
              </w:rPr>
              <w:t>losses</w:t>
            </w:r>
          </w:p>
        </w:tc>
        <w:tc>
          <w:tcPr>
            <w:tcW w:w="82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b w:val="1"/>
                <w:bCs w:val="1"/>
                <w:color w:val="auto"/>
                <w:w w:val="90"/>
              </w:rPr>
              <w:t>amount</w:t>
            </w:r>
          </w:p>
        </w:tc>
        <w:tc>
          <w:tcPr>
            <w:tcW w:w="1280" w:type="dxa"/>
            <w:vAlign w:val="bottom"/>
            <w:tcBorders>
              <w:bottom w:val="single" w:sz="8" w:color="auto"/>
            </w:tcBorders>
          </w:tcPr>
          <w:p>
            <w:pPr>
              <w:jc w:val="center"/>
              <w:ind w:left="289"/>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80"/>
        </w:trPr>
        <w:tc>
          <w:tcPr>
            <w:tcW w:w="1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380" w:type="dxa"/>
            <w:vAlign w:val="bottom"/>
            <w:gridSpan w:val="3"/>
          </w:tcPr>
          <w:p>
            <w:pPr>
              <w:ind w:left="660"/>
              <w:spacing w:after="0"/>
              <w:rPr>
                <w:sz w:val="20"/>
                <w:szCs w:val="20"/>
                <w:color w:val="auto"/>
              </w:rPr>
            </w:pPr>
            <w:r>
              <w:rPr>
                <w:rFonts w:ascii="Arial" w:cs="Arial" w:eastAsia="Arial" w:hAnsi="Arial"/>
                <w:sz w:val="14"/>
                <w:szCs w:val="14"/>
                <w:b w:val="1"/>
                <w:bCs w:val="1"/>
                <w:color w:val="auto"/>
              </w:rPr>
              <w:t>(in millions)</w:t>
            </w:r>
          </w:p>
        </w:tc>
        <w:tc>
          <w:tcPr>
            <w:tcW w:w="8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40" w:top="118" w:right="199" w:bottom="0" w:gutter="0" w:footer="0" w:header="0"/>
        </w:sectPr>
      </w:pPr>
    </w:p>
    <w:bookmarkStart w:id="88" w:name="page89"/>
    <w:bookmarkEnd w:id="8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102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ind w:right="185"/>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107.4</w:t>
            </w:r>
          </w:p>
        </w:tc>
        <w:tc>
          <w:tcPr>
            <w:tcW w:w="28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32.4</w:t>
            </w:r>
          </w:p>
        </w:tc>
        <w:tc>
          <w:tcPr>
            <w:tcW w:w="440" w:type="dxa"/>
            <w:vAlign w:val="bottom"/>
            <w:gridSpan w:val="2"/>
            <w:shd w:val="clear" w:color="auto" w:fill="CCEEFF"/>
          </w:tcPr>
          <w:p>
            <w:pPr>
              <w:jc w:val="right"/>
              <w:ind w:right="145"/>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107.4</w:t>
            </w:r>
          </w:p>
        </w:tc>
        <w:tc>
          <w:tcPr>
            <w:tcW w:w="300" w:type="dxa"/>
            <w:vAlign w:val="bottom"/>
            <w:gridSpan w:val="2"/>
            <w:shd w:val="clear" w:color="auto" w:fill="CCEEFF"/>
          </w:tcPr>
          <w:p>
            <w:pPr>
              <w:jc w:val="right"/>
              <w:ind w:right="125"/>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32.4</w:t>
            </w:r>
          </w:p>
        </w:tc>
        <w:tc>
          <w:tcPr>
            <w:tcW w:w="80" w:type="dxa"/>
            <w:vAlign w:val="bottom"/>
            <w:shd w:val="clear" w:color="auto" w:fill="CCEEFF"/>
          </w:tcPr>
          <w:p>
            <w:pPr>
              <w:spacing w:after="0"/>
              <w:rPr>
                <w:sz w:val="18"/>
                <w:szCs w:val="18"/>
                <w:color w:val="auto"/>
              </w:rPr>
            </w:pP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1.5</w:t>
            </w:r>
          </w:p>
        </w:tc>
        <w:tc>
          <w:tcPr>
            <w:tcW w:w="28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1.0</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1.5</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80" w:type="dxa"/>
            <w:vAlign w:val="bottom"/>
          </w:tcPr>
          <w:p>
            <w:pPr>
              <w:spacing w:after="0"/>
              <w:rPr>
                <w:sz w:val="18"/>
                <w:szCs w:val="18"/>
                <w:color w:val="auto"/>
              </w:rPr>
            </w:pPr>
          </w:p>
        </w:tc>
      </w:tr>
      <w:tr>
        <w:trPr>
          <w:trHeight w:val="216"/>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7.6</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5.2</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0.5</w:t>
            </w: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0.2</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8.1</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5.4</w:t>
            </w:r>
          </w:p>
        </w:tc>
        <w:tc>
          <w:tcPr>
            <w:tcW w:w="80" w:type="dxa"/>
            <w:vAlign w:val="bottom"/>
            <w:shd w:val="clear" w:color="auto" w:fill="CCEEFF"/>
          </w:tcPr>
          <w:p>
            <w:pPr>
              <w:spacing w:after="0"/>
              <w:rPr>
                <w:sz w:val="18"/>
                <w:szCs w:val="18"/>
                <w:color w:val="auto"/>
              </w:rPr>
            </w:pP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0.2</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0.2</w:t>
            </w:r>
          </w:p>
        </w:tc>
        <w:tc>
          <w:tcPr>
            <w:tcW w:w="80" w:type="dxa"/>
            <w:vAlign w:val="bottom"/>
          </w:tcPr>
          <w:p>
            <w:pPr>
              <w:spacing w:after="0"/>
              <w:rPr>
                <w:sz w:val="18"/>
                <w:szCs w:val="18"/>
                <w:color w:val="auto"/>
              </w:rPr>
            </w:pPr>
          </w:p>
        </w:tc>
      </w:tr>
      <w:tr>
        <w:trPr>
          <w:trHeight w:val="216"/>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months</w:t>
            </w: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46.3</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31.4</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189.1</w:t>
            </w: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68.8</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235.4</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100.2</w:t>
            </w:r>
          </w:p>
        </w:tc>
        <w:tc>
          <w:tcPr>
            <w:tcW w:w="80" w:type="dxa"/>
            <w:vAlign w:val="bottom"/>
            <w:shd w:val="clear" w:color="auto" w:fill="CCEEFF"/>
          </w:tcPr>
          <w:p>
            <w:pPr>
              <w:spacing w:after="0"/>
              <w:rPr>
                <w:sz w:val="18"/>
                <w:szCs w:val="18"/>
                <w:color w:val="auto"/>
              </w:rPr>
            </w:pPr>
          </w:p>
        </w:tc>
      </w:tr>
      <w:tr>
        <w:trPr>
          <w:trHeight w:val="210"/>
        </w:trPr>
        <w:tc>
          <w:tcPr>
            <w:tcW w:w="3760" w:type="dxa"/>
            <w:vAlign w:val="bottom"/>
          </w:tcPr>
          <w:p>
            <w:pPr>
              <w:ind w:left="200"/>
              <w:spacing w:after="0"/>
              <w:rPr>
                <w:sz w:val="20"/>
                <w:szCs w:val="20"/>
                <w:color w:val="auto"/>
              </w:rPr>
            </w:pPr>
            <w:r>
              <w:rPr>
                <w:rFonts w:ascii="Arial" w:cs="Arial" w:eastAsia="Arial" w:hAnsi="Arial"/>
                <w:sz w:val="18"/>
                <w:szCs w:val="18"/>
                <w:color w:val="auto"/>
              </w:rPr>
              <w:t>Total fixed maturities, available-for-sale</w:t>
            </w:r>
          </w:p>
        </w:tc>
        <w:tc>
          <w:tcPr>
            <w:tcW w:w="660" w:type="dxa"/>
            <w:vAlign w:val="bottom"/>
          </w:tcPr>
          <w:p>
            <w:pPr>
              <w:spacing w:after="0"/>
              <w:rPr>
                <w:sz w:val="18"/>
                <w:szCs w:val="18"/>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53.9</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right"/>
              <w:ind w:right="185"/>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298.5</w:t>
            </w:r>
          </w:p>
        </w:tc>
        <w:tc>
          <w:tcPr>
            <w:tcW w:w="3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102.6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bottom w:val="single" w:sz="8" w:color="auto"/>
            </w:tcBorders>
          </w:tcPr>
          <w:p>
            <w:pPr>
              <w:jc w:val="right"/>
              <w:ind w:right="145"/>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352.4</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80" w:type="dxa"/>
            <w:vAlign w:val="bottom"/>
            <w:tcBorders>
              <w:top w:val="single" w:sz="8" w:color="auto"/>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139.2</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0"/>
        </w:trPr>
        <w:tc>
          <w:tcPr>
            <w:tcW w:w="37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Mortgage Loans</w:t>
      </w:r>
    </w:p>
    <w:p>
      <w:pPr>
        <w:spacing w:after="0" w:line="225"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Mortgage loans consist of commercial mortgage loans on real estate and residential mortgage loans. The carrying amount of our commercial mortgage loan portfolio was $11,085.7 million and $10,657.2 million as of September 30, 2015 and December 31, 2014, respectively. The carrying amount of our residential mortgage loan portfolio was $566.0 million and $507.2 million as of September 30, 2015 and December 31, 2014, respectively.</w:t>
      </w:r>
    </w:p>
    <w:p>
      <w:pPr>
        <w:spacing w:after="0" w:line="147" w:lineRule="exact"/>
        <w:rPr>
          <w:sz w:val="20"/>
          <w:szCs w:val="20"/>
          <w:color w:val="auto"/>
        </w:rPr>
      </w:pPr>
    </w:p>
    <w:p>
      <w:pPr>
        <w:ind w:right="400" w:firstLine="648"/>
        <w:spacing w:after="0" w:line="277" w:lineRule="auto"/>
        <w:rPr>
          <w:sz w:val="20"/>
          <w:szCs w:val="20"/>
          <w:color w:val="auto"/>
        </w:rPr>
      </w:pPr>
      <w:r>
        <w:rPr>
          <w:rFonts w:ascii="Arial" w:cs="Arial" w:eastAsia="Arial" w:hAnsi="Arial"/>
          <w:sz w:val="18"/>
          <w:szCs w:val="18"/>
          <w:b w:val="1"/>
          <w:bCs w:val="1"/>
          <w:i w:val="1"/>
          <w:iCs w:val="1"/>
          <w:color w:val="auto"/>
        </w:rPr>
        <w:t xml:space="preserve">Commercial Mortgage Loans. </w:t>
      </w:r>
      <w:r>
        <w:rPr>
          <w:rFonts w:ascii="Arial" w:cs="Arial" w:eastAsia="Arial" w:hAnsi="Arial"/>
          <w:sz w:val="18"/>
          <w:szCs w:val="18"/>
          <w:color w:val="auto"/>
        </w:rPr>
        <w:t>We generally report commercial mortgage loans on real estate at cost adjusted for amortization of premiums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accrual of discounts, computed using the interest method and net of valuation allowances.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Commercial mortgage loans play an important role in our investment strategy by:</w:t>
      </w:r>
    </w:p>
    <w:p>
      <w:pPr>
        <w:spacing w:after="0" w:line="225" w:lineRule="exact"/>
        <w:rPr>
          <w:sz w:val="20"/>
          <w:szCs w:val="20"/>
          <w:color w:val="auto"/>
        </w:rPr>
      </w:pPr>
    </w:p>
    <w:p>
      <w:pPr>
        <w:ind w:left="940" w:hanging="284"/>
        <w:spacing w:after="0"/>
        <w:tabs>
          <w:tab w:leader="none" w:pos="9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providing strong risk-adjusted relative value in comparison to other investment alternatives;</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enhancing total returns and</w:t>
      </w:r>
    </w:p>
    <w:p>
      <w:pPr>
        <w:spacing w:after="0" w:line="225" w:lineRule="exact"/>
        <w:rPr>
          <w:rFonts w:ascii="Arial" w:cs="Arial" w:eastAsia="Arial" w:hAnsi="Arial"/>
          <w:sz w:val="18"/>
          <w:szCs w:val="18"/>
          <w:color w:val="auto"/>
        </w:rPr>
      </w:pPr>
    </w:p>
    <w:p>
      <w:pPr>
        <w:ind w:left="940" w:hanging="284"/>
        <w:spacing w:after="0"/>
        <w:tabs>
          <w:tab w:leader="none" w:pos="9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providing strategic portfolio diversification.</w:t>
      </w:r>
    </w:p>
    <w:p>
      <w:pPr>
        <w:spacing w:after="0" w:line="225" w:lineRule="exact"/>
        <w:rPr>
          <w:sz w:val="20"/>
          <w:szCs w:val="20"/>
          <w:color w:val="auto"/>
        </w:rPr>
      </w:pPr>
    </w:p>
    <w:p>
      <w:pPr>
        <w:ind w:right="360" w:firstLine="648"/>
        <w:spacing w:after="0" w:line="308" w:lineRule="auto"/>
        <w:rPr>
          <w:sz w:val="20"/>
          <w:szCs w:val="20"/>
          <w:color w:val="auto"/>
        </w:rPr>
      </w:pPr>
      <w:r>
        <w:rPr>
          <w:rFonts w:ascii="Arial" w:cs="Arial" w:eastAsia="Arial" w:hAnsi="Arial"/>
          <w:sz w:val="17"/>
          <w:szCs w:val="17"/>
          <w:color w:val="auto"/>
        </w:rPr>
        <w:t>As a result, we have focused on constructing a high quality portfolio of mortgages. Our portfolio is generally comprised of mortgages originated with conservative loan-to-value ratios, high debt service coverages and general purpose property types with a strong credit tenancy.</w:t>
      </w:r>
    </w:p>
    <w:p>
      <w:pPr>
        <w:spacing w:after="0" w:line="147" w:lineRule="exact"/>
        <w:rPr>
          <w:sz w:val="20"/>
          <w:szCs w:val="20"/>
          <w:color w:val="auto"/>
        </w:rPr>
      </w:pPr>
    </w:p>
    <w:p>
      <w:pPr>
        <w:ind w:right="580" w:firstLine="648"/>
        <w:spacing w:after="0" w:line="342" w:lineRule="auto"/>
        <w:rPr>
          <w:sz w:val="20"/>
          <w:szCs w:val="20"/>
          <w:color w:val="auto"/>
        </w:rPr>
      </w:pPr>
      <w:r>
        <w:rPr>
          <w:rFonts w:ascii="Arial" w:cs="Arial" w:eastAsia="Arial" w:hAnsi="Arial"/>
          <w:sz w:val="16"/>
          <w:szCs w:val="16"/>
          <w:color w:val="auto"/>
        </w:rPr>
        <w:t>Our commercial mortgage loan portfolio consists primarily of non-recourse, fixed rate mortgages on fully or near fully leased properties. The mortgage portfolio is comprised primarily of well anchored retail properties, office properties, general-purpose industrial properties and apartments.</w:t>
      </w:r>
    </w:p>
    <w:p>
      <w:pPr>
        <w:spacing w:after="0" w:line="124" w:lineRule="exact"/>
        <w:rPr>
          <w:sz w:val="20"/>
          <w:szCs w:val="20"/>
          <w:color w:val="auto"/>
        </w:rPr>
      </w:pPr>
    </w:p>
    <w:p>
      <w:pPr>
        <w:ind w:right="40" w:firstLine="648"/>
        <w:spacing w:after="0" w:line="291" w:lineRule="auto"/>
        <w:rPr>
          <w:sz w:val="20"/>
          <w:szCs w:val="20"/>
          <w:color w:val="auto"/>
        </w:rPr>
      </w:pPr>
      <w:r>
        <w:rPr>
          <w:rFonts w:ascii="Arial" w:cs="Arial" w:eastAsia="Arial" w:hAnsi="Arial"/>
          <w:sz w:val="16"/>
          <w:szCs w:val="16"/>
          <w:color w:val="auto"/>
        </w:rPr>
        <w:t>Our commercial mortgage loan portfolio is diversified by geography and specific collateral property type. Commercial mortgage lending in the state of California accounted for 18% and 19% of our commercial mortgage loan portfolio before valuation allowance as of September 30, 2015 and December 31, 2014, respectively. We are, therefore, exposed to potential losses resulting from the risk of catastrophes, such as earthquakes, that may affect the region. Like other lenders, we generally do not require earthquake insurance for properties on which we make commercial mortgage loans. With respect to California properties, however, we obtain an engineering report specific to each property. The report assesses the building’s design specifications, whether it has been upgraded to meet seismic building codes and the maximum loss that is likely to result from a variety of different seismic events. We also obtain a report that assesses, by building and geographic fault lines, the amount of loss our commercial mortgage loan portfolio might suffer under a variety of seismic events.</w:t>
      </w:r>
    </w:p>
    <w:p>
      <w:pPr>
        <w:spacing w:after="0" w:line="167" w:lineRule="exact"/>
        <w:rPr>
          <w:sz w:val="20"/>
          <w:szCs w:val="20"/>
          <w:color w:val="auto"/>
        </w:rPr>
      </w:pPr>
    </w:p>
    <w:p>
      <w:pPr>
        <w:jc w:val="both"/>
        <w:ind w:right="160" w:firstLine="648"/>
        <w:spacing w:after="0" w:line="259" w:lineRule="auto"/>
        <w:rPr>
          <w:sz w:val="20"/>
          <w:szCs w:val="20"/>
          <w:color w:val="auto"/>
        </w:rPr>
      </w:pPr>
      <w:r>
        <w:rPr>
          <w:rFonts w:ascii="Arial" w:cs="Arial" w:eastAsia="Arial" w:hAnsi="Arial"/>
          <w:sz w:val="18"/>
          <w:szCs w:val="18"/>
          <w:color w:val="auto"/>
        </w:rPr>
        <w:t>The typical borrower in our commercial loan portfolio is a single purpose entity or single asset entity. As of September 30, 2015 and December 31, 2014, the total number of commercial mortgage loans outstanding was 892 and 911, of which 61% and 63% were for loans with principal balances less than $10.0 million, respectively. The average loan size of our commercial mortgage portfolio was $12.4 million and $11.7 million as of September 30, 2015 and December 31, 2014, respectively.</w:t>
      </w:r>
    </w:p>
    <w:p>
      <w:pPr>
        <w:spacing w:after="0" w:line="187" w:lineRule="exact"/>
        <w:rPr>
          <w:sz w:val="20"/>
          <w:szCs w:val="20"/>
          <w:color w:val="auto"/>
        </w:rPr>
      </w:pPr>
    </w:p>
    <w:p>
      <w:pPr>
        <w:ind w:right="80" w:firstLine="648"/>
        <w:spacing w:after="0" w:line="342" w:lineRule="auto"/>
        <w:rPr>
          <w:sz w:val="20"/>
          <w:szCs w:val="20"/>
          <w:color w:val="auto"/>
        </w:rPr>
      </w:pPr>
      <w:r>
        <w:rPr>
          <w:rFonts w:ascii="Arial" w:cs="Arial" w:eastAsia="Arial" w:hAnsi="Arial"/>
          <w:sz w:val="16"/>
          <w:szCs w:val="16"/>
          <w:b w:val="1"/>
          <w:bCs w:val="1"/>
          <w:i w:val="1"/>
          <w:iCs w:val="1"/>
          <w:color w:val="auto"/>
        </w:rPr>
        <w:t xml:space="preserve">Commercial Mortgage Loan Credit Monitoring. </w:t>
      </w:r>
      <w:r>
        <w:rPr>
          <w:rFonts w:ascii="Arial" w:cs="Arial" w:eastAsia="Arial" w:hAnsi="Arial"/>
          <w:sz w:val="16"/>
          <w:szCs w:val="16"/>
          <w:color w:val="auto"/>
        </w:rPr>
        <w:t>For further details on monitoring and management of our commercial mortgage loan portfolio, see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Item 1. “Financial Statements, Notes to Unaudited Consolidated Financial Statements, Note 3, Investments — Mortgage Loan Credit Monitoring.”</w:t>
      </w:r>
    </w:p>
    <w:p>
      <w:pPr>
        <w:spacing w:after="0" w:line="12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categorize loans that are 60 days or more delinquent, loans in process of foreclosure and loans with borrowers or credit tenants in bankruptcy that are delinquent as “problem” loans. Valuation allowances or charge-offs have been recognized on most problem loans. We categorize loans that are delinquent less than 60 days where the default is expected to be cured and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loans with borrowers or credit tenants in bankruptcy that are current as “potential problem” loans. The decision whether to classify a loan delinquent less than 60 days as a potential problem involves significant subjective judgments by management as to the likely future economic conditions and developments with respect to the borrower. We categorize loans for which the original note rate has been reduced below market and loans for which the principal has been reduced as “restructured” loans. We also consider loans that are refinanced more than one year beyond the original maturity or call date at below market rates as restructured.</w:t>
      </w:r>
    </w:p>
    <w:p>
      <w:pPr>
        <w:spacing w:after="0" w:line="188"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The following table presents the carrying amounts of problem, potential problem and restructured commercial mortgages relative to the carrying amount of all commercial mortgages for the periods indicated.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8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91"/>
              </w:rPr>
              <w:t>September 30, 2015</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2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3"/>
              </w:rPr>
              <w:t>December 31, 2014</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802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3120" w:type="dxa"/>
            <w:vAlign w:val="bottom"/>
            <w:tcBorders>
              <w:top w:val="single" w:sz="8" w:color="auto"/>
            </w:tcBorders>
            <w:gridSpan w:val="5"/>
          </w:tcPr>
          <w:p>
            <w:pPr>
              <w:jc w:val="right"/>
              <w:ind w:right="1113"/>
              <w:spacing w:after="0"/>
              <w:rPr>
                <w:sz w:val="20"/>
                <w:szCs w:val="20"/>
                <w:color w:val="auto"/>
              </w:rPr>
            </w:pPr>
            <w:r>
              <w:rPr>
                <w:rFonts w:ascii="Arial" w:cs="Arial" w:eastAsia="Arial" w:hAnsi="Arial"/>
                <w:sz w:val="14"/>
                <w:szCs w:val="14"/>
                <w:b w:val="1"/>
                <w:bCs w:val="1"/>
                <w:color w:val="auto"/>
              </w:rPr>
              <w:t>($ in millions)</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8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020" w:type="dxa"/>
            <w:vAlign w:val="bottom"/>
            <w:shd w:val="clear" w:color="auto" w:fill="CCEEFF"/>
          </w:tcPr>
          <w:p>
            <w:pPr>
              <w:spacing w:after="0"/>
              <w:rPr>
                <w:sz w:val="20"/>
                <w:szCs w:val="20"/>
                <w:color w:val="auto"/>
              </w:rPr>
            </w:pPr>
            <w:r>
              <w:rPr>
                <w:rFonts w:ascii="Arial" w:cs="Arial" w:eastAsia="Arial" w:hAnsi="Arial"/>
                <w:sz w:val="18"/>
                <w:szCs w:val="18"/>
                <w:color w:val="auto"/>
              </w:rPr>
              <w:t>Total commercial mortgages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11,085.7</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10,657.2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Problem commercial mortgages (1)</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CCEEFF"/>
            </w:tcBorders>
            <w:vMerge w:val="restart"/>
          </w:tcPr>
          <w:p>
            <w:pPr>
              <w:spacing w:after="0" w:line="20" w:lineRule="exact"/>
              <w:rPr>
                <w:sz w:val="1"/>
                <w:szCs w:val="1"/>
                <w:color w:val="auto"/>
              </w:rPr>
            </w:pPr>
          </w:p>
        </w:tc>
        <w:tc>
          <w:tcPr>
            <w:tcW w:w="4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CCEEFF"/>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8020" w:type="dxa"/>
            <w:vAlign w:val="bottom"/>
            <w:vMerge w:val="continue"/>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36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28.2</w:t>
            </w:r>
          </w:p>
        </w:tc>
        <w:tc>
          <w:tcPr>
            <w:tcW w:w="240" w:type="dxa"/>
            <w:vAlign w:val="bottom"/>
            <w:vMerge w:val="continue"/>
          </w:tcPr>
          <w:p>
            <w:pPr>
              <w:spacing w:after="0"/>
              <w:rPr>
                <w:sz w:val="17"/>
                <w:szCs w:val="17"/>
                <w:color w:val="auto"/>
              </w:rPr>
            </w:pPr>
          </w:p>
        </w:tc>
        <w:tc>
          <w:tcPr>
            <w:tcW w:w="40" w:type="dxa"/>
            <w:vAlign w:val="bottom"/>
            <w:vMerge w:val="continue"/>
          </w:tcPr>
          <w:p>
            <w:pPr>
              <w:spacing w:after="0"/>
              <w:rPr>
                <w:sz w:val="17"/>
                <w:szCs w:val="17"/>
                <w:color w:val="auto"/>
              </w:rPr>
            </w:pPr>
          </w:p>
        </w:tc>
        <w:tc>
          <w:tcPr>
            <w:tcW w:w="12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1360" w:type="dxa"/>
            <w:vAlign w:val="bottom"/>
          </w:tcPr>
          <w:p>
            <w:pPr>
              <w:jc w:val="right"/>
              <w:spacing w:after="0" w:line="196" w:lineRule="exact"/>
              <w:rPr>
                <w:sz w:val="20"/>
                <w:szCs w:val="20"/>
                <w:color w:val="auto"/>
              </w:rPr>
            </w:pPr>
            <w:r>
              <w:rPr>
                <w:rFonts w:ascii="Arial" w:cs="Arial" w:eastAsia="Arial" w:hAnsi="Arial"/>
                <w:sz w:val="18"/>
                <w:szCs w:val="18"/>
                <w:color w:val="auto"/>
              </w:rPr>
              <w:t>4.5</w:t>
            </w:r>
          </w:p>
        </w:tc>
        <w:tc>
          <w:tcPr>
            <w:tcW w:w="1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20" w:type="dxa"/>
            <w:vAlign w:val="bottom"/>
            <w:shd w:val="clear" w:color="auto" w:fill="CCEEFF"/>
          </w:tcPr>
          <w:p>
            <w:pPr>
              <w:spacing w:after="0"/>
              <w:rPr>
                <w:sz w:val="20"/>
                <w:szCs w:val="20"/>
                <w:color w:val="auto"/>
              </w:rPr>
            </w:pPr>
            <w:r>
              <w:rPr>
                <w:rFonts w:ascii="Arial" w:cs="Arial" w:eastAsia="Arial" w:hAnsi="Arial"/>
                <w:sz w:val="18"/>
                <w:szCs w:val="18"/>
                <w:color w:val="auto"/>
              </w:rPr>
              <w:t>Potential problem commercial mortgages</w:t>
            </w:r>
          </w:p>
        </w:tc>
        <w:tc>
          <w:tcPr>
            <w:tcW w:w="10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16.2</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20" w:type="dxa"/>
            <w:vAlign w:val="bottom"/>
          </w:tcPr>
          <w:p>
            <w:pPr>
              <w:spacing w:after="0"/>
              <w:rPr>
                <w:sz w:val="20"/>
                <w:szCs w:val="20"/>
                <w:color w:val="auto"/>
              </w:rPr>
            </w:pPr>
            <w:r>
              <w:rPr>
                <w:rFonts w:ascii="Arial" w:cs="Arial" w:eastAsia="Arial" w:hAnsi="Arial"/>
                <w:sz w:val="18"/>
                <w:szCs w:val="18"/>
                <w:color w:val="auto"/>
              </w:rPr>
              <w:t>Restructured problem commercial mortgages</w:t>
            </w:r>
          </w:p>
        </w:tc>
        <w:tc>
          <w:tcPr>
            <w:tcW w:w="100" w:type="dxa"/>
            <w:vAlign w:val="bottom"/>
          </w:tcPr>
          <w:p>
            <w:pPr>
              <w:spacing w:after="0"/>
              <w:rPr>
                <w:sz w:val="18"/>
                <w:szCs w:val="18"/>
                <w:color w:val="auto"/>
              </w:rPr>
            </w:pPr>
          </w:p>
        </w:tc>
        <w:tc>
          <w:tcPr>
            <w:tcW w:w="16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2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problem, potential problem and restructured commercial mortgages</w:t>
            </w: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44.4</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35.5</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20" w:type="dxa"/>
            <w:vAlign w:val="bottom"/>
            <w:vMerge w:val="restart"/>
          </w:tcPr>
          <w:p>
            <w:pPr>
              <w:ind w:left="180"/>
              <w:spacing w:after="0" w:line="195" w:lineRule="exact"/>
              <w:rPr>
                <w:sz w:val="20"/>
                <w:szCs w:val="20"/>
                <w:color w:val="auto"/>
              </w:rPr>
            </w:pPr>
            <w:r>
              <w:rPr>
                <w:rFonts w:ascii="Arial" w:cs="Arial" w:eastAsia="Arial" w:hAnsi="Arial"/>
                <w:sz w:val="18"/>
                <w:szCs w:val="18"/>
                <w:color w:val="auto"/>
              </w:rPr>
              <w:t>Total problem, potential problem and restructured commercial mortgages as a percent of total</w:t>
            </w: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20" w:type="dxa"/>
            <w:vAlign w:val="bottom"/>
          </w:tcPr>
          <w:p>
            <w:pPr>
              <w:spacing w:after="0"/>
              <w:rPr>
                <w:sz w:val="13"/>
                <w:szCs w:val="13"/>
                <w:color w:val="auto"/>
              </w:rPr>
            </w:pPr>
          </w:p>
        </w:tc>
        <w:tc>
          <w:tcPr>
            <w:tcW w:w="802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600" w:type="dxa"/>
            <w:vAlign w:val="bottom"/>
            <w:gridSpan w:val="2"/>
            <w:vMerge w:val="restart"/>
          </w:tcPr>
          <w:p>
            <w:pPr>
              <w:jc w:val="right"/>
              <w:ind w:right="60"/>
              <w:spacing w:after="0"/>
              <w:rPr>
                <w:sz w:val="20"/>
                <w:szCs w:val="20"/>
                <w:color w:val="auto"/>
              </w:rPr>
            </w:pPr>
            <w:r>
              <w:rPr>
                <w:rFonts w:ascii="Arial" w:cs="Arial" w:eastAsia="Arial" w:hAnsi="Arial"/>
                <w:sz w:val="18"/>
                <w:szCs w:val="18"/>
                <w:b w:val="1"/>
                <w:bCs w:val="1"/>
                <w:color w:val="auto"/>
              </w:rPr>
              <w:t>0.40%</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020" w:type="dxa"/>
            <w:vAlign w:val="bottom"/>
          </w:tcPr>
          <w:p>
            <w:pPr>
              <w:ind w:left="360"/>
              <w:spacing w:after="0"/>
              <w:rPr>
                <w:sz w:val="20"/>
                <w:szCs w:val="20"/>
                <w:color w:val="auto"/>
              </w:rPr>
            </w:pPr>
            <w:r>
              <w:rPr>
                <w:rFonts w:ascii="Arial" w:cs="Arial" w:eastAsia="Arial" w:hAnsi="Arial"/>
                <w:sz w:val="18"/>
                <w:szCs w:val="18"/>
                <w:color w:val="auto"/>
              </w:rPr>
              <w:t>commercial mortgages</w:t>
            </w:r>
          </w:p>
        </w:tc>
        <w:tc>
          <w:tcPr>
            <w:tcW w:w="100" w:type="dxa"/>
            <w:vAlign w:val="bottom"/>
          </w:tcPr>
          <w:p>
            <w:pPr>
              <w:spacing w:after="0"/>
              <w:rPr>
                <w:sz w:val="20"/>
                <w:szCs w:val="20"/>
                <w:color w:val="auto"/>
              </w:rPr>
            </w:pPr>
          </w:p>
        </w:tc>
        <w:tc>
          <w:tcPr>
            <w:tcW w:w="16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0.33%</w:t>
            </w:r>
          </w:p>
        </w:tc>
        <w:tc>
          <w:tcPr>
            <w:tcW w:w="0" w:type="dxa"/>
            <w:vAlign w:val="bottom"/>
          </w:tcPr>
          <w:p>
            <w:pPr>
              <w:spacing w:after="0"/>
              <w:rPr>
                <w:sz w:val="1"/>
                <w:szCs w:val="1"/>
                <w:color w:val="auto"/>
              </w:rPr>
            </w:pPr>
          </w:p>
        </w:tc>
      </w:tr>
    </w:tbl>
    <w:p>
      <w:pPr>
        <w:sectPr>
          <w:pgSz w:w="11900" w:h="16838" w:orient="portrait"/>
          <w:cols w:equalWidth="0" w:num="1">
            <w:col w:w="11420"/>
          </w:cols>
          <w:pgMar w:left="240" w:top="355" w:right="239" w:bottom="0" w:gutter="0" w:footer="0" w:header="0"/>
        </w:sectPr>
      </w:pPr>
    </w:p>
    <w:bookmarkStart w:id="89" w:name="page90"/>
    <w:bookmarkEnd w:id="89"/>
    <w:p>
      <w:pPr>
        <w:spacing w:after="0" w:line="13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1826895" cy="825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1826895" cy="8255"/>
                    </a:xfrm>
                    <a:prstGeom prst="rect">
                      <a:avLst/>
                    </a:prstGeom>
                    <a:noFill/>
                  </pic:spPr>
                </pic:pic>
              </a:graphicData>
            </a:graphic>
          </wp:anchor>
        </w:drawing>
      </w:r>
    </w:p>
    <w:p>
      <w:pPr>
        <w:ind w:left="660" w:hanging="652"/>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Includes $0.0 million of commercial mortgage loans in foreclosure as of both September 30, 2015 and December 31, 2014.</w:t>
      </w:r>
    </w:p>
    <w:p>
      <w:pPr>
        <w:spacing w:after="0" w:line="225" w:lineRule="exact"/>
        <w:rPr>
          <w:sz w:val="20"/>
          <w:szCs w:val="20"/>
          <w:color w:val="auto"/>
        </w:rPr>
      </w:pPr>
    </w:p>
    <w:p>
      <w:pPr>
        <w:ind w:right="260" w:firstLine="648"/>
        <w:spacing w:after="0" w:line="302" w:lineRule="auto"/>
        <w:rPr>
          <w:sz w:val="20"/>
          <w:szCs w:val="20"/>
          <w:color w:val="auto"/>
        </w:rPr>
      </w:pPr>
      <w:r>
        <w:rPr>
          <w:rFonts w:ascii="Arial" w:cs="Arial" w:eastAsia="Arial" w:hAnsi="Arial"/>
          <w:sz w:val="16"/>
          <w:szCs w:val="16"/>
          <w:b w:val="1"/>
          <w:bCs w:val="1"/>
          <w:i w:val="1"/>
          <w:iCs w:val="1"/>
          <w:color w:val="auto"/>
        </w:rPr>
        <w:t xml:space="preserve">Commercial Mortgage Loan Valuation Allowance. </w:t>
      </w:r>
      <w:r>
        <w:rPr>
          <w:rFonts w:ascii="Arial" w:cs="Arial" w:eastAsia="Arial" w:hAnsi="Arial"/>
          <w:sz w:val="16"/>
          <w:szCs w:val="16"/>
          <w:color w:val="auto"/>
        </w:rPr>
        <w:t>The valuation allowance for commercial mortgage loans includes loan specific reserves for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loans that are deemed to be impaired as well as reserves for pools of loans with similar risk characteristics where a property risk or market specific risk has not been identified but for which we anticipate a loss may occur. For further details on the commercial mortgage loan valuation allowance, see Item 1. “Financial Statements, Notes to Unaudited Consolidated Financial Statements, Note 3, Investments — Mortgage Loan Valuation Allowance.”</w:t>
      </w:r>
    </w:p>
    <w:p>
      <w:pPr>
        <w:spacing w:after="0" w:line="15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represents our commercial mortgage loan valuation allowance for the periods indicated.</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2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3"/>
              </w:rPr>
              <w:t>For the nine months ended</w:t>
            </w: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4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w w:val="97"/>
              </w:rPr>
              <w:t>For the year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2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September 30, 2015</w:t>
            </w: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4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w w:val="96"/>
              </w:rPr>
              <w:t>December 31, 2014</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8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2540" w:type="dxa"/>
            <w:vAlign w:val="bottom"/>
            <w:tcBorders>
              <w:top w:val="single" w:sz="8" w:color="auto"/>
            </w:tcBorders>
            <w:gridSpan w:val="4"/>
          </w:tcPr>
          <w:p>
            <w:pPr>
              <w:jc w:val="right"/>
              <w:ind w:right="5"/>
              <w:spacing w:after="0"/>
              <w:rPr>
                <w:sz w:val="20"/>
                <w:szCs w:val="20"/>
                <w:color w:val="auto"/>
              </w:rPr>
            </w:pPr>
            <w:r>
              <w:rPr>
                <w:rFonts w:ascii="Arial" w:cs="Arial" w:eastAsia="Arial" w:hAnsi="Arial"/>
                <w:sz w:val="14"/>
                <w:szCs w:val="14"/>
                <w:b w:val="1"/>
                <w:bCs w:val="1"/>
                <w:color w:val="auto"/>
              </w:rPr>
              <w:t>($ in millions)</w:t>
            </w:r>
          </w:p>
        </w:tc>
        <w:tc>
          <w:tcPr>
            <w:tcW w:w="168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68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Balance, beginning of period</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2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26.9</w:t>
            </w:r>
          </w:p>
        </w:tc>
        <w:tc>
          <w:tcPr>
            <w:tcW w:w="420" w:type="dxa"/>
            <w:vAlign w:val="bottom"/>
            <w:gridSpan w:val="2"/>
            <w:shd w:val="clear" w:color="auto" w:fill="CCEEFF"/>
          </w:tcPr>
          <w:p>
            <w:pPr>
              <w:jc w:val="right"/>
              <w:ind w:right="205"/>
              <w:spacing w:after="0"/>
              <w:rPr>
                <w:sz w:val="20"/>
                <w:szCs w:val="20"/>
                <w:color w:val="auto"/>
              </w:rPr>
            </w:pPr>
            <w:r>
              <w:rPr>
                <w:rFonts w:ascii="Arial" w:cs="Arial" w:eastAsia="Arial" w:hAnsi="Arial"/>
                <w:sz w:val="18"/>
                <w:szCs w:val="18"/>
                <w:color w:val="auto"/>
              </w:rPr>
              <w:t>$</w:t>
            </w:r>
          </w:p>
        </w:tc>
        <w:tc>
          <w:tcPr>
            <w:tcW w:w="1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Provision</w:t>
            </w:r>
          </w:p>
        </w:tc>
        <w:tc>
          <w:tcPr>
            <w:tcW w:w="140" w:type="dxa"/>
            <w:vAlign w:val="bottom"/>
          </w:tcPr>
          <w:p>
            <w:pPr>
              <w:spacing w:after="0"/>
              <w:rPr>
                <w:sz w:val="18"/>
                <w:szCs w:val="18"/>
                <w:color w:val="auto"/>
              </w:rPr>
            </w:pPr>
          </w:p>
        </w:tc>
        <w:tc>
          <w:tcPr>
            <w:tcW w:w="21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3.5</w:t>
            </w: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40" w:type="dxa"/>
            <w:vAlign w:val="bottom"/>
            <w:gridSpan w:val="2"/>
          </w:tcPr>
          <w:p>
            <w:pPr>
              <w:jc w:val="right"/>
              <w:ind w:right="100"/>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Charge-offs</w:t>
            </w:r>
          </w:p>
        </w:tc>
        <w:tc>
          <w:tcPr>
            <w:tcW w:w="140" w:type="dxa"/>
            <w:vAlign w:val="bottom"/>
            <w:shd w:val="clear" w:color="auto" w:fill="CCEEFF"/>
          </w:tcPr>
          <w:p>
            <w:pPr>
              <w:spacing w:after="0"/>
              <w:rPr>
                <w:sz w:val="18"/>
                <w:szCs w:val="18"/>
                <w:color w:val="auto"/>
              </w:rPr>
            </w:pPr>
          </w:p>
        </w:tc>
        <w:tc>
          <w:tcPr>
            <w:tcW w:w="2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Recoveries</w:t>
            </w:r>
          </w:p>
        </w:tc>
        <w:tc>
          <w:tcPr>
            <w:tcW w:w="140" w:type="dxa"/>
            <w:vAlign w:val="bottom"/>
          </w:tcPr>
          <w:p>
            <w:pPr>
              <w:spacing w:after="0"/>
              <w:rPr>
                <w:sz w:val="18"/>
                <w:szCs w:val="18"/>
                <w:color w:val="auto"/>
              </w:rPr>
            </w:pPr>
          </w:p>
        </w:tc>
        <w:tc>
          <w:tcPr>
            <w:tcW w:w="21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0.1</w:t>
            </w: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end of period</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30.5</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05"/>
              <w:spacing w:after="0"/>
              <w:rPr>
                <w:sz w:val="20"/>
                <w:szCs w:val="20"/>
                <w:color w:val="auto"/>
              </w:rPr>
            </w:pPr>
            <w:r>
              <w:rPr>
                <w:rFonts w:ascii="Arial" w:cs="Arial" w:eastAsia="Arial" w:hAnsi="Arial"/>
                <w:sz w:val="15"/>
                <w:szCs w:val="15"/>
                <w:color w:val="auto"/>
                <w:w w:val="71"/>
              </w:rPr>
              <w:t>$</w:t>
            </w:r>
          </w:p>
        </w:tc>
        <w:tc>
          <w:tcPr>
            <w:tcW w:w="1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26.9</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vMerge w:val="restart"/>
          </w:tcPr>
          <w:p>
            <w:pPr>
              <w:spacing w:after="0"/>
              <w:rPr>
                <w:sz w:val="20"/>
                <w:szCs w:val="20"/>
                <w:color w:val="auto"/>
              </w:rPr>
            </w:pPr>
            <w:r>
              <w:rPr>
                <w:rFonts w:ascii="Arial" w:cs="Arial" w:eastAsia="Arial" w:hAnsi="Arial"/>
                <w:sz w:val="18"/>
                <w:szCs w:val="18"/>
                <w:color w:val="auto"/>
              </w:rPr>
              <w:t>Valuation allowance as % of carrying value before reserves</w:t>
            </w:r>
          </w:p>
        </w:tc>
        <w:tc>
          <w:tcPr>
            <w:tcW w:w="14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5"/>
        </w:trPr>
        <w:tc>
          <w:tcPr>
            <w:tcW w:w="20" w:type="dxa"/>
            <w:vAlign w:val="bottom"/>
          </w:tcPr>
          <w:p>
            <w:pPr>
              <w:spacing w:after="0"/>
              <w:rPr>
                <w:sz w:val="18"/>
                <w:szCs w:val="18"/>
                <w:color w:val="auto"/>
              </w:rPr>
            </w:pPr>
          </w:p>
        </w:tc>
        <w:tc>
          <w:tcPr>
            <w:tcW w:w="688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2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0.27%</w:t>
            </w: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40" w:type="dxa"/>
            <w:vAlign w:val="bottom"/>
            <w:gridSpan w:val="2"/>
          </w:tcPr>
          <w:p>
            <w:pPr>
              <w:jc w:val="right"/>
              <w:ind w:right="20"/>
              <w:spacing w:after="0"/>
              <w:rPr>
                <w:sz w:val="20"/>
                <w:szCs w:val="20"/>
                <w:color w:val="auto"/>
              </w:rPr>
            </w:pPr>
            <w:r>
              <w:rPr>
                <w:rFonts w:ascii="Arial" w:cs="Arial" w:eastAsia="Arial" w:hAnsi="Arial"/>
                <w:sz w:val="18"/>
                <w:szCs w:val="18"/>
                <w:color w:val="auto"/>
              </w:rPr>
              <w:t>0.25%</w:t>
            </w:r>
          </w:p>
        </w:tc>
        <w:tc>
          <w:tcPr>
            <w:tcW w:w="0" w:type="dxa"/>
            <w:vAlign w:val="bottom"/>
          </w:tcPr>
          <w:p>
            <w:pPr>
              <w:spacing w:after="0"/>
              <w:rPr>
                <w:sz w:val="1"/>
                <w:szCs w:val="1"/>
                <w:color w:val="auto"/>
              </w:rPr>
            </w:pPr>
          </w:p>
        </w:tc>
      </w:tr>
    </w:tbl>
    <w:p>
      <w:pPr>
        <w:spacing w:after="0" w:line="183"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b w:val="1"/>
          <w:bCs w:val="1"/>
          <w:i w:val="1"/>
          <w:iCs w:val="1"/>
          <w:color w:val="auto"/>
        </w:rPr>
        <w:t xml:space="preserve">Residential Mortgage Loans. </w:t>
      </w:r>
      <w:r>
        <w:rPr>
          <w:rFonts w:ascii="Arial" w:cs="Arial" w:eastAsia="Arial" w:hAnsi="Arial"/>
          <w:sz w:val="18"/>
          <w:szCs w:val="18"/>
          <w:color w:val="auto"/>
        </w:rPr>
        <w:t>The residential mortgage loan portfolio is composed of home equity mortgages with an amortized cost of $234.1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million and $283.4 million and first lien mortgages with an amortized cost of $357.6 million and $252.9 million as of September 30, 2015 and December 31, 2014, respectively. The home equity loans are generally second lien mortgages made up of closed-end loans and lines of credit. Non-performing residential mortgage loans, which are defined as loans 90 days or greater delinquent plus non-accrual loans, totaled $17.0 million and $20.4 million as of September 30, 2015 and December 31, 2014, respectively.</w:t>
      </w:r>
    </w:p>
    <w:p>
      <w:pPr>
        <w:spacing w:after="0" w:line="188"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We establish the residential mortgage loan valuation allowance at levels considered adequate to absorb estimated probable losses within the portfolio based on management’s evaluation of the size and current risk characteristics of the portfolio. Such evaluation considers numerous factors, including, but not limited to net charge-off trends, loss forecasts, collateral values, geographic location, borrower credit scores, delinquency rates, industry condition and economic trends. The changes in the valuation allowance are reported in net realized capital gains (losses) on our consolidated statements of operations.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Our residential mortgage loan portfolio, and in particular our home equity loan portfolio, experienced an increase in loss severity from sustained elevated levels of unemployment along with continued depressed collateral values beginning in 2010. While these factors continue to drive charge-offs, loss rates overall have stabilized and the portfolio balance continues to decline. The following table represents our residential mortgage loan valuation allowance for the periods indicated.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2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3"/>
              </w:rPr>
              <w:t>For the nine months ended</w:t>
            </w: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4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w w:val="97"/>
              </w:rPr>
              <w:t>For the year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2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September 30, 2015</w:t>
            </w: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4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w w:val="96"/>
              </w:rPr>
              <w:t>December 31, 2014</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8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2540" w:type="dxa"/>
            <w:vAlign w:val="bottom"/>
            <w:tcBorders>
              <w:top w:val="single" w:sz="8" w:color="auto"/>
            </w:tcBorders>
            <w:gridSpan w:val="4"/>
          </w:tcPr>
          <w:p>
            <w:pPr>
              <w:jc w:val="right"/>
              <w:ind w:right="5"/>
              <w:spacing w:after="0"/>
              <w:rPr>
                <w:sz w:val="20"/>
                <w:szCs w:val="20"/>
                <w:color w:val="auto"/>
              </w:rPr>
            </w:pPr>
            <w:r>
              <w:rPr>
                <w:rFonts w:ascii="Arial" w:cs="Arial" w:eastAsia="Arial" w:hAnsi="Arial"/>
                <w:sz w:val="14"/>
                <w:szCs w:val="14"/>
                <w:b w:val="1"/>
                <w:bCs w:val="1"/>
                <w:color w:val="auto"/>
              </w:rPr>
              <w:t>($ in millions)</w:t>
            </w:r>
          </w:p>
        </w:tc>
        <w:tc>
          <w:tcPr>
            <w:tcW w:w="168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vMerge w:val="restart"/>
          </w:tcPr>
          <w:p>
            <w:pPr>
              <w:spacing w:after="0"/>
              <w:rPr>
                <w:sz w:val="15"/>
                <w:szCs w:val="15"/>
                <w:color w:val="auto"/>
              </w:rPr>
            </w:pPr>
          </w:p>
        </w:tc>
        <w:tc>
          <w:tcPr>
            <w:tcW w:w="68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Balance, beginning of period</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2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29.1</w:t>
            </w:r>
          </w:p>
        </w:tc>
        <w:tc>
          <w:tcPr>
            <w:tcW w:w="420" w:type="dxa"/>
            <w:vAlign w:val="bottom"/>
            <w:gridSpan w:val="2"/>
            <w:shd w:val="clear" w:color="auto" w:fill="CCEEFF"/>
          </w:tcPr>
          <w:p>
            <w:pPr>
              <w:jc w:val="right"/>
              <w:ind w:right="205"/>
              <w:spacing w:after="0"/>
              <w:rPr>
                <w:sz w:val="20"/>
                <w:szCs w:val="20"/>
                <w:color w:val="auto"/>
              </w:rPr>
            </w:pPr>
            <w:r>
              <w:rPr>
                <w:rFonts w:ascii="Arial" w:cs="Arial" w:eastAsia="Arial" w:hAnsi="Arial"/>
                <w:sz w:val="18"/>
                <w:szCs w:val="18"/>
                <w:color w:val="auto"/>
              </w:rPr>
              <w:t>$</w:t>
            </w:r>
          </w:p>
        </w:tc>
        <w:tc>
          <w:tcPr>
            <w:tcW w:w="1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Provision</w:t>
            </w:r>
          </w:p>
        </w:tc>
        <w:tc>
          <w:tcPr>
            <w:tcW w:w="140" w:type="dxa"/>
            <w:vAlign w:val="bottom"/>
          </w:tcPr>
          <w:p>
            <w:pPr>
              <w:spacing w:after="0"/>
              <w:rPr>
                <w:sz w:val="18"/>
                <w:szCs w:val="18"/>
                <w:color w:val="auto"/>
              </w:rPr>
            </w:pPr>
          </w:p>
        </w:tc>
        <w:tc>
          <w:tcPr>
            <w:tcW w:w="21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1.5</w:t>
            </w: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40" w:type="dxa"/>
            <w:vAlign w:val="bottom"/>
            <w:gridSpan w:val="2"/>
          </w:tcPr>
          <w:p>
            <w:pPr>
              <w:jc w:val="right"/>
              <w:ind w:right="160"/>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Charge-offs</w:t>
            </w:r>
          </w:p>
        </w:tc>
        <w:tc>
          <w:tcPr>
            <w:tcW w:w="140" w:type="dxa"/>
            <w:vAlign w:val="bottom"/>
            <w:shd w:val="clear" w:color="auto" w:fill="CCEEFF"/>
          </w:tcPr>
          <w:p>
            <w:pPr>
              <w:spacing w:after="0"/>
              <w:rPr>
                <w:sz w:val="18"/>
                <w:szCs w:val="18"/>
                <w:color w:val="auto"/>
              </w:rPr>
            </w:pPr>
          </w:p>
        </w:tc>
        <w:tc>
          <w:tcPr>
            <w:tcW w:w="2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(7.5)</w:t>
            </w:r>
          </w:p>
        </w:tc>
        <w:tc>
          <w:tcPr>
            <w:tcW w:w="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Recoveries</w:t>
            </w:r>
          </w:p>
        </w:tc>
        <w:tc>
          <w:tcPr>
            <w:tcW w:w="140" w:type="dxa"/>
            <w:vAlign w:val="bottom"/>
          </w:tcPr>
          <w:p>
            <w:pPr>
              <w:spacing w:after="0"/>
              <w:rPr>
                <w:sz w:val="18"/>
                <w:szCs w:val="18"/>
                <w:color w:val="auto"/>
              </w:rPr>
            </w:pPr>
          </w:p>
        </w:tc>
        <w:tc>
          <w:tcPr>
            <w:tcW w:w="21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2.6</w:t>
            </w: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40" w:type="dxa"/>
            <w:vAlign w:val="bottom"/>
            <w:gridSpan w:val="2"/>
          </w:tcPr>
          <w:p>
            <w:pPr>
              <w:jc w:val="right"/>
              <w:ind w:right="160"/>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end of period</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25.7</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05"/>
              <w:spacing w:after="0"/>
              <w:rPr>
                <w:sz w:val="20"/>
                <w:szCs w:val="20"/>
                <w:color w:val="auto"/>
              </w:rPr>
            </w:pPr>
            <w:r>
              <w:rPr>
                <w:rFonts w:ascii="Arial" w:cs="Arial" w:eastAsia="Arial" w:hAnsi="Arial"/>
                <w:sz w:val="15"/>
                <w:szCs w:val="15"/>
                <w:color w:val="auto"/>
                <w:w w:val="71"/>
              </w:rPr>
              <w:t>$</w:t>
            </w:r>
          </w:p>
        </w:tc>
        <w:tc>
          <w:tcPr>
            <w:tcW w:w="1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29.1</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vMerge w:val="restart"/>
          </w:tcPr>
          <w:p>
            <w:pPr>
              <w:spacing w:after="0"/>
              <w:rPr>
                <w:sz w:val="20"/>
                <w:szCs w:val="20"/>
                <w:color w:val="auto"/>
              </w:rPr>
            </w:pPr>
            <w:r>
              <w:rPr>
                <w:rFonts w:ascii="Arial" w:cs="Arial" w:eastAsia="Arial" w:hAnsi="Arial"/>
                <w:sz w:val="18"/>
                <w:szCs w:val="18"/>
                <w:color w:val="auto"/>
              </w:rPr>
              <w:t>Valuation allowance as % of carrying value before reserves</w:t>
            </w:r>
          </w:p>
        </w:tc>
        <w:tc>
          <w:tcPr>
            <w:tcW w:w="14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5"/>
        </w:trPr>
        <w:tc>
          <w:tcPr>
            <w:tcW w:w="20" w:type="dxa"/>
            <w:vAlign w:val="bottom"/>
          </w:tcPr>
          <w:p>
            <w:pPr>
              <w:spacing w:after="0"/>
              <w:rPr>
                <w:sz w:val="18"/>
                <w:szCs w:val="18"/>
                <w:color w:val="auto"/>
              </w:rPr>
            </w:pPr>
          </w:p>
        </w:tc>
        <w:tc>
          <w:tcPr>
            <w:tcW w:w="688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21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4.3%</w:t>
            </w: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40" w:type="dxa"/>
            <w:vAlign w:val="bottom"/>
            <w:gridSpan w:val="2"/>
          </w:tcPr>
          <w:p>
            <w:pPr>
              <w:jc w:val="right"/>
              <w:ind w:right="2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Real Estate</w:t>
      </w:r>
    </w:p>
    <w:p>
      <w:pPr>
        <w:spacing w:after="0" w:line="225"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Real estate consists primarily of commercial equity real estate. As of September 30, 2015 and December 31, 2014, the carrying amount of our equity real estate investment was $1,410.1 million, or 2%, and $1,340.4 million, or 2%, of U.S. invested assets, respectively. Our commercial equity real estate is held in the form of wholly owned real estate, real estate acquired upon foreclosure of commercial mortgage loans and majority owned interests in real estate joint ventures.</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Equity real estate is categorized as either “real estate held for investment” or “real estate held for sale.” Real estate held for investment totaled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$1,254.7 million and $1,168.6 million as of September 30, 2015 and December 31, 2014, respectively. The carrying value of real estate held for investment is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generally adjusted for impairments whenever events or changes in circumstances indicate the carrying amount of the asset may not be recoverable. Such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impairment adjustments are recorded as net realized capital losses in our consolidated results of operations. Impairment adjustments recorded for the year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ended December 31, 2014 were $6.2 million. No such impairment adjustments were recorded for the nine months ended September 30, 2015.</w:t>
      </w:r>
    </w:p>
    <w:p>
      <w:pPr>
        <w:spacing w:after="0" w:line="211"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The carrying amount of real estate held for sale was $155.4 million and $171.8 million as of September 30, 2015 and December 31, 2014, respectively. Once we identify a real estate property to be sold and commence a plan for marketing the property, we classify the property as held for sale. We establish a valuation allowance subject to periodic revisions, if necessary, to adjust the carrying value of the property to reflect the lower of its current carrying value or the fair value, less associated selling costs. No valuation allowance was established during the nine months ended September 30, 2015, or the year ended December 31, 2014.</w:t>
      </w:r>
    </w:p>
    <w:p>
      <w:pPr>
        <w:spacing w:after="0" w:line="188" w:lineRule="exact"/>
        <w:rPr>
          <w:sz w:val="20"/>
          <w:szCs w:val="20"/>
          <w:color w:val="auto"/>
        </w:rPr>
      </w:pPr>
    </w:p>
    <w:p>
      <w:pPr>
        <w:ind w:right="460" w:firstLine="648"/>
        <w:spacing w:after="0" w:line="308" w:lineRule="auto"/>
        <w:rPr>
          <w:sz w:val="20"/>
          <w:szCs w:val="20"/>
          <w:color w:val="auto"/>
        </w:rPr>
      </w:pPr>
      <w:r>
        <w:rPr>
          <w:rFonts w:ascii="Arial" w:cs="Arial" w:eastAsia="Arial" w:hAnsi="Arial"/>
          <w:sz w:val="17"/>
          <w:szCs w:val="17"/>
          <w:color w:val="auto"/>
        </w:rPr>
        <w:t>We use research, both internal and external, to recommend appropriate product and geographic allocations and changes to the equity real estate portfolio. We monitor product, geographic and industry diversification separately and together to determine the most appropriate mix.</w:t>
      </w:r>
    </w:p>
    <w:p>
      <w:pPr>
        <w:spacing w:after="0" w:line="147" w:lineRule="exact"/>
        <w:rPr>
          <w:sz w:val="20"/>
          <w:szCs w:val="20"/>
          <w:color w:val="auto"/>
        </w:rPr>
      </w:pPr>
    </w:p>
    <w:p>
      <w:pPr>
        <w:ind w:right="40" w:firstLine="648"/>
        <w:spacing w:after="0" w:line="342" w:lineRule="auto"/>
        <w:rPr>
          <w:sz w:val="20"/>
          <w:szCs w:val="20"/>
          <w:color w:val="auto"/>
        </w:rPr>
      </w:pPr>
      <w:r>
        <w:rPr>
          <w:rFonts w:ascii="Arial" w:cs="Arial" w:eastAsia="Arial" w:hAnsi="Arial"/>
          <w:sz w:val="16"/>
          <w:szCs w:val="16"/>
          <w:color w:val="auto"/>
        </w:rPr>
        <w:t>Equity real estate is distributed across geographic regions of the country. As of September 30, 2015, our equity real estate portfolio was concentrated in the Pacific (37%), South Atlantic (20%), and West South Central (19%) regions of the United States. By property type, there is a concentration in office</w:t>
      </w:r>
    </w:p>
    <w:p>
      <w:pPr>
        <w:sectPr>
          <w:pgSz w:w="11900" w:h="16975" w:orient="portrait"/>
          <w:cols w:equalWidth="0" w:num="1">
            <w:col w:w="11420"/>
          </w:cols>
          <w:pgMar w:left="240" w:top="247" w:right="239" w:bottom="0" w:gutter="0" w:footer="0" w:header="0"/>
        </w:sectPr>
      </w:pPr>
    </w:p>
    <w:bookmarkStart w:id="90" w:name="page91"/>
    <w:bookmarkEnd w:id="90"/>
    <w:p>
      <w:pPr>
        <w:spacing w:after="0"/>
        <w:rPr>
          <w:sz w:val="20"/>
          <w:szCs w:val="20"/>
          <w:color w:val="auto"/>
        </w:rPr>
      </w:pPr>
      <w:r>
        <w:rPr>
          <w:rFonts w:ascii="Arial" w:cs="Arial" w:eastAsia="Arial" w:hAnsi="Arial"/>
          <w:sz w:val="18"/>
          <w:szCs w:val="18"/>
          <w:color w:val="auto"/>
        </w:rPr>
        <w:t>that represented approximately 47% of the equity real estate portfolio as of September 30, 2015.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Investments</w:t>
      </w:r>
    </w:p>
    <w:p>
      <w:pPr>
        <w:spacing w:after="0" w:line="225"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Our other investments totaled $1,945.3 million as of September 30, 2015, compared to $1,688.0 million as of December 31, 2014. Derivative assets accounted for $813.9 million and $651.5 million in other investments as of September 30, 2015 and December 31, 2014, respectively. The remaining invested assets are primarily related to equity method investments, which include real estate properties owned jointly with venture partners and operated by the partners, and seed money.</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Investment Operations</w:t>
      </w:r>
    </w:p>
    <w:p>
      <w:pPr>
        <w:spacing w:after="0" w:line="229"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Of our invested assets, $6,418.0 million were held by our Principal International segment as of September 30, 2015. The assets are primarily managed by the local Principal International affiliate. Due to the regulatory constraints in each country, each company maintains its own investment policies. As shown in the following table, the major category of international invested assets is fixed maturities. The following table excludes invested assets of the separate accounts.</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8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20" w:type="dxa"/>
            <w:vAlign w:val="bottom"/>
            <w:gridSpan w:val="3"/>
          </w:tcPr>
          <w:p>
            <w:pPr>
              <w:ind w:left="460"/>
              <w:spacing w:after="0"/>
              <w:rPr>
                <w:sz w:val="20"/>
                <w:szCs w:val="20"/>
                <w:color w:val="auto"/>
              </w:rPr>
            </w:pPr>
            <w:r>
              <w:rPr>
                <w:rFonts w:ascii="Arial" w:cs="Arial" w:eastAsia="Arial" w:hAnsi="Arial"/>
                <w:sz w:val="14"/>
                <w:szCs w:val="14"/>
                <w:b w:val="1"/>
                <w:bCs w:val="1"/>
                <w:color w:val="auto"/>
              </w:rPr>
              <w:t>September 30, 2015</w:t>
            </w: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520" w:type="dxa"/>
            <w:vAlign w:val="bottom"/>
            <w:gridSpan w:val="4"/>
          </w:tcPr>
          <w:p>
            <w:pPr>
              <w:jc w:val="right"/>
              <w:ind w:right="860"/>
              <w:spacing w:after="0"/>
              <w:rPr>
                <w:sz w:val="20"/>
                <w:szCs w:val="20"/>
                <w:color w:val="auto"/>
              </w:rPr>
            </w:pPr>
            <w:r>
              <w:rPr>
                <w:rFonts w:ascii="Arial" w:cs="Arial" w:eastAsia="Arial" w:hAnsi="Arial"/>
                <w:sz w:val="14"/>
                <w:szCs w:val="14"/>
                <w:b w:val="1"/>
                <w:bCs w:val="1"/>
                <w:color w:val="auto"/>
              </w:rPr>
              <w:t>December 31, 2014</w:t>
            </w:r>
          </w:p>
        </w:tc>
        <w:tc>
          <w:tcPr>
            <w:tcW w:w="0" w:type="dxa"/>
            <w:vAlign w:val="bottom"/>
          </w:tcPr>
          <w:p>
            <w:pPr>
              <w:spacing w:after="0"/>
              <w:rPr>
                <w:sz w:val="1"/>
                <w:szCs w:val="1"/>
                <w:color w:val="auto"/>
              </w:rPr>
            </w:pPr>
          </w:p>
        </w:tc>
      </w:tr>
      <w:tr>
        <w:trPr>
          <w:trHeight w:val="119"/>
        </w:trPr>
        <w:tc>
          <w:tcPr>
            <w:tcW w:w="48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240" w:type="dxa"/>
            <w:vAlign w:val="bottom"/>
            <w:tcBorders>
              <w:top w:val="single" w:sz="8" w:color="auto"/>
            </w:tcBorders>
            <w:gridSpan w:val="2"/>
          </w:tcPr>
          <w:p>
            <w:pPr>
              <w:jc w:val="center"/>
              <w:ind w:right="460"/>
              <w:spacing w:after="0" w:line="119" w:lineRule="exact"/>
              <w:rPr>
                <w:sz w:val="20"/>
                <w:szCs w:val="20"/>
                <w:color w:val="auto"/>
              </w:rPr>
            </w:pPr>
            <w:r>
              <w:rPr>
                <w:rFonts w:ascii="Arial" w:cs="Arial" w:eastAsia="Arial" w:hAnsi="Arial"/>
                <w:sz w:val="13"/>
                <w:szCs w:val="13"/>
                <w:b w:val="1"/>
                <w:bCs w:val="1"/>
                <w:color w:val="auto"/>
              </w:rPr>
              <w:t>Carrying</w:t>
            </w:r>
          </w:p>
        </w:tc>
        <w:tc>
          <w:tcPr>
            <w:tcW w:w="780" w:type="dxa"/>
            <w:vAlign w:val="bottom"/>
            <w:tcBorders>
              <w:top w:val="single" w:sz="8" w:color="auto"/>
            </w:tcBorders>
          </w:tcPr>
          <w:p>
            <w:pPr>
              <w:ind w:left="300"/>
              <w:spacing w:after="0" w:line="119" w:lineRule="exact"/>
              <w:rPr>
                <w:sz w:val="20"/>
                <w:szCs w:val="20"/>
                <w:color w:val="auto"/>
              </w:rPr>
            </w:pPr>
            <w:r>
              <w:rPr>
                <w:rFonts w:ascii="Arial" w:cs="Arial" w:eastAsia="Arial" w:hAnsi="Arial"/>
                <w:sz w:val="13"/>
                <w:szCs w:val="13"/>
                <w:b w:val="1"/>
                <w:bCs w:val="1"/>
                <w:color w:val="auto"/>
                <w:w w:val="96"/>
              </w:rPr>
              <w:t>Percent</w:t>
            </w:r>
          </w:p>
        </w:tc>
        <w:tc>
          <w:tcPr>
            <w:tcW w:w="280" w:type="dxa"/>
            <w:vAlign w:val="bottom"/>
            <w:tcBorders>
              <w:top w:val="single" w:sz="8" w:color="auto"/>
            </w:tcBorders>
          </w:tcPr>
          <w:p>
            <w:pPr>
              <w:spacing w:after="0"/>
              <w:rPr>
                <w:sz w:val="10"/>
                <w:szCs w:val="10"/>
                <w:color w:val="auto"/>
              </w:rPr>
            </w:pPr>
          </w:p>
        </w:tc>
        <w:tc>
          <w:tcPr>
            <w:tcW w:w="34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220" w:type="dxa"/>
            <w:vAlign w:val="bottom"/>
            <w:tcBorders>
              <w:top w:val="single" w:sz="8" w:color="auto"/>
            </w:tcBorders>
            <w:gridSpan w:val="2"/>
          </w:tcPr>
          <w:p>
            <w:pPr>
              <w:jc w:val="right"/>
              <w:ind w:right="560"/>
              <w:spacing w:after="0" w:line="119" w:lineRule="exact"/>
              <w:rPr>
                <w:sz w:val="20"/>
                <w:szCs w:val="20"/>
                <w:color w:val="auto"/>
              </w:rPr>
            </w:pPr>
            <w:r>
              <w:rPr>
                <w:rFonts w:ascii="Arial" w:cs="Arial" w:eastAsia="Arial" w:hAnsi="Arial"/>
                <w:sz w:val="13"/>
                <w:szCs w:val="13"/>
                <w:b w:val="1"/>
                <w:bCs w:val="1"/>
                <w:color w:val="auto"/>
              </w:rPr>
              <w:t>Carrying</w:t>
            </w:r>
          </w:p>
        </w:tc>
        <w:tc>
          <w:tcPr>
            <w:tcW w:w="1140" w:type="dxa"/>
            <w:vAlign w:val="bottom"/>
            <w:tcBorders>
              <w:top w:val="single" w:sz="8" w:color="auto"/>
            </w:tcBorders>
          </w:tcPr>
          <w:p>
            <w:pPr>
              <w:jc w:val="right"/>
              <w:ind w:right="253"/>
              <w:spacing w:after="0" w:line="119" w:lineRule="exact"/>
              <w:rPr>
                <w:sz w:val="20"/>
                <w:szCs w:val="20"/>
                <w:color w:val="auto"/>
              </w:rPr>
            </w:pPr>
            <w:r>
              <w:rPr>
                <w:rFonts w:ascii="Arial" w:cs="Arial" w:eastAsia="Arial" w:hAnsi="Arial"/>
                <w:sz w:val="13"/>
                <w:szCs w:val="13"/>
                <w:b w:val="1"/>
                <w:bCs w:val="1"/>
                <w:color w:val="auto"/>
              </w:rPr>
              <w:t>Percent</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8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0"/>
              </w:rPr>
              <w:t>amount</w:t>
            </w:r>
          </w:p>
        </w:tc>
        <w:tc>
          <w:tcPr>
            <w:tcW w:w="780" w:type="dxa"/>
            <w:vAlign w:val="bottom"/>
          </w:tcPr>
          <w:p>
            <w:pPr>
              <w:ind w:left="300"/>
              <w:spacing w:after="0"/>
              <w:rPr>
                <w:sz w:val="20"/>
                <w:szCs w:val="20"/>
                <w:color w:val="auto"/>
              </w:rPr>
            </w:pPr>
            <w:r>
              <w:rPr>
                <w:rFonts w:ascii="Arial" w:cs="Arial" w:eastAsia="Arial" w:hAnsi="Arial"/>
                <w:sz w:val="14"/>
                <w:szCs w:val="14"/>
                <w:b w:val="1"/>
                <w:bCs w:val="1"/>
                <w:color w:val="auto"/>
                <w:w w:val="98"/>
              </w:rPr>
              <w:t>of total</w:t>
            </w: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2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amount</w:t>
            </w:r>
          </w:p>
        </w:tc>
        <w:tc>
          <w:tcPr>
            <w:tcW w:w="13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of total</w:t>
            </w:r>
          </w:p>
        </w:tc>
        <w:tc>
          <w:tcPr>
            <w:tcW w:w="0" w:type="dxa"/>
            <w:vAlign w:val="bottom"/>
          </w:tcPr>
          <w:p>
            <w:pPr>
              <w:spacing w:after="0"/>
              <w:rPr>
                <w:sz w:val="1"/>
                <w:szCs w:val="1"/>
                <w:color w:val="auto"/>
              </w:rPr>
            </w:pPr>
          </w:p>
        </w:tc>
      </w:tr>
      <w:tr>
        <w:trPr>
          <w:trHeight w:val="142"/>
        </w:trPr>
        <w:tc>
          <w:tcPr>
            <w:tcW w:w="48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040" w:type="dxa"/>
            <w:vAlign w:val="bottom"/>
            <w:tcBorders>
              <w:top w:val="single" w:sz="8" w:color="auto"/>
            </w:tcBorders>
            <w:gridSpan w:val="5"/>
          </w:tcPr>
          <w:p>
            <w:pPr>
              <w:jc w:val="right"/>
              <w:ind w:right="1120"/>
              <w:spacing w:after="0" w:line="142" w:lineRule="exact"/>
              <w:rPr>
                <w:sz w:val="20"/>
                <w:szCs w:val="20"/>
                <w:color w:val="auto"/>
              </w:rPr>
            </w:pPr>
            <w:r>
              <w:rPr>
                <w:rFonts w:ascii="Arial" w:cs="Arial" w:eastAsia="Arial" w:hAnsi="Arial"/>
                <w:sz w:val="14"/>
                <w:szCs w:val="14"/>
                <w:b w:val="1"/>
                <w:bCs w:val="1"/>
                <w:color w:val="auto"/>
                <w:w w:val="99"/>
              </w:rPr>
              <w:t>($ in millions)</w:t>
            </w:r>
          </w:p>
        </w:tc>
        <w:tc>
          <w:tcPr>
            <w:tcW w:w="11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w:t>
            </w: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60" w:type="dxa"/>
            <w:vAlign w:val="bottom"/>
          </w:tcPr>
          <w:p>
            <w:pPr>
              <w:ind w:left="200"/>
              <w:spacing w:after="0"/>
              <w:rPr>
                <w:sz w:val="20"/>
                <w:szCs w:val="20"/>
                <w:color w:val="auto"/>
              </w:rPr>
            </w:pPr>
            <w:r>
              <w:rPr>
                <w:rFonts w:ascii="Arial" w:cs="Arial" w:eastAsia="Arial" w:hAnsi="Arial"/>
                <w:sz w:val="18"/>
                <w:szCs w:val="18"/>
                <w:color w:val="auto"/>
              </w:rPr>
              <w:t>Public</w:t>
            </w:r>
          </w:p>
        </w:tc>
        <w:tc>
          <w:tcPr>
            <w:tcW w:w="1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3,452.7</w:t>
            </w: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20" w:type="dxa"/>
            <w:vAlign w:val="bottom"/>
            <w:gridSpan w:val="3"/>
          </w:tcPr>
          <w:p>
            <w:pPr>
              <w:jc w:val="right"/>
              <w:ind w:right="10"/>
              <w:spacing w:after="0"/>
              <w:rPr>
                <w:sz w:val="20"/>
                <w:szCs w:val="20"/>
                <w:color w:val="auto"/>
              </w:rPr>
            </w:pPr>
            <w:r>
              <w:rPr>
                <w:rFonts w:ascii="Arial" w:cs="Arial" w:eastAsia="Arial" w:hAnsi="Arial"/>
                <w:sz w:val="18"/>
                <w:szCs w:val="18"/>
                <w:b w:val="1"/>
                <w:bCs w:val="1"/>
                <w:color w:val="auto"/>
              </w:rPr>
              <w:t xml:space="preserve">54%  </w:t>
            </w: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3,245.2</w:t>
            </w:r>
          </w:p>
        </w:tc>
        <w:tc>
          <w:tcPr>
            <w:tcW w:w="28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16"/>
        </w:trPr>
        <w:tc>
          <w:tcPr>
            <w:tcW w:w="48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Private</w:t>
            </w: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2.5</w:t>
            </w:r>
          </w:p>
        </w:tc>
        <w:tc>
          <w:tcPr>
            <w:tcW w:w="78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450"/>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2.1</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860" w:type="dxa"/>
            <w:vAlign w:val="bottom"/>
          </w:tcPr>
          <w:p>
            <w:pPr>
              <w:spacing w:after="0"/>
              <w:rPr>
                <w:sz w:val="20"/>
                <w:szCs w:val="20"/>
                <w:color w:val="auto"/>
              </w:rPr>
            </w:pPr>
            <w:r>
              <w:rPr>
                <w:rFonts w:ascii="Arial" w:cs="Arial" w:eastAsia="Arial" w:hAnsi="Arial"/>
                <w:sz w:val="18"/>
                <w:szCs w:val="18"/>
                <w:color w:val="auto"/>
              </w:rPr>
              <w:t>Equity securities</w:t>
            </w: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1,031.9</w:t>
            </w: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b w:val="1"/>
                <w:bCs w:val="1"/>
                <w:color w:val="auto"/>
              </w:rPr>
              <w:t>16</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662.7</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Mortgage loans:</w:t>
            </w: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60" w:type="dxa"/>
            <w:vAlign w:val="bottom"/>
          </w:tcPr>
          <w:p>
            <w:pPr>
              <w:ind w:left="180"/>
              <w:spacing w:after="0"/>
              <w:rPr>
                <w:sz w:val="20"/>
                <w:szCs w:val="20"/>
                <w:color w:val="auto"/>
              </w:rPr>
            </w:pPr>
            <w:r>
              <w:rPr>
                <w:rFonts w:ascii="Arial" w:cs="Arial" w:eastAsia="Arial" w:hAnsi="Arial"/>
                <w:sz w:val="18"/>
                <w:szCs w:val="18"/>
                <w:color w:val="auto"/>
              </w:rPr>
              <w:t>Commercial</w:t>
            </w: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63.6</w:t>
            </w:r>
          </w:p>
        </w:tc>
        <w:tc>
          <w:tcPr>
            <w:tcW w:w="780" w:type="dxa"/>
            <w:vAlign w:val="bottom"/>
          </w:tcPr>
          <w:p>
            <w:pPr>
              <w:spacing w:after="0"/>
              <w:rPr>
                <w:sz w:val="18"/>
                <w:szCs w:val="18"/>
                <w:color w:val="auto"/>
              </w:rPr>
            </w:pPr>
          </w:p>
        </w:tc>
        <w:tc>
          <w:tcPr>
            <w:tcW w:w="62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rPr>
              <w:t>1</w:t>
            </w:r>
          </w:p>
        </w:tc>
        <w:tc>
          <w:tcPr>
            <w:tcW w:w="20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39.7</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48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Residential</w:t>
            </w: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516.8</w:t>
            </w:r>
          </w:p>
        </w:tc>
        <w:tc>
          <w:tcPr>
            <w:tcW w:w="7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b w:val="1"/>
                <w:bCs w:val="1"/>
                <w:color w:val="auto"/>
              </w:rPr>
              <w:t>8</w:t>
            </w:r>
          </w:p>
        </w:tc>
        <w:tc>
          <w:tcPr>
            <w:tcW w:w="2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607.5</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4860" w:type="dxa"/>
            <w:vAlign w:val="bottom"/>
          </w:tcPr>
          <w:p>
            <w:pPr>
              <w:spacing w:after="0"/>
              <w:rPr>
                <w:sz w:val="20"/>
                <w:szCs w:val="20"/>
                <w:color w:val="auto"/>
              </w:rPr>
            </w:pPr>
            <w:r>
              <w:rPr>
                <w:rFonts w:ascii="Arial" w:cs="Arial" w:eastAsia="Arial" w:hAnsi="Arial"/>
                <w:sz w:val="18"/>
                <w:szCs w:val="18"/>
                <w:color w:val="auto"/>
              </w:rPr>
              <w:t>Real estate held for sale</w:t>
            </w: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3.2</w:t>
            </w:r>
          </w:p>
        </w:tc>
        <w:tc>
          <w:tcPr>
            <w:tcW w:w="780" w:type="dxa"/>
            <w:vAlign w:val="bottom"/>
          </w:tcPr>
          <w:p>
            <w:pPr>
              <w:spacing w:after="0"/>
              <w:rPr>
                <w:sz w:val="18"/>
                <w:szCs w:val="18"/>
                <w:color w:val="auto"/>
              </w:rPr>
            </w:pPr>
          </w:p>
        </w:tc>
        <w:tc>
          <w:tcPr>
            <w:tcW w:w="820" w:type="dxa"/>
            <w:vAlign w:val="bottom"/>
            <w:gridSpan w:val="3"/>
          </w:tcPr>
          <w:p>
            <w:pPr>
              <w:jc w:val="right"/>
              <w:ind w:right="450"/>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2.2</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Real estate held for investment</w:t>
            </w: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1.7</w:t>
            </w:r>
          </w:p>
        </w:tc>
        <w:tc>
          <w:tcPr>
            <w:tcW w:w="78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450"/>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860" w:type="dxa"/>
            <w:vAlign w:val="bottom"/>
          </w:tcPr>
          <w:p>
            <w:pPr>
              <w:spacing w:after="0"/>
              <w:rPr>
                <w:sz w:val="20"/>
                <w:szCs w:val="20"/>
                <w:color w:val="auto"/>
              </w:rPr>
            </w:pPr>
            <w:r>
              <w:rPr>
                <w:rFonts w:ascii="Arial" w:cs="Arial" w:eastAsia="Arial" w:hAnsi="Arial"/>
                <w:sz w:val="18"/>
                <w:szCs w:val="18"/>
                <w:color w:val="auto"/>
              </w:rPr>
              <w:t>Policy loans</w:t>
            </w: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20.5</w:t>
            </w:r>
          </w:p>
        </w:tc>
        <w:tc>
          <w:tcPr>
            <w:tcW w:w="780" w:type="dxa"/>
            <w:vAlign w:val="bottom"/>
          </w:tcPr>
          <w:p>
            <w:pPr>
              <w:spacing w:after="0"/>
              <w:rPr>
                <w:sz w:val="18"/>
                <w:szCs w:val="18"/>
                <w:color w:val="auto"/>
              </w:rPr>
            </w:pPr>
          </w:p>
        </w:tc>
        <w:tc>
          <w:tcPr>
            <w:tcW w:w="820" w:type="dxa"/>
            <w:vAlign w:val="bottom"/>
            <w:gridSpan w:val="3"/>
          </w:tcPr>
          <w:p>
            <w:pPr>
              <w:jc w:val="right"/>
              <w:ind w:right="450"/>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22.7</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60" w:type="dxa"/>
            <w:vAlign w:val="bottom"/>
          </w:tcPr>
          <w:p>
            <w:pPr>
              <w:ind w:left="200"/>
              <w:spacing w:after="0"/>
              <w:rPr>
                <w:sz w:val="20"/>
                <w:szCs w:val="20"/>
                <w:color w:val="auto"/>
              </w:rPr>
            </w:pPr>
            <w:r>
              <w:rPr>
                <w:rFonts w:ascii="Arial" w:cs="Arial" w:eastAsia="Arial" w:hAnsi="Arial"/>
                <w:sz w:val="18"/>
                <w:szCs w:val="18"/>
                <w:color w:val="auto"/>
              </w:rPr>
              <w:t>Direct financing leases</w:t>
            </w: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771.3</w:t>
            </w:r>
          </w:p>
        </w:tc>
        <w:tc>
          <w:tcPr>
            <w:tcW w:w="7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b w:val="1"/>
                <w:bCs w:val="1"/>
                <w:color w:val="auto"/>
              </w:rPr>
              <w:t>12</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790.8</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48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Investment in equity method subsidiaries</w:t>
            </w: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458.8</w:t>
            </w:r>
          </w:p>
        </w:tc>
        <w:tc>
          <w:tcPr>
            <w:tcW w:w="7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b w:val="1"/>
                <w:bCs w:val="1"/>
                <w:color w:val="auto"/>
              </w:rPr>
              <w:t>7</w:t>
            </w:r>
          </w:p>
        </w:tc>
        <w:tc>
          <w:tcPr>
            <w:tcW w:w="2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614.7</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486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Derivative assets and other short-term investments</w:t>
            </w:r>
          </w:p>
        </w:tc>
        <w:tc>
          <w:tcPr>
            <w:tcW w:w="10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95.0</w:t>
            </w:r>
          </w:p>
        </w:tc>
        <w:tc>
          <w:tcPr>
            <w:tcW w:w="280" w:type="dxa"/>
            <w:vAlign w:val="bottom"/>
            <w:tcBorders>
              <w:bottom w:val="single" w:sz="8" w:color="CCEEFF"/>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w:t>
            </w:r>
          </w:p>
        </w:tc>
        <w:tc>
          <w:tcPr>
            <w:tcW w:w="34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116.3</w:t>
            </w:r>
          </w:p>
        </w:tc>
        <w:tc>
          <w:tcPr>
            <w:tcW w:w="280" w:type="dxa"/>
            <w:vAlign w:val="bottom"/>
            <w:tcBorders>
              <w:bottom w:val="single" w:sz="8" w:color="CCEEFF"/>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8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invested assets</w:t>
            </w: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6,418.0</w:t>
            </w:r>
          </w:p>
        </w:tc>
        <w:tc>
          <w:tcPr>
            <w:tcW w:w="2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w w:val="95"/>
              </w:rPr>
              <w:t>100%</w:t>
            </w: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6,105.9</w:t>
            </w:r>
          </w:p>
        </w:tc>
        <w:tc>
          <w:tcPr>
            <w:tcW w:w="2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48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Cash and cash equivalents</w:t>
            </w:r>
          </w:p>
        </w:tc>
        <w:tc>
          <w:tcPr>
            <w:tcW w:w="10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CCEEFF"/>
            </w:tcBorders>
            <w:gridSpan w:val="2"/>
            <w:vMerge w:val="restart"/>
          </w:tcPr>
          <w:p>
            <w:pPr>
              <w:jc w:val="right"/>
              <w:ind w:right="280"/>
              <w:spacing w:after="0"/>
              <w:rPr>
                <w:sz w:val="20"/>
                <w:szCs w:val="20"/>
                <w:color w:val="auto"/>
              </w:rPr>
            </w:pPr>
            <w:r>
              <w:rPr>
                <w:rFonts w:ascii="Arial" w:cs="Arial" w:eastAsia="Arial" w:hAnsi="Arial"/>
                <w:sz w:val="18"/>
                <w:szCs w:val="18"/>
                <w:b w:val="1"/>
                <w:bCs w:val="1"/>
                <w:color w:val="auto"/>
              </w:rPr>
              <w:t>424.0</w:t>
            </w:r>
          </w:p>
        </w:tc>
        <w:tc>
          <w:tcPr>
            <w:tcW w:w="7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CCEEFF"/>
            </w:tcBorders>
            <w:gridSpan w:val="2"/>
            <w:vMerge w:val="restart"/>
          </w:tcPr>
          <w:p>
            <w:pPr>
              <w:jc w:val="right"/>
              <w:ind w:right="280"/>
              <w:spacing w:after="0"/>
              <w:rPr>
                <w:sz w:val="20"/>
                <w:szCs w:val="20"/>
                <w:color w:val="auto"/>
              </w:rPr>
            </w:pPr>
            <w:r>
              <w:rPr>
                <w:rFonts w:ascii="Arial" w:cs="Arial" w:eastAsia="Arial" w:hAnsi="Arial"/>
                <w:sz w:val="18"/>
                <w:szCs w:val="18"/>
                <w:color w:val="auto"/>
              </w:rPr>
              <w:t>101.4</w:t>
            </w: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4860" w:type="dxa"/>
            <w:vAlign w:val="bottom"/>
            <w:vMerge w:val="continue"/>
          </w:tcPr>
          <w:p>
            <w:pPr>
              <w:spacing w:after="0"/>
              <w:rPr>
                <w:sz w:val="14"/>
                <w:szCs w:val="14"/>
                <w:color w:val="auto"/>
              </w:rPr>
            </w:pPr>
          </w:p>
        </w:tc>
        <w:tc>
          <w:tcPr>
            <w:tcW w:w="10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7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86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invested assets and cash</w:t>
            </w:r>
          </w:p>
        </w:tc>
        <w:tc>
          <w:tcPr>
            <w:tcW w:w="10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6,842.0</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78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34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6,207.3</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Regulations in certain locations require investment in the funds we manage. These regulatory required investments are classified as equity securities, trading within our consolidated statements of financial position, with all mark-to-market changes reflected in net investment income. Our investment is primarily dictated by client activity and all investment performance is retained by us.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Risk Exposures and Risk Management</w:t>
      </w:r>
    </w:p>
    <w:p>
      <w:pPr>
        <w:spacing w:after="0" w:line="229" w:lineRule="exact"/>
        <w:rPr>
          <w:sz w:val="20"/>
          <w:szCs w:val="20"/>
          <w:color w:val="auto"/>
        </w:rPr>
      </w:pPr>
    </w:p>
    <w:p>
      <w:pPr>
        <w:ind w:right="60" w:firstLine="652"/>
        <w:spacing w:after="0" w:line="264" w:lineRule="auto"/>
        <w:rPr>
          <w:sz w:val="20"/>
          <w:szCs w:val="20"/>
          <w:color w:val="auto"/>
        </w:rPr>
      </w:pPr>
      <w:r>
        <w:rPr>
          <w:rFonts w:ascii="Arial" w:cs="Arial" w:eastAsia="Arial" w:hAnsi="Arial"/>
          <w:sz w:val="18"/>
          <w:szCs w:val="18"/>
          <w:color w:val="auto"/>
        </w:rPr>
        <w:t>Market risk is the risk we will incur losses due to adverse fluctuations in market rates and prices. Our primary market risk exposures are to interest rates, equity markets and foreign currency exchange rates. The active management of market risk is an integral part of our operations. We manage our overall market risk exposure within established risk tolerance ranges by using the following approaches:</w:t>
      </w:r>
    </w:p>
    <w:p>
      <w:pPr>
        <w:spacing w:after="0" w:line="181" w:lineRule="exact"/>
        <w:rPr>
          <w:sz w:val="20"/>
          <w:szCs w:val="20"/>
          <w:color w:val="auto"/>
        </w:rPr>
      </w:pPr>
    </w:p>
    <w:p>
      <w:pPr>
        <w:ind w:left="620" w:hanging="288"/>
        <w:spacing w:after="0"/>
        <w:tabs>
          <w:tab w:leader="none" w:pos="6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rebalance our existing asset or liability portfolios;</w:t>
      </w:r>
    </w:p>
    <w:p>
      <w:pPr>
        <w:spacing w:after="0" w:line="225" w:lineRule="exact"/>
        <w:rPr>
          <w:rFonts w:ascii="Arial" w:cs="Arial" w:eastAsia="Arial" w:hAnsi="Arial"/>
          <w:sz w:val="18"/>
          <w:szCs w:val="18"/>
          <w:color w:val="auto"/>
        </w:rPr>
      </w:pPr>
    </w:p>
    <w:p>
      <w:pPr>
        <w:ind w:left="620" w:hanging="288"/>
        <w:spacing w:after="0"/>
        <w:tabs>
          <w:tab w:leader="none" w:pos="6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control the risk structure of newly acquired assets and liabilities or</w:t>
      </w:r>
    </w:p>
    <w:p>
      <w:pPr>
        <w:spacing w:after="0" w:line="225" w:lineRule="exact"/>
        <w:rPr>
          <w:rFonts w:ascii="Arial" w:cs="Arial" w:eastAsia="Arial" w:hAnsi="Arial"/>
          <w:sz w:val="18"/>
          <w:szCs w:val="18"/>
          <w:color w:val="auto"/>
        </w:rPr>
      </w:pPr>
    </w:p>
    <w:p>
      <w:pPr>
        <w:ind w:left="620" w:hanging="288"/>
        <w:spacing w:after="0"/>
        <w:tabs>
          <w:tab w:leader="none" w:pos="6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use derivative instruments to modify the market risk characteristics of existing assets or liabilities or assets expected to be purchased.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Interest rate risk is the risk we will incur economic losses due to adverse changes in interest rates. We are exposed to interest rate risk from several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sources:</w:t>
      </w:r>
    </w:p>
    <w:p>
      <w:pPr>
        <w:spacing w:after="0" w:line="211" w:lineRule="exact"/>
        <w:rPr>
          <w:sz w:val="20"/>
          <w:szCs w:val="20"/>
          <w:color w:val="auto"/>
        </w:rPr>
      </w:pPr>
    </w:p>
    <w:p>
      <w:pPr>
        <w:ind w:left="660" w:right="200" w:hanging="328"/>
        <w:spacing w:after="0" w:line="277" w:lineRule="auto"/>
        <w:tabs>
          <w:tab w:leader="none" w:pos="624" w:val="left"/>
        </w:tabs>
        <w:numPr>
          <w:ilvl w:val="0"/>
          <w:numId w:val="46"/>
        </w:numPr>
        <w:rPr>
          <w:rFonts w:ascii="Arial" w:cs="Arial" w:eastAsia="Arial" w:hAnsi="Arial"/>
          <w:sz w:val="18"/>
          <w:szCs w:val="18"/>
          <w:color w:val="auto"/>
        </w:rPr>
      </w:pPr>
      <w:r>
        <w:rPr>
          <w:rFonts w:ascii="Arial" w:cs="Arial" w:eastAsia="Arial" w:hAnsi="Arial"/>
          <w:sz w:val="18"/>
          <w:szCs w:val="18"/>
          <w:color w:val="auto"/>
        </w:rPr>
        <w:t>Due to the inherent difficulty in obtaining assets that mature or have their rate reset at the exact same time as the liabilities they support, assets may have to be reinvested or sold in the future to meet the liability cash flows in unknown interest rate environments.</w:t>
      </w:r>
    </w:p>
    <w:p>
      <w:pPr>
        <w:spacing w:after="0" w:line="170" w:lineRule="exact"/>
        <w:rPr>
          <w:rFonts w:ascii="Arial" w:cs="Arial" w:eastAsia="Arial" w:hAnsi="Arial"/>
          <w:sz w:val="18"/>
          <w:szCs w:val="18"/>
          <w:color w:val="auto"/>
        </w:rPr>
      </w:pPr>
    </w:p>
    <w:p>
      <w:pPr>
        <w:ind w:left="660" w:right="300" w:hanging="328"/>
        <w:spacing w:after="0" w:line="277" w:lineRule="auto"/>
        <w:tabs>
          <w:tab w:leader="none" w:pos="624"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There may be timing differences between when new liabilities are priced and when assets are purchased or procured that can cause fluctuations in profitability if interest rates move materially in the interim.</w:t>
      </w:r>
    </w:p>
    <w:p>
      <w:pPr>
        <w:spacing w:after="0" w:line="170" w:lineRule="exact"/>
        <w:rPr>
          <w:rFonts w:ascii="Arial" w:cs="Arial" w:eastAsia="Arial" w:hAnsi="Arial"/>
          <w:sz w:val="18"/>
          <w:szCs w:val="18"/>
          <w:color w:val="auto"/>
        </w:rPr>
      </w:pPr>
    </w:p>
    <w:p>
      <w:pPr>
        <w:ind w:left="620" w:hanging="288"/>
        <w:spacing w:after="0"/>
        <w:tabs>
          <w:tab w:leader="none" w:pos="6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Prepayment options embedded within asset and liability contracts can alter the cash flow profiles from what was</w:t>
      </w:r>
    </w:p>
    <w:p>
      <w:pPr>
        <w:sectPr>
          <w:pgSz w:w="11900" w:h="16838" w:orient="portrait"/>
          <w:cols w:equalWidth="0" w:num="1">
            <w:col w:w="11420"/>
          </w:cols>
          <w:pgMar w:left="240" w:top="125" w:right="239" w:bottom="80"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103505</wp:posOffset>
            </wp:positionV>
            <wp:extent cx="7267575" cy="298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80" w:gutter="0" w:footer="0" w:header="0"/>
          <w:type w:val="continuous"/>
        </w:sectPr>
      </w:pPr>
    </w:p>
    <w:bookmarkStart w:id="91" w:name="page92"/>
    <w:bookmarkEnd w:id="91"/>
    <w:p>
      <w:pPr>
        <w:spacing w:after="0" w:line="62"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originally expected.</w:t>
      </w:r>
    </w:p>
    <w:p>
      <w:pPr>
        <w:spacing w:after="0" w:line="23" w:lineRule="exact"/>
        <w:rPr>
          <w:sz w:val="20"/>
          <w:szCs w:val="20"/>
          <w:color w:val="auto"/>
        </w:rPr>
      </w:pPr>
    </w:p>
    <w:p>
      <w:pPr>
        <w:ind w:left="660" w:right="340" w:hanging="328"/>
        <w:spacing w:after="0" w:line="250" w:lineRule="auto"/>
        <w:tabs>
          <w:tab w:leader="none" w:pos="624"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spreads between the investment income we earn and the interest we credit to customers who own products with guaranteed minimum interest rates may decrease (or potentially become negative) during periods of sustained low interest rates.</w:t>
      </w:r>
    </w:p>
    <w:p>
      <w:pPr>
        <w:ind w:left="660" w:right="160" w:hanging="328"/>
        <w:spacing w:after="0" w:line="250" w:lineRule="auto"/>
        <w:tabs>
          <w:tab w:leader="none" w:pos="624" w:val="left"/>
        </w:tabs>
        <w:numPr>
          <w:ilvl w:val="0"/>
          <w:numId w:val="47"/>
        </w:numPr>
        <w:rPr>
          <w:rFonts w:ascii="Arial" w:cs="Arial" w:eastAsia="Arial" w:hAnsi="Arial"/>
          <w:sz w:val="18"/>
          <w:szCs w:val="18"/>
          <w:color w:val="auto"/>
        </w:rPr>
      </w:pPr>
      <w:r>
        <w:rPr>
          <w:rFonts w:ascii="Arial" w:cs="Arial" w:eastAsia="Arial" w:hAnsi="Arial"/>
          <w:sz w:val="18"/>
          <w:szCs w:val="18"/>
          <w:color w:val="auto"/>
        </w:rPr>
        <w:t>During periods of sustained low interest rates, the interest rates that we earn on our assets may be lower than the rates assumed in pricing our insurance products, thereby reducing our profitability. If interest rates remain low over a sustained period of time, this may result in increases in our reserves and/or unlocking of our DAC asset and other actuarial balances.</w:t>
      </w:r>
    </w:p>
    <w:p>
      <w:pPr>
        <w:spacing w:after="0" w:line="1" w:lineRule="exact"/>
        <w:rPr>
          <w:rFonts w:ascii="Arial" w:cs="Arial" w:eastAsia="Arial" w:hAnsi="Arial"/>
          <w:sz w:val="18"/>
          <w:szCs w:val="18"/>
          <w:color w:val="auto"/>
        </w:rPr>
      </w:pPr>
    </w:p>
    <w:p>
      <w:pPr>
        <w:ind w:left="660" w:right="60" w:hanging="328"/>
        <w:spacing w:after="0" w:line="265" w:lineRule="auto"/>
        <w:tabs>
          <w:tab w:leader="none" w:pos="624" w:val="left"/>
        </w:tabs>
        <w:numPr>
          <w:ilvl w:val="0"/>
          <w:numId w:val="47"/>
        </w:numPr>
        <w:rPr>
          <w:rFonts w:ascii="Arial" w:cs="Arial" w:eastAsia="Arial" w:hAnsi="Arial"/>
          <w:sz w:val="17"/>
          <w:szCs w:val="17"/>
          <w:color w:val="auto"/>
        </w:rPr>
      </w:pPr>
      <w:r>
        <w:rPr>
          <w:rFonts w:ascii="Arial" w:cs="Arial" w:eastAsia="Arial" w:hAnsi="Arial"/>
          <w:sz w:val="17"/>
          <w:szCs w:val="17"/>
          <w:color w:val="auto"/>
        </w:rPr>
        <w:t>During periods of rising interest rates, policy surrenders, withdrawals, and requests for policy loans may increase as customers seek to achieve higher returns. This may result in unlocking of our DAC and other actuarial balances. We may be required to sell assets to raise the cash necessary to respond to such surrenders, withdrawals and loans, thereby realizing capital losses on the assets sold. In addition, the value of fixed income assets we manage may decline in periods of rising interest rates, resulting in lower fee revenue that we may collect.</w:t>
      </w:r>
    </w:p>
    <w:p>
      <w:pPr>
        <w:ind w:left="660" w:right="120" w:hanging="328"/>
        <w:spacing w:after="0" w:line="250" w:lineRule="auto"/>
        <w:tabs>
          <w:tab w:leader="none" w:pos="624" w:val="left"/>
        </w:tabs>
        <w:numPr>
          <w:ilvl w:val="0"/>
          <w:numId w:val="47"/>
        </w:numPr>
        <w:rPr>
          <w:rFonts w:ascii="Arial" w:cs="Arial" w:eastAsia="Arial" w:hAnsi="Arial"/>
          <w:sz w:val="18"/>
          <w:szCs w:val="18"/>
          <w:color w:val="auto"/>
        </w:rPr>
      </w:pPr>
      <w:r>
        <w:rPr>
          <w:rFonts w:ascii="Arial" w:cs="Arial" w:eastAsia="Arial" w:hAnsi="Arial"/>
          <w:sz w:val="18"/>
          <w:szCs w:val="18"/>
          <w:color w:val="auto"/>
        </w:rPr>
        <w:t>For our long-term borrowings, we are exposed to interest rate risk at the time of maturity or early redemption, when we may be required to refinance our obligations.</w:t>
      </w:r>
    </w:p>
    <w:p>
      <w:pPr>
        <w:ind w:left="660" w:right="560" w:hanging="328"/>
        <w:spacing w:after="0" w:line="261" w:lineRule="auto"/>
        <w:tabs>
          <w:tab w:leader="none" w:pos="624" w:val="left"/>
        </w:tabs>
        <w:numPr>
          <w:ilvl w:val="0"/>
          <w:numId w:val="47"/>
        </w:numPr>
        <w:rPr>
          <w:rFonts w:ascii="Arial" w:cs="Arial" w:eastAsia="Arial" w:hAnsi="Arial"/>
          <w:sz w:val="18"/>
          <w:szCs w:val="18"/>
          <w:color w:val="auto"/>
        </w:rPr>
      </w:pPr>
      <w:r>
        <w:rPr>
          <w:rFonts w:ascii="Arial" w:cs="Arial" w:eastAsia="Arial" w:hAnsi="Arial"/>
          <w:sz w:val="18"/>
          <w:szCs w:val="18"/>
          <w:color w:val="auto"/>
        </w:rPr>
        <w:t>We are exposed to interest rate risk based upon the discount rate assumption used for purposes of valuing our pension and other postretirement benefit obligations.</w:t>
      </w:r>
    </w:p>
    <w:p>
      <w:pPr>
        <w:spacing w:after="0" w:line="184" w:lineRule="exact"/>
        <w:rPr>
          <w:sz w:val="20"/>
          <w:szCs w:val="20"/>
          <w:color w:val="auto"/>
        </w:rPr>
      </w:pPr>
    </w:p>
    <w:p>
      <w:pPr>
        <w:ind w:right="100" w:firstLine="648"/>
        <w:spacing w:after="0" w:line="253" w:lineRule="auto"/>
        <w:rPr>
          <w:sz w:val="20"/>
          <w:szCs w:val="20"/>
          <w:color w:val="auto"/>
        </w:rPr>
      </w:pPr>
      <w:r>
        <w:rPr>
          <w:rFonts w:ascii="Arial" w:cs="Arial" w:eastAsia="Arial" w:hAnsi="Arial"/>
          <w:sz w:val="18"/>
          <w:szCs w:val="18"/>
          <w:color w:val="auto"/>
        </w:rPr>
        <w:t>An increase in market interest rates may cause the fair value of our financial assets to decline. The reduction in the fair value of our financial assets would be partly offset by a corresponding reduction in the fair value of our financial liabilities. The following tables show the net estimated potential loss in fair value at a total company level from a hypothetical 100 basis point immediate, parallel increase in interest rates as of September 30, 2015, and December 31, 2014. Our selection of a 100 basis point immediate, parallel increase in interest rates is a hypothetical rate scenario we use to demonstrate potential risk. While a 100 basis point immediate, parallel increase does not represent our view of future market changes, it is a near term reasonably possible hypothetical change that illustrates the potential impact of such events. While these fair value measurements provide a representation of interest rate sensitivity, they are based on our portfolio exposures at a point in time and may not be representative of future market results. These exposures will change as a result of ongoing portfolio transactions in response to new business, management’s assessment of changing market conditions and available investment opportunities.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3240" w:type="dxa"/>
            <w:vAlign w:val="bottom"/>
            <w:tcBorders>
              <w:bottom w:val="single" w:sz="8" w:color="auto"/>
            </w:tcBorders>
            <w:gridSpan w:val="3"/>
          </w:tcPr>
          <w:p>
            <w:pPr>
              <w:jc w:val="center"/>
              <w:ind w:right="395"/>
              <w:spacing w:after="0"/>
              <w:rPr>
                <w:sz w:val="20"/>
                <w:szCs w:val="20"/>
                <w:color w:val="auto"/>
              </w:rPr>
            </w:pPr>
            <w:r>
              <w:rPr>
                <w:rFonts w:ascii="Arial" w:cs="Arial" w:eastAsia="Arial" w:hAnsi="Arial"/>
                <w:sz w:val="14"/>
                <w:szCs w:val="14"/>
                <w:b w:val="1"/>
                <w:bCs w:val="1"/>
                <w:color w:val="auto"/>
                <w:w w:val="91"/>
              </w:rPr>
              <w:t>September 30, 2015</w:t>
            </w:r>
          </w:p>
        </w:tc>
        <w:tc>
          <w:tcPr>
            <w:tcW w:w="1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6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40" w:type="dxa"/>
            <w:vAlign w:val="bottom"/>
          </w:tcPr>
          <w:p>
            <w:pPr>
              <w:jc w:val="center"/>
              <w:ind w:right="315"/>
              <w:spacing w:after="0" w:line="119" w:lineRule="exact"/>
              <w:rPr>
                <w:sz w:val="20"/>
                <w:szCs w:val="20"/>
                <w:color w:val="auto"/>
              </w:rPr>
            </w:pPr>
            <w:r>
              <w:rPr>
                <w:rFonts w:ascii="Arial" w:cs="Arial" w:eastAsia="Arial" w:hAnsi="Arial"/>
                <w:sz w:val="13"/>
                <w:szCs w:val="13"/>
                <w:b w:val="1"/>
                <w:bCs w:val="1"/>
                <w:color w:val="auto"/>
              </w:rPr>
              <w:t>Hypothetical fair</w:t>
            </w:r>
          </w:p>
        </w:tc>
        <w:tc>
          <w:tcPr>
            <w:tcW w:w="180" w:type="dxa"/>
            <w:vAlign w:val="bottom"/>
          </w:tcPr>
          <w:p>
            <w:pPr>
              <w:spacing w:after="0"/>
              <w:rPr>
                <w:sz w:val="10"/>
                <w:szCs w:val="10"/>
                <w:color w:val="auto"/>
              </w:rPr>
            </w:pPr>
          </w:p>
        </w:tc>
        <w:tc>
          <w:tcPr>
            <w:tcW w:w="12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Hypothetical</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380" w:type="dxa"/>
            <w:vAlign w:val="bottom"/>
            <w:vMerge w:val="restart"/>
          </w:tcPr>
          <w:p>
            <w:pPr>
              <w:jc w:val="center"/>
              <w:ind w:right="255"/>
              <w:spacing w:after="0"/>
              <w:rPr>
                <w:sz w:val="20"/>
                <w:szCs w:val="20"/>
                <w:color w:val="auto"/>
              </w:rPr>
            </w:pPr>
            <w:r>
              <w:rPr>
                <w:rFonts w:ascii="Arial" w:cs="Arial" w:eastAsia="Arial" w:hAnsi="Arial"/>
                <w:sz w:val="14"/>
                <w:szCs w:val="14"/>
                <w:b w:val="1"/>
                <w:bCs w:val="1"/>
                <w:color w:val="auto"/>
                <w:w w:val="92"/>
              </w:rPr>
              <w:t>Asset (liability)</w:t>
            </w:r>
          </w:p>
        </w:tc>
        <w:tc>
          <w:tcPr>
            <w:tcW w:w="220" w:type="dxa"/>
            <w:vAlign w:val="bottom"/>
          </w:tcPr>
          <w:p>
            <w:pPr>
              <w:spacing w:after="0"/>
              <w:rPr>
                <w:sz w:val="12"/>
                <w:szCs w:val="12"/>
                <w:color w:val="auto"/>
              </w:rPr>
            </w:pPr>
          </w:p>
        </w:tc>
        <w:tc>
          <w:tcPr>
            <w:tcW w:w="1640" w:type="dxa"/>
            <w:vAlign w:val="bottom"/>
          </w:tcPr>
          <w:p>
            <w:pPr>
              <w:jc w:val="center"/>
              <w:ind w:right="315"/>
              <w:spacing w:after="0" w:line="149" w:lineRule="exact"/>
              <w:rPr>
                <w:sz w:val="20"/>
                <w:szCs w:val="20"/>
                <w:color w:val="auto"/>
              </w:rPr>
            </w:pPr>
            <w:r>
              <w:rPr>
                <w:rFonts w:ascii="Arial" w:cs="Arial" w:eastAsia="Arial" w:hAnsi="Arial"/>
                <w:sz w:val="14"/>
                <w:szCs w:val="14"/>
                <w:b w:val="1"/>
                <w:bCs w:val="1"/>
                <w:color w:val="auto"/>
                <w:w w:val="94"/>
              </w:rPr>
              <w:t>value after +100</w:t>
            </w:r>
          </w:p>
        </w:tc>
        <w:tc>
          <w:tcPr>
            <w:tcW w:w="18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60" w:type="dxa"/>
            <w:vAlign w:val="bottom"/>
            <w:vMerge w:val="restart"/>
          </w:tcPr>
          <w:p>
            <w:pPr>
              <w:jc w:val="right"/>
              <w:ind w:right="474"/>
              <w:spacing w:after="0"/>
              <w:rPr>
                <w:sz w:val="20"/>
                <w:szCs w:val="20"/>
                <w:color w:val="auto"/>
              </w:rPr>
            </w:pPr>
            <w:r>
              <w:rPr>
                <w:rFonts w:ascii="Arial" w:cs="Arial" w:eastAsia="Arial" w:hAnsi="Arial"/>
                <w:sz w:val="14"/>
                <w:szCs w:val="14"/>
                <w:b w:val="1"/>
                <w:bCs w:val="1"/>
                <w:color w:val="auto"/>
              </w:rPr>
              <w:t>Notional</w:t>
            </w:r>
          </w:p>
        </w:tc>
        <w:tc>
          <w:tcPr>
            <w:tcW w:w="320" w:type="dxa"/>
            <w:vAlign w:val="bottom"/>
          </w:tcPr>
          <w:p>
            <w:pPr>
              <w:spacing w:after="0"/>
              <w:rPr>
                <w:sz w:val="12"/>
                <w:szCs w:val="12"/>
                <w:color w:val="auto"/>
              </w:rPr>
            </w:pPr>
          </w:p>
        </w:tc>
        <w:tc>
          <w:tcPr>
            <w:tcW w:w="13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tcPr>
          <w:p>
            <w:pPr>
              <w:jc w:val="center"/>
              <w:ind w:right="315"/>
              <w:spacing w:after="0" w:line="149" w:lineRule="exact"/>
              <w:rPr>
                <w:sz w:val="20"/>
                <w:szCs w:val="20"/>
                <w:color w:val="auto"/>
              </w:rPr>
            </w:pPr>
            <w:r>
              <w:rPr>
                <w:rFonts w:ascii="Arial" w:cs="Arial" w:eastAsia="Arial" w:hAnsi="Arial"/>
                <w:sz w:val="14"/>
                <w:szCs w:val="14"/>
                <w:b w:val="1"/>
                <w:bCs w:val="1"/>
                <w:color w:val="auto"/>
                <w:w w:val="91"/>
              </w:rPr>
              <w:t>basis point parallel</w:t>
            </w:r>
          </w:p>
        </w:tc>
        <w:tc>
          <w:tcPr>
            <w:tcW w:w="18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changes in</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6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1380" w:type="dxa"/>
            <w:vAlign w:val="bottom"/>
          </w:tcPr>
          <w:p>
            <w:pPr>
              <w:jc w:val="center"/>
              <w:ind w:right="255"/>
              <w:spacing w:after="0"/>
              <w:rPr>
                <w:sz w:val="20"/>
                <w:szCs w:val="20"/>
                <w:color w:val="auto"/>
              </w:rPr>
            </w:pPr>
            <w:r>
              <w:rPr>
                <w:rFonts w:ascii="Arial" w:cs="Arial" w:eastAsia="Arial" w:hAnsi="Arial"/>
                <w:sz w:val="14"/>
                <w:szCs w:val="14"/>
                <w:b w:val="1"/>
                <w:bCs w:val="1"/>
                <w:color w:val="auto"/>
                <w:w w:val="97"/>
              </w:rPr>
              <w:t>fair value</w:t>
            </w:r>
          </w:p>
        </w:tc>
        <w:tc>
          <w:tcPr>
            <w:tcW w:w="220" w:type="dxa"/>
            <w:vAlign w:val="bottom"/>
          </w:tcPr>
          <w:p>
            <w:pPr>
              <w:spacing w:after="0"/>
              <w:rPr>
                <w:sz w:val="14"/>
                <w:szCs w:val="14"/>
                <w:color w:val="auto"/>
              </w:rPr>
            </w:pPr>
          </w:p>
        </w:tc>
        <w:tc>
          <w:tcPr>
            <w:tcW w:w="1640" w:type="dxa"/>
            <w:vAlign w:val="bottom"/>
          </w:tcPr>
          <w:p>
            <w:pPr>
              <w:jc w:val="center"/>
              <w:ind w:right="295"/>
              <w:spacing w:after="0"/>
              <w:rPr>
                <w:sz w:val="20"/>
                <w:szCs w:val="20"/>
                <w:color w:val="auto"/>
              </w:rPr>
            </w:pPr>
            <w:r>
              <w:rPr>
                <w:rFonts w:ascii="Arial" w:cs="Arial" w:eastAsia="Arial" w:hAnsi="Arial"/>
                <w:sz w:val="14"/>
                <w:szCs w:val="14"/>
                <w:b w:val="1"/>
                <w:bCs w:val="1"/>
                <w:color w:val="auto"/>
                <w:w w:val="91"/>
              </w:rPr>
              <w:t>yield curve shift</w:t>
            </w:r>
          </w:p>
        </w:tc>
        <w:tc>
          <w:tcPr>
            <w:tcW w:w="180" w:type="dxa"/>
            <w:vAlign w:val="bottom"/>
          </w:tcPr>
          <w:p>
            <w:pPr>
              <w:spacing w:after="0"/>
              <w:rPr>
                <w:sz w:val="14"/>
                <w:szCs w:val="14"/>
                <w:color w:val="auto"/>
              </w:rPr>
            </w:pPr>
          </w:p>
        </w:tc>
        <w:tc>
          <w:tcPr>
            <w:tcW w:w="12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fair value</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3240" w:type="dxa"/>
            <w:vAlign w:val="bottom"/>
            <w:tcBorders>
              <w:top w:val="single" w:sz="8" w:color="auto"/>
            </w:tcBorders>
            <w:gridSpan w:val="3"/>
          </w:tcPr>
          <w:p>
            <w:pPr>
              <w:jc w:val="center"/>
              <w:ind w:right="415"/>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8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assets with interest rate risk:</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Fixed maturities, available-for-sale</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380" w:type="dxa"/>
            <w:vAlign w:val="bottom"/>
          </w:tcPr>
          <w:p>
            <w:pPr>
              <w:jc w:val="right"/>
              <w:ind w:right="95"/>
              <w:spacing w:after="0"/>
              <w:rPr>
                <w:sz w:val="20"/>
                <w:szCs w:val="20"/>
                <w:color w:val="auto"/>
              </w:rPr>
            </w:pPr>
            <w:r>
              <w:rPr>
                <w:rFonts w:ascii="Arial" w:cs="Arial" w:eastAsia="Arial" w:hAnsi="Arial"/>
                <w:sz w:val="18"/>
                <w:szCs w:val="18"/>
                <w:b w:val="1"/>
                <w:bCs w:val="1"/>
                <w:color w:val="auto"/>
              </w:rPr>
              <w:t>49,780.6</w:t>
            </w:r>
          </w:p>
        </w:tc>
        <w:tc>
          <w:tcPr>
            <w:tcW w:w="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40" w:type="dxa"/>
            <w:vAlign w:val="bottom"/>
          </w:tcPr>
          <w:p>
            <w:pPr>
              <w:jc w:val="right"/>
              <w:ind w:right="195"/>
              <w:spacing w:after="0"/>
              <w:rPr>
                <w:sz w:val="20"/>
                <w:szCs w:val="20"/>
                <w:color w:val="auto"/>
              </w:rPr>
            </w:pPr>
            <w:r>
              <w:rPr>
                <w:rFonts w:ascii="Arial" w:cs="Arial" w:eastAsia="Arial" w:hAnsi="Arial"/>
                <w:sz w:val="18"/>
                <w:szCs w:val="18"/>
                <w:b w:val="1"/>
                <w:bCs w:val="1"/>
                <w:color w:val="auto"/>
              </w:rPr>
              <w:t>47,400.0</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(2,380.6)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Fixed maturities, trading</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95"/>
              <w:spacing w:after="0"/>
              <w:rPr>
                <w:sz w:val="20"/>
                <w:szCs w:val="20"/>
                <w:color w:val="auto"/>
              </w:rPr>
            </w:pPr>
            <w:r>
              <w:rPr>
                <w:rFonts w:ascii="Arial" w:cs="Arial" w:eastAsia="Arial" w:hAnsi="Arial"/>
                <w:sz w:val="18"/>
                <w:szCs w:val="18"/>
                <w:b w:val="1"/>
                <w:bCs w:val="1"/>
                <w:color w:val="auto"/>
              </w:rPr>
              <w:t>710.2</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95"/>
              <w:spacing w:after="0"/>
              <w:rPr>
                <w:sz w:val="20"/>
                <w:szCs w:val="20"/>
                <w:color w:val="auto"/>
              </w:rPr>
            </w:pPr>
            <w:r>
              <w:rPr>
                <w:rFonts w:ascii="Arial" w:cs="Arial" w:eastAsia="Arial" w:hAnsi="Arial"/>
                <w:sz w:val="18"/>
                <w:szCs w:val="18"/>
                <w:b w:val="1"/>
                <w:bCs w:val="1"/>
                <w:color w:val="auto"/>
              </w:rPr>
              <w:t>685.4</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Mortgage loans</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jc w:val="right"/>
              <w:ind w:right="95"/>
              <w:spacing w:after="0"/>
              <w:rPr>
                <w:sz w:val="20"/>
                <w:szCs w:val="20"/>
                <w:color w:val="auto"/>
              </w:rPr>
            </w:pPr>
            <w:r>
              <w:rPr>
                <w:rFonts w:ascii="Arial" w:cs="Arial" w:eastAsia="Arial" w:hAnsi="Arial"/>
                <w:sz w:val="18"/>
                <w:szCs w:val="18"/>
                <w:b w:val="1"/>
                <w:bCs w:val="1"/>
                <w:color w:val="auto"/>
              </w:rPr>
              <w:t>12,752.8</w:t>
            </w:r>
          </w:p>
        </w:tc>
        <w:tc>
          <w:tcPr>
            <w:tcW w:w="220" w:type="dxa"/>
            <w:vAlign w:val="bottom"/>
          </w:tcPr>
          <w:p>
            <w:pPr>
              <w:spacing w:after="0"/>
              <w:rPr>
                <w:sz w:val="18"/>
                <w:szCs w:val="18"/>
                <w:color w:val="auto"/>
              </w:rPr>
            </w:pPr>
          </w:p>
        </w:tc>
        <w:tc>
          <w:tcPr>
            <w:tcW w:w="1640" w:type="dxa"/>
            <w:vAlign w:val="bottom"/>
          </w:tcPr>
          <w:p>
            <w:pPr>
              <w:jc w:val="right"/>
              <w:ind w:right="195"/>
              <w:spacing w:after="0"/>
              <w:rPr>
                <w:sz w:val="20"/>
                <w:szCs w:val="20"/>
                <w:color w:val="auto"/>
              </w:rPr>
            </w:pPr>
            <w:r>
              <w:rPr>
                <w:rFonts w:ascii="Arial" w:cs="Arial" w:eastAsia="Arial" w:hAnsi="Arial"/>
                <w:sz w:val="18"/>
                <w:szCs w:val="18"/>
                <w:b w:val="1"/>
                <w:bCs w:val="1"/>
                <w:color w:val="auto"/>
              </w:rPr>
              <w:t>12,210.4</w:t>
            </w: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(542.4)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Policy loans</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95"/>
              <w:spacing w:after="0"/>
              <w:rPr>
                <w:sz w:val="20"/>
                <w:szCs w:val="20"/>
                <w:color w:val="auto"/>
              </w:rPr>
            </w:pPr>
            <w:r>
              <w:rPr>
                <w:rFonts w:ascii="Arial" w:cs="Arial" w:eastAsia="Arial" w:hAnsi="Arial"/>
                <w:sz w:val="18"/>
                <w:szCs w:val="18"/>
                <w:b w:val="1"/>
                <w:bCs w:val="1"/>
                <w:color w:val="auto"/>
              </w:rPr>
              <w:t>1,049.0</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95"/>
              <w:spacing w:after="0"/>
              <w:rPr>
                <w:sz w:val="20"/>
                <w:szCs w:val="20"/>
                <w:color w:val="auto"/>
              </w:rPr>
            </w:pPr>
            <w:r>
              <w:rPr>
                <w:rFonts w:ascii="Arial" w:cs="Arial" w:eastAsia="Arial" w:hAnsi="Arial"/>
                <w:sz w:val="18"/>
                <w:szCs w:val="18"/>
                <w:b w:val="1"/>
                <w:bCs w:val="1"/>
                <w:color w:val="auto"/>
              </w:rPr>
              <w:t>952.5</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(96.5)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Equity securities, available-for-sale</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jc w:val="right"/>
              <w:ind w:right="95"/>
              <w:spacing w:after="0"/>
              <w:rPr>
                <w:sz w:val="20"/>
                <w:szCs w:val="20"/>
                <w:color w:val="auto"/>
              </w:rPr>
            </w:pPr>
            <w:r>
              <w:rPr>
                <w:rFonts w:ascii="Arial" w:cs="Arial" w:eastAsia="Arial" w:hAnsi="Arial"/>
                <w:sz w:val="18"/>
                <w:szCs w:val="18"/>
                <w:b w:val="1"/>
                <w:bCs w:val="1"/>
                <w:color w:val="auto"/>
              </w:rPr>
              <w:t>315.8</w:t>
            </w:r>
          </w:p>
        </w:tc>
        <w:tc>
          <w:tcPr>
            <w:tcW w:w="220" w:type="dxa"/>
            <w:vAlign w:val="bottom"/>
          </w:tcPr>
          <w:p>
            <w:pPr>
              <w:spacing w:after="0"/>
              <w:rPr>
                <w:sz w:val="18"/>
                <w:szCs w:val="18"/>
                <w:color w:val="auto"/>
              </w:rPr>
            </w:pPr>
          </w:p>
        </w:tc>
        <w:tc>
          <w:tcPr>
            <w:tcW w:w="1640" w:type="dxa"/>
            <w:vAlign w:val="bottom"/>
          </w:tcPr>
          <w:p>
            <w:pPr>
              <w:jc w:val="right"/>
              <w:ind w:right="195"/>
              <w:spacing w:after="0"/>
              <w:rPr>
                <w:sz w:val="20"/>
                <w:szCs w:val="20"/>
                <w:color w:val="auto"/>
              </w:rPr>
            </w:pPr>
            <w:r>
              <w:rPr>
                <w:rFonts w:ascii="Arial" w:cs="Arial" w:eastAsia="Arial" w:hAnsi="Arial"/>
                <w:sz w:val="18"/>
                <w:szCs w:val="18"/>
                <w:b w:val="1"/>
                <w:bCs w:val="1"/>
                <w:color w:val="auto"/>
              </w:rPr>
              <w:t>302.6</w:t>
            </w: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Equity securities, trading</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95"/>
              <w:spacing w:after="0"/>
              <w:rPr>
                <w:sz w:val="20"/>
                <w:szCs w:val="20"/>
                <w:color w:val="auto"/>
              </w:rPr>
            </w:pPr>
            <w:r>
              <w:rPr>
                <w:rFonts w:ascii="Arial" w:cs="Arial" w:eastAsia="Arial" w:hAnsi="Arial"/>
                <w:sz w:val="18"/>
                <w:szCs w:val="18"/>
                <w:b w:val="1"/>
                <w:bCs w:val="1"/>
                <w:color w:val="auto"/>
              </w:rPr>
              <w:t>402.6</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95"/>
              <w:spacing w:after="0"/>
              <w:rPr>
                <w:sz w:val="20"/>
                <w:szCs w:val="20"/>
                <w:color w:val="auto"/>
              </w:rPr>
            </w:pPr>
            <w:r>
              <w:rPr>
                <w:rFonts w:ascii="Arial" w:cs="Arial" w:eastAsia="Arial" w:hAnsi="Arial"/>
                <w:sz w:val="18"/>
                <w:szCs w:val="18"/>
                <w:b w:val="1"/>
                <w:bCs w:val="1"/>
                <w:color w:val="auto"/>
              </w:rPr>
              <w:t>386.3</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(16.3)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Other investments</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jc w:val="right"/>
              <w:ind w:right="95"/>
              <w:spacing w:after="0"/>
              <w:rPr>
                <w:sz w:val="20"/>
                <w:szCs w:val="20"/>
                <w:color w:val="auto"/>
              </w:rPr>
            </w:pPr>
            <w:r>
              <w:rPr>
                <w:rFonts w:ascii="Arial" w:cs="Arial" w:eastAsia="Arial" w:hAnsi="Arial"/>
                <w:sz w:val="18"/>
                <w:szCs w:val="18"/>
                <w:b w:val="1"/>
                <w:bCs w:val="1"/>
                <w:color w:val="auto"/>
              </w:rPr>
              <w:t>52.1</w:t>
            </w:r>
          </w:p>
        </w:tc>
        <w:tc>
          <w:tcPr>
            <w:tcW w:w="220" w:type="dxa"/>
            <w:vAlign w:val="bottom"/>
          </w:tcPr>
          <w:p>
            <w:pPr>
              <w:spacing w:after="0"/>
              <w:rPr>
                <w:sz w:val="18"/>
                <w:szCs w:val="18"/>
                <w:color w:val="auto"/>
              </w:rPr>
            </w:pPr>
          </w:p>
        </w:tc>
        <w:tc>
          <w:tcPr>
            <w:tcW w:w="1640" w:type="dxa"/>
            <w:vAlign w:val="bottom"/>
          </w:tcPr>
          <w:p>
            <w:pPr>
              <w:jc w:val="right"/>
              <w:ind w:right="195"/>
              <w:spacing w:after="0"/>
              <w:rPr>
                <w:sz w:val="20"/>
                <w:szCs w:val="20"/>
                <w:color w:val="auto"/>
              </w:rPr>
            </w:pPr>
            <w:r>
              <w:rPr>
                <w:rFonts w:ascii="Arial" w:cs="Arial" w:eastAsia="Arial" w:hAnsi="Arial"/>
                <w:sz w:val="18"/>
                <w:szCs w:val="18"/>
                <w:b w:val="1"/>
                <w:bCs w:val="1"/>
                <w:color w:val="auto"/>
              </w:rPr>
              <w:t>54.9</w:t>
            </w:r>
          </w:p>
        </w:tc>
        <w:tc>
          <w:tcPr>
            <w:tcW w:w="18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6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gridSpan w:val="2"/>
          </w:tcPr>
          <w:p>
            <w:pPr>
              <w:spacing w:after="0"/>
              <w:rPr>
                <w:sz w:val="20"/>
                <w:szCs w:val="20"/>
                <w:color w:val="auto"/>
              </w:rPr>
            </w:pPr>
            <w:r>
              <w:rPr>
                <w:rFonts w:ascii="Arial" w:cs="Arial" w:eastAsia="Arial" w:hAnsi="Arial"/>
                <w:sz w:val="18"/>
                <w:szCs w:val="18"/>
                <w:color w:val="auto"/>
              </w:rPr>
              <w:t>Financial liabilities with interest rate risk:</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Investment-type insurance contracts</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35"/>
              <w:spacing w:after="0"/>
              <w:rPr>
                <w:sz w:val="20"/>
                <w:szCs w:val="20"/>
                <w:color w:val="auto"/>
              </w:rPr>
            </w:pPr>
            <w:r>
              <w:rPr>
                <w:rFonts w:ascii="Arial" w:cs="Arial" w:eastAsia="Arial" w:hAnsi="Arial"/>
                <w:sz w:val="18"/>
                <w:szCs w:val="18"/>
                <w:b w:val="1"/>
                <w:bCs w:val="1"/>
                <w:color w:val="auto"/>
              </w:rPr>
              <w:t>(28,492.2)</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35"/>
              <w:spacing w:after="0"/>
              <w:rPr>
                <w:sz w:val="20"/>
                <w:szCs w:val="20"/>
                <w:color w:val="auto"/>
              </w:rPr>
            </w:pPr>
            <w:r>
              <w:rPr>
                <w:rFonts w:ascii="Arial" w:cs="Arial" w:eastAsia="Arial" w:hAnsi="Arial"/>
                <w:sz w:val="18"/>
                <w:szCs w:val="18"/>
                <w:b w:val="1"/>
                <w:bCs w:val="1"/>
                <w:color w:val="auto"/>
              </w:rPr>
              <w:t>(27,655.2)</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837.0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Long-term debt</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jc w:val="right"/>
              <w:ind w:right="35"/>
              <w:spacing w:after="0"/>
              <w:rPr>
                <w:sz w:val="20"/>
                <w:szCs w:val="20"/>
                <w:color w:val="auto"/>
              </w:rPr>
            </w:pPr>
            <w:r>
              <w:rPr>
                <w:rFonts w:ascii="Arial" w:cs="Arial" w:eastAsia="Arial" w:hAnsi="Arial"/>
                <w:sz w:val="18"/>
                <w:szCs w:val="18"/>
                <w:b w:val="1"/>
                <w:bCs w:val="1"/>
                <w:color w:val="auto"/>
              </w:rPr>
              <w:t>(3,431.0)</w:t>
            </w:r>
          </w:p>
        </w:tc>
        <w:tc>
          <w:tcPr>
            <w:tcW w:w="220" w:type="dxa"/>
            <w:vAlign w:val="bottom"/>
          </w:tcPr>
          <w:p>
            <w:pPr>
              <w:spacing w:after="0"/>
              <w:rPr>
                <w:sz w:val="18"/>
                <w:szCs w:val="18"/>
                <w:color w:val="auto"/>
              </w:rPr>
            </w:pPr>
          </w:p>
        </w:tc>
        <w:tc>
          <w:tcPr>
            <w:tcW w:w="1640" w:type="dxa"/>
            <w:vAlign w:val="bottom"/>
          </w:tcPr>
          <w:p>
            <w:pPr>
              <w:jc w:val="right"/>
              <w:ind w:right="135"/>
              <w:spacing w:after="0"/>
              <w:rPr>
                <w:sz w:val="20"/>
                <w:szCs w:val="20"/>
                <w:color w:val="auto"/>
              </w:rPr>
            </w:pPr>
            <w:r>
              <w:rPr>
                <w:rFonts w:ascii="Arial" w:cs="Arial" w:eastAsia="Arial" w:hAnsi="Arial"/>
                <w:sz w:val="18"/>
                <w:szCs w:val="18"/>
                <w:b w:val="1"/>
                <w:bCs w:val="1"/>
                <w:color w:val="auto"/>
              </w:rPr>
              <w:t>(3,163.6)</w:t>
            </w:r>
          </w:p>
        </w:tc>
        <w:tc>
          <w:tcPr>
            <w:tcW w:w="18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267.4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Bank deposits</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35"/>
              <w:spacing w:after="0"/>
              <w:rPr>
                <w:sz w:val="20"/>
                <w:szCs w:val="20"/>
                <w:color w:val="auto"/>
              </w:rPr>
            </w:pPr>
            <w:r>
              <w:rPr>
                <w:rFonts w:ascii="Arial" w:cs="Arial" w:eastAsia="Arial" w:hAnsi="Arial"/>
                <w:sz w:val="18"/>
                <w:szCs w:val="18"/>
                <w:b w:val="1"/>
                <w:bCs w:val="1"/>
                <w:color w:val="auto"/>
              </w:rPr>
              <w:t>(2,008.7)</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35"/>
              <w:spacing w:after="0"/>
              <w:rPr>
                <w:sz w:val="20"/>
                <w:szCs w:val="20"/>
                <w:color w:val="auto"/>
              </w:rPr>
            </w:pPr>
            <w:r>
              <w:rPr>
                <w:rFonts w:ascii="Arial" w:cs="Arial" w:eastAsia="Arial" w:hAnsi="Arial"/>
                <w:sz w:val="18"/>
                <w:szCs w:val="18"/>
                <w:b w:val="1"/>
                <w:bCs w:val="1"/>
                <w:color w:val="auto"/>
              </w:rPr>
              <w:t>(1,999.6)</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9.1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Derivatives with interest rate risk:</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Interest rate swaps</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60" w:type="dxa"/>
            <w:vAlign w:val="bottom"/>
          </w:tcPr>
          <w:p>
            <w:pPr>
              <w:jc w:val="right"/>
              <w:ind w:right="54"/>
              <w:spacing w:after="0"/>
              <w:rPr>
                <w:sz w:val="20"/>
                <w:szCs w:val="20"/>
                <w:color w:val="auto"/>
              </w:rPr>
            </w:pPr>
            <w:r>
              <w:rPr>
                <w:rFonts w:ascii="Arial" w:cs="Arial" w:eastAsia="Arial" w:hAnsi="Arial"/>
                <w:sz w:val="18"/>
                <w:szCs w:val="18"/>
                <w:b w:val="1"/>
                <w:bCs w:val="1"/>
                <w:color w:val="auto"/>
              </w:rPr>
              <w:t>21,931.0</w:t>
            </w:r>
          </w:p>
        </w:tc>
        <w:tc>
          <w:tcPr>
            <w:tcW w:w="320" w:type="dxa"/>
            <w:vAlign w:val="bottom"/>
          </w:tcPr>
          <w:p>
            <w:pPr>
              <w:spacing w:after="0"/>
              <w:rPr>
                <w:sz w:val="18"/>
                <w:szCs w:val="18"/>
                <w:color w:val="auto"/>
              </w:rPr>
            </w:pPr>
          </w:p>
        </w:tc>
        <w:tc>
          <w:tcPr>
            <w:tcW w:w="1380" w:type="dxa"/>
            <w:vAlign w:val="bottom"/>
          </w:tcPr>
          <w:p>
            <w:pPr>
              <w:jc w:val="right"/>
              <w:ind w:right="95"/>
              <w:spacing w:after="0"/>
              <w:rPr>
                <w:sz w:val="20"/>
                <w:szCs w:val="20"/>
                <w:color w:val="auto"/>
              </w:rPr>
            </w:pPr>
            <w:r>
              <w:rPr>
                <w:rFonts w:ascii="Arial" w:cs="Arial" w:eastAsia="Arial" w:hAnsi="Arial"/>
                <w:sz w:val="18"/>
                <w:szCs w:val="18"/>
                <w:b w:val="1"/>
                <w:bCs w:val="1"/>
                <w:color w:val="auto"/>
              </w:rPr>
              <w:t>97.9</w:t>
            </w:r>
          </w:p>
        </w:tc>
        <w:tc>
          <w:tcPr>
            <w:tcW w:w="220" w:type="dxa"/>
            <w:vAlign w:val="bottom"/>
          </w:tcPr>
          <w:p>
            <w:pPr>
              <w:spacing w:after="0"/>
              <w:rPr>
                <w:sz w:val="18"/>
                <w:szCs w:val="18"/>
                <w:color w:val="auto"/>
              </w:rPr>
            </w:pPr>
          </w:p>
        </w:tc>
        <w:tc>
          <w:tcPr>
            <w:tcW w:w="1640" w:type="dxa"/>
            <w:vAlign w:val="bottom"/>
          </w:tcPr>
          <w:p>
            <w:pPr>
              <w:jc w:val="right"/>
              <w:ind w:right="135"/>
              <w:spacing w:after="0"/>
              <w:rPr>
                <w:sz w:val="20"/>
                <w:szCs w:val="20"/>
                <w:color w:val="auto"/>
              </w:rPr>
            </w:pPr>
            <w:r>
              <w:rPr>
                <w:rFonts w:ascii="Arial" w:cs="Arial" w:eastAsia="Arial" w:hAnsi="Arial"/>
                <w:sz w:val="18"/>
                <w:szCs w:val="18"/>
                <w:b w:val="1"/>
                <w:bCs w:val="1"/>
                <w:color w:val="auto"/>
              </w:rPr>
              <w:t>(273.9)</w:t>
            </w: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(371.8)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Currency swaps</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4"/>
              <w:spacing w:after="0"/>
              <w:rPr>
                <w:sz w:val="20"/>
                <w:szCs w:val="20"/>
                <w:color w:val="auto"/>
              </w:rPr>
            </w:pPr>
            <w:r>
              <w:rPr>
                <w:rFonts w:ascii="Arial" w:cs="Arial" w:eastAsia="Arial" w:hAnsi="Arial"/>
                <w:sz w:val="18"/>
                <w:szCs w:val="18"/>
                <w:b w:val="1"/>
                <w:bCs w:val="1"/>
                <w:color w:val="auto"/>
              </w:rPr>
              <w:t>1,831.6</w:t>
            </w: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35"/>
              <w:spacing w:after="0"/>
              <w:rPr>
                <w:sz w:val="20"/>
                <w:szCs w:val="20"/>
                <w:color w:val="auto"/>
              </w:rPr>
            </w:pPr>
            <w:r>
              <w:rPr>
                <w:rFonts w:ascii="Arial" w:cs="Arial" w:eastAsia="Arial" w:hAnsi="Arial"/>
                <w:sz w:val="18"/>
                <w:szCs w:val="18"/>
                <w:b w:val="1"/>
                <w:bCs w:val="1"/>
                <w:color w:val="auto"/>
              </w:rPr>
              <w:t>(78.3)</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35"/>
              <w:spacing w:after="0"/>
              <w:rPr>
                <w:sz w:val="20"/>
                <w:szCs w:val="20"/>
                <w:color w:val="auto"/>
              </w:rPr>
            </w:pPr>
            <w:r>
              <w:rPr>
                <w:rFonts w:ascii="Arial" w:cs="Arial" w:eastAsia="Arial" w:hAnsi="Arial"/>
                <w:sz w:val="18"/>
                <w:szCs w:val="18"/>
                <w:b w:val="1"/>
                <w:bCs w:val="1"/>
                <w:color w:val="auto"/>
              </w:rPr>
              <w:t>(85.3)</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Equity options</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jc w:val="right"/>
              <w:ind w:right="54"/>
              <w:spacing w:after="0"/>
              <w:rPr>
                <w:sz w:val="20"/>
                <w:szCs w:val="20"/>
                <w:color w:val="auto"/>
              </w:rPr>
            </w:pPr>
            <w:r>
              <w:rPr>
                <w:rFonts w:ascii="Arial" w:cs="Arial" w:eastAsia="Arial" w:hAnsi="Arial"/>
                <w:sz w:val="18"/>
                <w:szCs w:val="18"/>
                <w:b w:val="1"/>
                <w:bCs w:val="1"/>
                <w:color w:val="auto"/>
              </w:rPr>
              <w:t>3,558.2</w:t>
            </w:r>
          </w:p>
        </w:tc>
        <w:tc>
          <w:tcPr>
            <w:tcW w:w="320" w:type="dxa"/>
            <w:vAlign w:val="bottom"/>
          </w:tcPr>
          <w:p>
            <w:pPr>
              <w:spacing w:after="0"/>
              <w:rPr>
                <w:sz w:val="18"/>
                <w:szCs w:val="18"/>
                <w:color w:val="auto"/>
              </w:rPr>
            </w:pPr>
          </w:p>
        </w:tc>
        <w:tc>
          <w:tcPr>
            <w:tcW w:w="1380" w:type="dxa"/>
            <w:vAlign w:val="bottom"/>
          </w:tcPr>
          <w:p>
            <w:pPr>
              <w:jc w:val="right"/>
              <w:ind w:right="35"/>
              <w:spacing w:after="0"/>
              <w:rPr>
                <w:sz w:val="20"/>
                <w:szCs w:val="20"/>
                <w:color w:val="auto"/>
              </w:rPr>
            </w:pPr>
            <w:r>
              <w:rPr>
                <w:rFonts w:ascii="Arial" w:cs="Arial" w:eastAsia="Arial" w:hAnsi="Arial"/>
                <w:sz w:val="18"/>
                <w:szCs w:val="18"/>
                <w:b w:val="1"/>
                <w:bCs w:val="1"/>
                <w:color w:val="auto"/>
              </w:rPr>
              <w:t>(19.4)</w:t>
            </w:r>
          </w:p>
        </w:tc>
        <w:tc>
          <w:tcPr>
            <w:tcW w:w="220" w:type="dxa"/>
            <w:vAlign w:val="bottom"/>
          </w:tcPr>
          <w:p>
            <w:pPr>
              <w:spacing w:after="0"/>
              <w:rPr>
                <w:sz w:val="18"/>
                <w:szCs w:val="18"/>
                <w:color w:val="auto"/>
              </w:rPr>
            </w:pPr>
          </w:p>
        </w:tc>
        <w:tc>
          <w:tcPr>
            <w:tcW w:w="1640" w:type="dxa"/>
            <w:vAlign w:val="bottom"/>
          </w:tcPr>
          <w:p>
            <w:pPr>
              <w:jc w:val="right"/>
              <w:ind w:right="135"/>
              <w:spacing w:after="0"/>
              <w:rPr>
                <w:sz w:val="20"/>
                <w:szCs w:val="20"/>
                <w:color w:val="auto"/>
              </w:rPr>
            </w:pPr>
            <w:r>
              <w:rPr>
                <w:rFonts w:ascii="Arial" w:cs="Arial" w:eastAsia="Arial" w:hAnsi="Arial"/>
                <w:sz w:val="18"/>
                <w:szCs w:val="18"/>
                <w:b w:val="1"/>
                <w:bCs w:val="1"/>
                <w:color w:val="auto"/>
              </w:rPr>
              <w:t>(87.2)</w:t>
            </w: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(67.8)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Interest rate options</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4"/>
              <w:spacing w:after="0"/>
              <w:rPr>
                <w:sz w:val="20"/>
                <w:szCs w:val="20"/>
                <w:color w:val="auto"/>
              </w:rPr>
            </w:pPr>
            <w:r>
              <w:rPr>
                <w:rFonts w:ascii="Arial" w:cs="Arial" w:eastAsia="Arial" w:hAnsi="Arial"/>
                <w:sz w:val="18"/>
                <w:szCs w:val="18"/>
                <w:b w:val="1"/>
                <w:bCs w:val="1"/>
                <w:color w:val="auto"/>
              </w:rPr>
              <w:t>4,900.0</w:t>
            </w: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95"/>
              <w:spacing w:after="0"/>
              <w:rPr>
                <w:sz w:val="20"/>
                <w:szCs w:val="20"/>
                <w:color w:val="auto"/>
              </w:rPr>
            </w:pPr>
            <w:r>
              <w:rPr>
                <w:rFonts w:ascii="Arial" w:cs="Arial" w:eastAsia="Arial" w:hAnsi="Arial"/>
                <w:sz w:val="18"/>
                <w:szCs w:val="18"/>
                <w:b w:val="1"/>
                <w:bCs w:val="1"/>
                <w:color w:val="auto"/>
              </w:rPr>
              <w:t>39.3</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95"/>
              <w:spacing w:after="0"/>
              <w:rPr>
                <w:sz w:val="20"/>
                <w:szCs w:val="20"/>
                <w:color w:val="auto"/>
              </w:rPr>
            </w:pPr>
            <w:r>
              <w:rPr>
                <w:rFonts w:ascii="Arial" w:cs="Arial" w:eastAsia="Arial" w:hAnsi="Arial"/>
                <w:sz w:val="18"/>
                <w:szCs w:val="18"/>
                <w:b w:val="1"/>
                <w:bCs w:val="1"/>
                <w:color w:val="auto"/>
              </w:rPr>
              <w:t>31.7</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Swaptions</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jc w:val="right"/>
              <w:ind w:right="54"/>
              <w:spacing w:after="0"/>
              <w:rPr>
                <w:sz w:val="20"/>
                <w:szCs w:val="20"/>
                <w:color w:val="auto"/>
              </w:rPr>
            </w:pPr>
            <w:r>
              <w:rPr>
                <w:rFonts w:ascii="Arial" w:cs="Arial" w:eastAsia="Arial" w:hAnsi="Arial"/>
                <w:sz w:val="18"/>
                <w:szCs w:val="18"/>
                <w:b w:val="1"/>
                <w:bCs w:val="1"/>
                <w:color w:val="auto"/>
              </w:rPr>
              <w:t>159.0</w:t>
            </w:r>
          </w:p>
        </w:tc>
        <w:tc>
          <w:tcPr>
            <w:tcW w:w="320" w:type="dxa"/>
            <w:vAlign w:val="bottom"/>
          </w:tcPr>
          <w:p>
            <w:pPr>
              <w:spacing w:after="0"/>
              <w:rPr>
                <w:sz w:val="18"/>
                <w:szCs w:val="18"/>
                <w:color w:val="auto"/>
              </w:rPr>
            </w:pPr>
          </w:p>
        </w:tc>
        <w:tc>
          <w:tcPr>
            <w:tcW w:w="1380" w:type="dxa"/>
            <w:vAlign w:val="bottom"/>
          </w:tcPr>
          <w:p>
            <w:pPr>
              <w:jc w:val="right"/>
              <w:ind w:right="95"/>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640" w:type="dxa"/>
            <w:vAlign w:val="bottom"/>
          </w:tcPr>
          <w:p>
            <w:pPr>
              <w:jc w:val="right"/>
              <w:ind w:right="195"/>
              <w:spacing w:after="0"/>
              <w:rPr>
                <w:sz w:val="20"/>
                <w:szCs w:val="20"/>
                <w:color w:val="auto"/>
              </w:rPr>
            </w:pPr>
            <w:r>
              <w:rPr>
                <w:rFonts w:ascii="Arial" w:cs="Arial" w:eastAsia="Arial" w:hAnsi="Arial"/>
                <w:sz w:val="18"/>
                <w:szCs w:val="18"/>
                <w:b w:val="1"/>
                <w:bCs w:val="1"/>
                <w:color w:val="auto"/>
              </w:rPr>
              <w:t>0.3</w:t>
            </w:r>
          </w:p>
        </w:tc>
        <w:tc>
          <w:tcPr>
            <w:tcW w:w="18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0.3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Interest rate futures</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4"/>
              <w:spacing w:after="0"/>
              <w:rPr>
                <w:sz w:val="20"/>
                <w:szCs w:val="20"/>
                <w:color w:val="auto"/>
              </w:rPr>
            </w:pPr>
            <w:r>
              <w:rPr>
                <w:rFonts w:ascii="Arial" w:cs="Arial" w:eastAsia="Arial" w:hAnsi="Arial"/>
                <w:sz w:val="18"/>
                <w:szCs w:val="18"/>
                <w:b w:val="1"/>
                <w:bCs w:val="1"/>
                <w:color w:val="auto"/>
              </w:rPr>
              <w:t>173.5</w:t>
            </w: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35"/>
              <w:spacing w:after="0"/>
              <w:rPr>
                <w:sz w:val="20"/>
                <w:szCs w:val="20"/>
                <w:color w:val="auto"/>
              </w:rPr>
            </w:pPr>
            <w:r>
              <w:rPr>
                <w:rFonts w:ascii="Arial" w:cs="Arial" w:eastAsia="Arial" w:hAnsi="Arial"/>
                <w:sz w:val="18"/>
                <w:szCs w:val="18"/>
                <w:b w:val="1"/>
                <w:bCs w:val="1"/>
                <w:color w:val="auto"/>
              </w:rPr>
              <w:t>(1.5)</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95"/>
              <w:spacing w:after="0"/>
              <w:rPr>
                <w:sz w:val="20"/>
                <w:szCs w:val="20"/>
                <w:color w:val="auto"/>
              </w:rPr>
            </w:pPr>
            <w:r>
              <w:rPr>
                <w:rFonts w:ascii="Arial" w:cs="Arial" w:eastAsia="Arial" w:hAnsi="Arial"/>
                <w:sz w:val="18"/>
                <w:szCs w:val="18"/>
                <w:b w:val="1"/>
                <w:bCs w:val="1"/>
                <w:color w:val="auto"/>
              </w:rPr>
              <w:t>9.0</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estimated potential loss in fair value</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(2,400.9)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266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bottom w:val="single" w:sz="8" w:color="CCEEFF"/>
            </w:tcBorders>
            <w:vMerge w:val="restart"/>
          </w:tcPr>
          <w:p>
            <w:pPr>
              <w:jc w:val="right"/>
              <w:ind w:right="474"/>
              <w:spacing w:after="0"/>
              <w:rPr>
                <w:sz w:val="20"/>
                <w:szCs w:val="20"/>
                <w:color w:val="auto"/>
              </w:rPr>
            </w:pPr>
            <w:r>
              <w:rPr>
                <w:rFonts w:ascii="Arial" w:cs="Arial" w:eastAsia="Arial" w:hAnsi="Arial"/>
                <w:sz w:val="18"/>
                <w:szCs w:val="18"/>
                <w:color w:val="auto"/>
              </w:rPr>
              <w:t>128</w:t>
            </w:r>
          </w:p>
        </w:tc>
        <w:tc>
          <w:tcPr>
            <w:tcW w:w="32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80" w:type="dxa"/>
            <w:vAlign w:val="bottom"/>
            <w:tcBorders>
              <w:bottom w:val="single" w:sz="8" w:color="808080"/>
            </w:tcBorders>
            <w:gridSpan w:val="2"/>
          </w:tcPr>
          <w:p>
            <w:pPr>
              <w:spacing w:after="0"/>
              <w:rPr>
                <w:sz w:val="11"/>
                <w:szCs w:val="11"/>
                <w:color w:val="auto"/>
              </w:rPr>
            </w:pPr>
          </w:p>
        </w:tc>
        <w:tc>
          <w:tcPr>
            <w:tcW w:w="266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126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38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164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23"/>
        </w:trPr>
        <w:tc>
          <w:tcPr>
            <w:tcW w:w="3940" w:type="dxa"/>
            <w:vAlign w:val="bottom"/>
            <w:gridSpan w:val="3"/>
          </w:tcPr>
          <w:p>
            <w:pPr>
              <w:spacing w:after="0"/>
              <w:rPr>
                <w:rFonts w:ascii="Arial" w:cs="Arial" w:eastAsia="Arial" w:hAnsi="Arial"/>
                <w:sz w:val="18"/>
                <w:szCs w:val="18"/>
                <w:color w:val="0000EE"/>
              </w:rPr>
            </w:pPr>
            <w:hyperlink w:anchor="page1">
              <w:r>
                <w:rPr>
                  <w:rFonts w:ascii="Arial" w:cs="Arial" w:eastAsia="Arial" w:hAnsi="Arial"/>
                  <w:sz w:val="18"/>
                  <w:szCs w:val="18"/>
                  <w:color w:val="0000EE"/>
                </w:rPr>
                <w:t>Table of Contents</w:t>
              </w:r>
            </w:hyperlink>
          </w:p>
        </w:tc>
        <w:tc>
          <w:tcPr>
            <w:tcW w:w="9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26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gridSpan w:val="3"/>
          </w:tcPr>
          <w:p>
            <w:pPr>
              <w:jc w:val="center"/>
              <w:ind w:right="395"/>
              <w:spacing w:after="0"/>
              <w:rPr>
                <w:sz w:val="20"/>
                <w:szCs w:val="20"/>
                <w:color w:val="auto"/>
              </w:rPr>
            </w:pPr>
            <w:r>
              <w:rPr>
                <w:rFonts w:ascii="Arial" w:cs="Arial" w:eastAsia="Arial" w:hAnsi="Arial"/>
                <w:sz w:val="14"/>
                <w:szCs w:val="14"/>
                <w:b w:val="1"/>
                <w:bCs w:val="1"/>
                <w:color w:val="auto"/>
                <w:w w:val="91"/>
              </w:rPr>
              <w:t>December 31, 2014</w:t>
            </w:r>
          </w:p>
        </w:tc>
        <w:tc>
          <w:tcPr>
            <w:tcW w:w="1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6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40" w:type="dxa"/>
            <w:vAlign w:val="bottom"/>
          </w:tcPr>
          <w:p>
            <w:pPr>
              <w:jc w:val="center"/>
              <w:ind w:right="315"/>
              <w:spacing w:after="0" w:line="119" w:lineRule="exact"/>
              <w:rPr>
                <w:sz w:val="20"/>
                <w:szCs w:val="20"/>
                <w:color w:val="auto"/>
              </w:rPr>
            </w:pPr>
            <w:r>
              <w:rPr>
                <w:rFonts w:ascii="Arial" w:cs="Arial" w:eastAsia="Arial" w:hAnsi="Arial"/>
                <w:sz w:val="13"/>
                <w:szCs w:val="13"/>
                <w:b w:val="1"/>
                <w:bCs w:val="1"/>
                <w:color w:val="auto"/>
              </w:rPr>
              <w:t>Hypothetical fair</w:t>
            </w:r>
          </w:p>
        </w:tc>
        <w:tc>
          <w:tcPr>
            <w:tcW w:w="180" w:type="dxa"/>
            <w:vAlign w:val="bottom"/>
          </w:tcPr>
          <w:p>
            <w:pPr>
              <w:spacing w:after="0"/>
              <w:rPr>
                <w:sz w:val="10"/>
                <w:szCs w:val="10"/>
                <w:color w:val="auto"/>
              </w:rPr>
            </w:pPr>
          </w:p>
        </w:tc>
        <w:tc>
          <w:tcPr>
            <w:tcW w:w="12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Hypothetical</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380" w:type="dxa"/>
            <w:vAlign w:val="bottom"/>
            <w:vMerge w:val="restart"/>
          </w:tcPr>
          <w:p>
            <w:pPr>
              <w:jc w:val="center"/>
              <w:ind w:right="255"/>
              <w:spacing w:after="0"/>
              <w:rPr>
                <w:sz w:val="20"/>
                <w:szCs w:val="20"/>
                <w:color w:val="auto"/>
              </w:rPr>
            </w:pPr>
            <w:r>
              <w:rPr>
                <w:rFonts w:ascii="Arial" w:cs="Arial" w:eastAsia="Arial" w:hAnsi="Arial"/>
                <w:sz w:val="14"/>
                <w:szCs w:val="14"/>
                <w:b w:val="1"/>
                <w:bCs w:val="1"/>
                <w:color w:val="auto"/>
                <w:w w:val="92"/>
              </w:rPr>
              <w:t>Asset (liability)</w:t>
            </w:r>
          </w:p>
        </w:tc>
        <w:tc>
          <w:tcPr>
            <w:tcW w:w="220" w:type="dxa"/>
            <w:vAlign w:val="bottom"/>
          </w:tcPr>
          <w:p>
            <w:pPr>
              <w:spacing w:after="0"/>
              <w:rPr>
                <w:sz w:val="12"/>
                <w:szCs w:val="12"/>
                <w:color w:val="auto"/>
              </w:rPr>
            </w:pPr>
          </w:p>
        </w:tc>
        <w:tc>
          <w:tcPr>
            <w:tcW w:w="1640" w:type="dxa"/>
            <w:vAlign w:val="bottom"/>
          </w:tcPr>
          <w:p>
            <w:pPr>
              <w:jc w:val="center"/>
              <w:ind w:right="315"/>
              <w:spacing w:after="0" w:line="149" w:lineRule="exact"/>
              <w:rPr>
                <w:sz w:val="20"/>
                <w:szCs w:val="20"/>
                <w:color w:val="auto"/>
              </w:rPr>
            </w:pPr>
            <w:r>
              <w:rPr>
                <w:rFonts w:ascii="Arial" w:cs="Arial" w:eastAsia="Arial" w:hAnsi="Arial"/>
                <w:sz w:val="14"/>
                <w:szCs w:val="14"/>
                <w:b w:val="1"/>
                <w:bCs w:val="1"/>
                <w:color w:val="auto"/>
                <w:w w:val="94"/>
              </w:rPr>
              <w:t>value after +100</w:t>
            </w:r>
          </w:p>
        </w:tc>
        <w:tc>
          <w:tcPr>
            <w:tcW w:w="18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60" w:type="dxa"/>
            <w:vAlign w:val="bottom"/>
            <w:vMerge w:val="restart"/>
          </w:tcPr>
          <w:p>
            <w:pPr>
              <w:jc w:val="right"/>
              <w:ind w:right="474"/>
              <w:spacing w:after="0"/>
              <w:rPr>
                <w:sz w:val="20"/>
                <w:szCs w:val="20"/>
                <w:color w:val="auto"/>
              </w:rPr>
            </w:pPr>
            <w:r>
              <w:rPr>
                <w:rFonts w:ascii="Arial" w:cs="Arial" w:eastAsia="Arial" w:hAnsi="Arial"/>
                <w:sz w:val="14"/>
                <w:szCs w:val="14"/>
                <w:b w:val="1"/>
                <w:bCs w:val="1"/>
                <w:color w:val="auto"/>
              </w:rPr>
              <w:t>Notional</w:t>
            </w:r>
          </w:p>
        </w:tc>
        <w:tc>
          <w:tcPr>
            <w:tcW w:w="320" w:type="dxa"/>
            <w:vAlign w:val="bottom"/>
          </w:tcPr>
          <w:p>
            <w:pPr>
              <w:spacing w:after="0"/>
              <w:rPr>
                <w:sz w:val="12"/>
                <w:szCs w:val="12"/>
                <w:color w:val="auto"/>
              </w:rPr>
            </w:pPr>
          </w:p>
        </w:tc>
        <w:tc>
          <w:tcPr>
            <w:tcW w:w="13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tcPr>
          <w:p>
            <w:pPr>
              <w:jc w:val="center"/>
              <w:ind w:right="315"/>
              <w:spacing w:after="0" w:line="149" w:lineRule="exact"/>
              <w:rPr>
                <w:sz w:val="20"/>
                <w:szCs w:val="20"/>
                <w:color w:val="auto"/>
              </w:rPr>
            </w:pPr>
            <w:r>
              <w:rPr>
                <w:rFonts w:ascii="Arial" w:cs="Arial" w:eastAsia="Arial" w:hAnsi="Arial"/>
                <w:sz w:val="14"/>
                <w:szCs w:val="14"/>
                <w:b w:val="1"/>
                <w:bCs w:val="1"/>
                <w:color w:val="auto"/>
                <w:w w:val="91"/>
              </w:rPr>
              <w:t>basis point parallel</w:t>
            </w:r>
          </w:p>
        </w:tc>
        <w:tc>
          <w:tcPr>
            <w:tcW w:w="18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changes in</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6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1380" w:type="dxa"/>
            <w:vAlign w:val="bottom"/>
          </w:tcPr>
          <w:p>
            <w:pPr>
              <w:jc w:val="center"/>
              <w:ind w:right="255"/>
              <w:spacing w:after="0"/>
              <w:rPr>
                <w:sz w:val="20"/>
                <w:szCs w:val="20"/>
                <w:color w:val="auto"/>
              </w:rPr>
            </w:pPr>
            <w:r>
              <w:rPr>
                <w:rFonts w:ascii="Arial" w:cs="Arial" w:eastAsia="Arial" w:hAnsi="Arial"/>
                <w:sz w:val="14"/>
                <w:szCs w:val="14"/>
                <w:b w:val="1"/>
                <w:bCs w:val="1"/>
                <w:color w:val="auto"/>
                <w:w w:val="97"/>
              </w:rPr>
              <w:t>fair value</w:t>
            </w:r>
          </w:p>
        </w:tc>
        <w:tc>
          <w:tcPr>
            <w:tcW w:w="220" w:type="dxa"/>
            <w:vAlign w:val="bottom"/>
          </w:tcPr>
          <w:p>
            <w:pPr>
              <w:spacing w:after="0"/>
              <w:rPr>
                <w:sz w:val="14"/>
                <w:szCs w:val="14"/>
                <w:color w:val="auto"/>
              </w:rPr>
            </w:pPr>
          </w:p>
        </w:tc>
        <w:tc>
          <w:tcPr>
            <w:tcW w:w="1640" w:type="dxa"/>
            <w:vAlign w:val="bottom"/>
          </w:tcPr>
          <w:p>
            <w:pPr>
              <w:jc w:val="center"/>
              <w:ind w:right="295"/>
              <w:spacing w:after="0"/>
              <w:rPr>
                <w:sz w:val="20"/>
                <w:szCs w:val="20"/>
                <w:color w:val="auto"/>
              </w:rPr>
            </w:pPr>
            <w:r>
              <w:rPr>
                <w:rFonts w:ascii="Arial" w:cs="Arial" w:eastAsia="Arial" w:hAnsi="Arial"/>
                <w:sz w:val="14"/>
                <w:szCs w:val="14"/>
                <w:b w:val="1"/>
                <w:bCs w:val="1"/>
                <w:color w:val="auto"/>
                <w:w w:val="91"/>
              </w:rPr>
              <w:t>yield curve shift</w:t>
            </w:r>
          </w:p>
        </w:tc>
        <w:tc>
          <w:tcPr>
            <w:tcW w:w="180" w:type="dxa"/>
            <w:vAlign w:val="bottom"/>
          </w:tcPr>
          <w:p>
            <w:pPr>
              <w:spacing w:after="0"/>
              <w:rPr>
                <w:sz w:val="14"/>
                <w:szCs w:val="14"/>
                <w:color w:val="auto"/>
              </w:rPr>
            </w:pPr>
          </w:p>
        </w:tc>
        <w:tc>
          <w:tcPr>
            <w:tcW w:w="12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fair value</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3240" w:type="dxa"/>
            <w:vAlign w:val="bottom"/>
            <w:tcBorders>
              <w:top w:val="single" w:sz="8" w:color="auto"/>
            </w:tcBorders>
            <w:gridSpan w:val="3"/>
          </w:tcPr>
          <w:p>
            <w:pPr>
              <w:jc w:val="center"/>
              <w:ind w:right="415"/>
              <w:spacing w:after="0" w:line="142" w:lineRule="exact"/>
              <w:rPr>
                <w:sz w:val="20"/>
                <w:szCs w:val="20"/>
                <w:color w:val="auto"/>
              </w:rPr>
            </w:pPr>
            <w:r>
              <w:rPr>
                <w:rFonts w:ascii="Arial" w:cs="Arial" w:eastAsia="Arial" w:hAnsi="Arial"/>
                <w:sz w:val="14"/>
                <w:szCs w:val="14"/>
                <w:b w:val="1"/>
                <w:bCs w:val="1"/>
                <w:color w:val="auto"/>
                <w:w w:val="94"/>
              </w:rPr>
              <w:t>(in millions)</w:t>
            </w:r>
          </w:p>
        </w:tc>
        <w:tc>
          <w:tcPr>
            <w:tcW w:w="180" w:type="dxa"/>
            <w:vAlign w:val="bottom"/>
            <w:tcBorders>
              <w:top w:val="single" w:sz="8" w:color="auto"/>
            </w:tcBorders>
          </w:tcPr>
          <w:p>
            <w:pPr>
              <w:spacing w:after="0"/>
              <w:rPr>
                <w:sz w:val="12"/>
                <w:szCs w:val="12"/>
                <w:color w:val="auto"/>
              </w:rPr>
            </w:pPr>
          </w:p>
        </w:tc>
        <w:tc>
          <w:tcPr>
            <w:tcW w:w="11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assets with interest rate risk:</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Fixed maturities, available-for-sale</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380" w:type="dxa"/>
            <w:vAlign w:val="bottom"/>
          </w:tcPr>
          <w:p>
            <w:pPr>
              <w:jc w:val="right"/>
              <w:ind w:right="95"/>
              <w:spacing w:after="0"/>
              <w:rPr>
                <w:sz w:val="20"/>
                <w:szCs w:val="20"/>
                <w:color w:val="auto"/>
              </w:rPr>
            </w:pPr>
            <w:r>
              <w:rPr>
                <w:rFonts w:ascii="Arial" w:cs="Arial" w:eastAsia="Arial" w:hAnsi="Arial"/>
                <w:sz w:val="18"/>
                <w:szCs w:val="18"/>
                <w:color w:val="auto"/>
              </w:rPr>
              <w:t>49,670.8</w:t>
            </w:r>
          </w:p>
        </w:tc>
        <w:tc>
          <w:tcPr>
            <w:tcW w:w="2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40" w:type="dxa"/>
            <w:vAlign w:val="bottom"/>
          </w:tcPr>
          <w:p>
            <w:pPr>
              <w:jc w:val="right"/>
              <w:ind w:right="195"/>
              <w:spacing w:after="0"/>
              <w:rPr>
                <w:sz w:val="20"/>
                <w:szCs w:val="20"/>
                <w:color w:val="auto"/>
              </w:rPr>
            </w:pPr>
            <w:r>
              <w:rPr>
                <w:rFonts w:ascii="Arial" w:cs="Arial" w:eastAsia="Arial" w:hAnsi="Arial"/>
                <w:sz w:val="18"/>
                <w:szCs w:val="18"/>
                <w:color w:val="auto"/>
              </w:rPr>
              <w:t>47,225.5</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(2,445.3)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Fixed maturities, trading</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95"/>
              <w:spacing w:after="0"/>
              <w:rPr>
                <w:sz w:val="20"/>
                <w:szCs w:val="20"/>
                <w:color w:val="auto"/>
              </w:rPr>
            </w:pPr>
            <w:r>
              <w:rPr>
                <w:rFonts w:ascii="Arial" w:cs="Arial" w:eastAsia="Arial" w:hAnsi="Arial"/>
                <w:sz w:val="18"/>
                <w:szCs w:val="18"/>
                <w:color w:val="auto"/>
              </w:rPr>
              <w:t>604.6</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95"/>
              <w:spacing w:after="0"/>
              <w:rPr>
                <w:sz w:val="20"/>
                <w:szCs w:val="20"/>
                <w:color w:val="auto"/>
              </w:rPr>
            </w:pPr>
            <w:r>
              <w:rPr>
                <w:rFonts w:ascii="Arial" w:cs="Arial" w:eastAsia="Arial" w:hAnsi="Arial"/>
                <w:sz w:val="18"/>
                <w:szCs w:val="18"/>
                <w:color w:val="auto"/>
              </w:rPr>
              <w:t>583.8</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Mortgage loans</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jc w:val="right"/>
              <w:ind w:right="95"/>
              <w:spacing w:after="0"/>
              <w:rPr>
                <w:sz w:val="20"/>
                <w:szCs w:val="20"/>
                <w:color w:val="auto"/>
              </w:rPr>
            </w:pPr>
            <w:r>
              <w:rPr>
                <w:rFonts w:ascii="Arial" w:cs="Arial" w:eastAsia="Arial" w:hAnsi="Arial"/>
                <w:sz w:val="18"/>
                <w:szCs w:val="18"/>
                <w:color w:val="auto"/>
              </w:rPr>
              <w:t>12,350.2</w:t>
            </w:r>
          </w:p>
        </w:tc>
        <w:tc>
          <w:tcPr>
            <w:tcW w:w="220" w:type="dxa"/>
            <w:vAlign w:val="bottom"/>
          </w:tcPr>
          <w:p>
            <w:pPr>
              <w:spacing w:after="0"/>
              <w:rPr>
                <w:sz w:val="18"/>
                <w:szCs w:val="18"/>
                <w:color w:val="auto"/>
              </w:rPr>
            </w:pPr>
          </w:p>
        </w:tc>
        <w:tc>
          <w:tcPr>
            <w:tcW w:w="1640" w:type="dxa"/>
            <w:vAlign w:val="bottom"/>
          </w:tcPr>
          <w:p>
            <w:pPr>
              <w:jc w:val="right"/>
              <w:ind w:right="195"/>
              <w:spacing w:after="0"/>
              <w:rPr>
                <w:sz w:val="20"/>
                <w:szCs w:val="20"/>
                <w:color w:val="auto"/>
              </w:rPr>
            </w:pPr>
            <w:r>
              <w:rPr>
                <w:rFonts w:ascii="Arial" w:cs="Arial" w:eastAsia="Arial" w:hAnsi="Arial"/>
                <w:sz w:val="18"/>
                <w:szCs w:val="18"/>
                <w:color w:val="auto"/>
              </w:rPr>
              <w:t>11,811.9</w:t>
            </w: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(538.3)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Policy loans</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95"/>
              <w:spacing w:after="0"/>
              <w:rPr>
                <w:sz w:val="20"/>
                <w:szCs w:val="20"/>
                <w:color w:val="auto"/>
              </w:rPr>
            </w:pPr>
            <w:r>
              <w:rPr>
                <w:rFonts w:ascii="Arial" w:cs="Arial" w:eastAsia="Arial" w:hAnsi="Arial"/>
                <w:sz w:val="18"/>
                <w:szCs w:val="18"/>
                <w:color w:val="auto"/>
              </w:rPr>
              <w:t>1,083.2</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95"/>
              <w:spacing w:after="0"/>
              <w:rPr>
                <w:sz w:val="20"/>
                <w:szCs w:val="20"/>
                <w:color w:val="auto"/>
              </w:rPr>
            </w:pPr>
            <w:r>
              <w:rPr>
                <w:rFonts w:ascii="Arial" w:cs="Arial" w:eastAsia="Arial" w:hAnsi="Arial"/>
                <w:sz w:val="18"/>
                <w:szCs w:val="18"/>
                <w:color w:val="auto"/>
              </w:rPr>
              <w:t>981.6</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Equity securities, trading</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jc w:val="right"/>
              <w:ind w:right="95"/>
              <w:spacing w:after="0"/>
              <w:rPr>
                <w:sz w:val="20"/>
                <w:szCs w:val="20"/>
                <w:color w:val="auto"/>
              </w:rPr>
            </w:pPr>
            <w:r>
              <w:rPr>
                <w:rFonts w:ascii="Arial" w:cs="Arial" w:eastAsia="Arial" w:hAnsi="Arial"/>
                <w:sz w:val="18"/>
                <w:szCs w:val="18"/>
                <w:color w:val="auto"/>
              </w:rPr>
              <w:t>648.5</w:t>
            </w:r>
          </w:p>
        </w:tc>
        <w:tc>
          <w:tcPr>
            <w:tcW w:w="220" w:type="dxa"/>
            <w:vAlign w:val="bottom"/>
          </w:tcPr>
          <w:p>
            <w:pPr>
              <w:spacing w:after="0"/>
              <w:rPr>
                <w:sz w:val="18"/>
                <w:szCs w:val="18"/>
                <w:color w:val="auto"/>
              </w:rPr>
            </w:pPr>
          </w:p>
        </w:tc>
        <w:tc>
          <w:tcPr>
            <w:tcW w:w="1640" w:type="dxa"/>
            <w:vAlign w:val="bottom"/>
          </w:tcPr>
          <w:p>
            <w:pPr>
              <w:jc w:val="right"/>
              <w:ind w:right="195"/>
              <w:spacing w:after="0"/>
              <w:rPr>
                <w:sz w:val="20"/>
                <w:szCs w:val="20"/>
                <w:color w:val="auto"/>
              </w:rPr>
            </w:pPr>
            <w:r>
              <w:rPr>
                <w:rFonts w:ascii="Arial" w:cs="Arial" w:eastAsia="Arial" w:hAnsi="Arial"/>
                <w:sz w:val="18"/>
                <w:szCs w:val="18"/>
                <w:color w:val="auto"/>
              </w:rPr>
              <w:t>626.6</w:t>
            </w: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(21.9)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Other investments</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95"/>
              <w:spacing w:after="0"/>
              <w:rPr>
                <w:sz w:val="20"/>
                <w:szCs w:val="20"/>
                <w:color w:val="auto"/>
              </w:rPr>
            </w:pPr>
            <w:r>
              <w:rPr>
                <w:rFonts w:ascii="Arial" w:cs="Arial" w:eastAsia="Arial" w:hAnsi="Arial"/>
                <w:sz w:val="18"/>
                <w:szCs w:val="18"/>
                <w:color w:val="auto"/>
              </w:rPr>
              <w:t>121.2</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195"/>
              <w:spacing w:after="0"/>
              <w:rPr>
                <w:sz w:val="20"/>
                <w:szCs w:val="20"/>
                <w:color w:val="auto"/>
              </w:rPr>
            </w:pPr>
            <w:r>
              <w:rPr>
                <w:rFonts w:ascii="Arial" w:cs="Arial" w:eastAsia="Arial" w:hAnsi="Arial"/>
                <w:sz w:val="18"/>
                <w:szCs w:val="18"/>
                <w:color w:val="auto"/>
              </w:rPr>
              <w:t>127.3</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26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liabilities with interest rate risk:</w:t>
            </w: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180"/>
              <w:spacing w:after="0"/>
              <w:rPr>
                <w:sz w:val="20"/>
                <w:szCs w:val="20"/>
                <w:color w:val="auto"/>
              </w:rPr>
            </w:pPr>
            <w:r>
              <w:rPr>
                <w:rFonts w:ascii="Arial" w:cs="Arial" w:eastAsia="Arial" w:hAnsi="Arial"/>
                <w:sz w:val="18"/>
                <w:szCs w:val="18"/>
                <w:color w:val="auto"/>
              </w:rPr>
              <w:t>Investment-type insurance contracts</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80" w:type="dxa"/>
            <w:vAlign w:val="bottom"/>
          </w:tcPr>
          <w:p>
            <w:pPr>
              <w:jc w:val="right"/>
              <w:ind w:right="35"/>
              <w:spacing w:after="0"/>
              <w:rPr>
                <w:sz w:val="20"/>
                <w:szCs w:val="20"/>
                <w:color w:val="auto"/>
              </w:rPr>
            </w:pPr>
            <w:r>
              <w:rPr>
                <w:rFonts w:ascii="Arial" w:cs="Arial" w:eastAsia="Arial" w:hAnsi="Arial"/>
                <w:sz w:val="18"/>
                <w:szCs w:val="18"/>
                <w:color w:val="auto"/>
              </w:rPr>
              <w:t>(28,499.1)</w:t>
            </w:r>
          </w:p>
        </w:tc>
        <w:tc>
          <w:tcPr>
            <w:tcW w:w="220" w:type="dxa"/>
            <w:vAlign w:val="bottom"/>
          </w:tcPr>
          <w:p>
            <w:pPr>
              <w:spacing w:after="0"/>
              <w:rPr>
                <w:sz w:val="18"/>
                <w:szCs w:val="18"/>
                <w:color w:val="auto"/>
              </w:rPr>
            </w:pPr>
          </w:p>
        </w:tc>
        <w:tc>
          <w:tcPr>
            <w:tcW w:w="1640" w:type="dxa"/>
            <w:vAlign w:val="bottom"/>
          </w:tcPr>
          <w:p>
            <w:pPr>
              <w:jc w:val="right"/>
              <w:ind w:right="135"/>
              <w:spacing w:after="0"/>
              <w:rPr>
                <w:sz w:val="20"/>
                <w:szCs w:val="20"/>
                <w:color w:val="auto"/>
              </w:rPr>
            </w:pPr>
            <w:r>
              <w:rPr>
                <w:rFonts w:ascii="Arial" w:cs="Arial" w:eastAsia="Arial" w:hAnsi="Arial"/>
                <w:sz w:val="18"/>
                <w:szCs w:val="18"/>
                <w:color w:val="auto"/>
              </w:rPr>
              <w:t>(27,699.2)</w:t>
            </w:r>
          </w:p>
        </w:tc>
        <w:tc>
          <w:tcPr>
            <w:tcW w:w="18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799.9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260" w:type="dxa"/>
            <w:vAlign w:val="bottom"/>
            <w:shd w:val="clear" w:color="auto" w:fill="CCEEFF"/>
          </w:tcPr>
          <w:p>
            <w:pPr>
              <w:spacing w:after="0"/>
              <w:rPr>
                <w:sz w:val="8"/>
                <w:szCs w:val="8"/>
                <w:color w:val="auto"/>
              </w:rPr>
            </w:pPr>
          </w:p>
        </w:tc>
        <w:tc>
          <w:tcPr>
            <w:tcW w:w="2660" w:type="dxa"/>
            <w:vAlign w:val="bottom"/>
            <w:shd w:val="clear" w:color="auto" w:fill="CCEEFF"/>
          </w:tcPr>
          <w:p>
            <w:pPr>
              <w:spacing w:after="0"/>
              <w:rPr>
                <w:sz w:val="8"/>
                <w:szCs w:val="8"/>
                <w:color w:val="auto"/>
              </w:rPr>
            </w:pPr>
          </w:p>
        </w:tc>
        <w:tc>
          <w:tcPr>
            <w:tcW w:w="940" w:type="dxa"/>
            <w:vAlign w:val="bottom"/>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1260" w:type="dxa"/>
            <w:vAlign w:val="bottom"/>
            <w:shd w:val="clear" w:color="auto" w:fill="CCEEFF"/>
          </w:tcPr>
          <w:p>
            <w:pPr>
              <w:spacing w:after="0"/>
              <w:rPr>
                <w:sz w:val="8"/>
                <w:szCs w:val="8"/>
                <w:color w:val="auto"/>
              </w:rPr>
            </w:pPr>
          </w:p>
        </w:tc>
        <w:tc>
          <w:tcPr>
            <w:tcW w:w="320" w:type="dxa"/>
            <w:vAlign w:val="bottom"/>
            <w:shd w:val="clear" w:color="auto" w:fill="CCEEFF"/>
          </w:tcPr>
          <w:p>
            <w:pPr>
              <w:spacing w:after="0"/>
              <w:rPr>
                <w:sz w:val="8"/>
                <w:szCs w:val="8"/>
                <w:color w:val="auto"/>
              </w:rPr>
            </w:pPr>
          </w:p>
        </w:tc>
        <w:tc>
          <w:tcPr>
            <w:tcW w:w="138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164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11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-2541270</wp:posOffset>
            </wp:positionV>
            <wp:extent cx="12700" cy="298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-2541270</wp:posOffset>
            </wp:positionV>
            <wp:extent cx="12700" cy="298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900" w:orient="portrait"/>
          <w:cols w:equalWidth="0" w:num="1">
            <w:col w:w="11460"/>
          </w:cols>
          <w:pgMar w:left="240" w:top="368" w:right="199" w:bottom="0" w:gutter="0" w:footer="0" w:header="0"/>
        </w:sectPr>
      </w:pPr>
    </w:p>
    <w:bookmarkStart w:id="92" w:name="page93"/>
    <w:bookmarkEnd w:id="92"/>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8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Long-term debt</w:t>
            </w:r>
          </w:p>
        </w:tc>
        <w:tc>
          <w:tcPr>
            <w:tcW w:w="140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1720" w:type="dxa"/>
            <w:vAlign w:val="bottom"/>
            <w:shd w:val="clear" w:color="auto" w:fill="CCEEFF"/>
          </w:tcPr>
          <w:p>
            <w:pPr>
              <w:jc w:val="right"/>
              <w:ind w:right="450"/>
              <w:spacing w:after="0"/>
              <w:rPr>
                <w:sz w:val="20"/>
                <w:szCs w:val="20"/>
                <w:color w:val="auto"/>
              </w:rPr>
            </w:pPr>
            <w:r>
              <w:rPr>
                <w:rFonts w:ascii="Arial" w:cs="Arial" w:eastAsia="Arial" w:hAnsi="Arial"/>
                <w:sz w:val="18"/>
                <w:szCs w:val="18"/>
                <w:color w:val="auto"/>
              </w:rPr>
              <w:t>(2,786.1)</w:t>
            </w:r>
          </w:p>
        </w:tc>
        <w:tc>
          <w:tcPr>
            <w:tcW w:w="14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(2,539.6)</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tcPr>
          <w:p>
            <w:pPr>
              <w:ind w:left="180"/>
              <w:spacing w:after="0"/>
              <w:rPr>
                <w:sz w:val="20"/>
                <w:szCs w:val="20"/>
                <w:color w:val="auto"/>
              </w:rPr>
            </w:pPr>
            <w:r>
              <w:rPr>
                <w:rFonts w:ascii="Arial" w:cs="Arial" w:eastAsia="Arial" w:hAnsi="Arial"/>
                <w:sz w:val="18"/>
                <w:szCs w:val="18"/>
                <w:color w:val="auto"/>
              </w:rPr>
              <w:t>Bank deposits</w:t>
            </w:r>
          </w:p>
        </w:tc>
        <w:tc>
          <w:tcPr>
            <w:tcW w:w="14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720" w:type="dxa"/>
            <w:vAlign w:val="bottom"/>
          </w:tcPr>
          <w:p>
            <w:pPr>
              <w:jc w:val="right"/>
              <w:ind w:right="450"/>
              <w:spacing w:after="0"/>
              <w:rPr>
                <w:sz w:val="20"/>
                <w:szCs w:val="20"/>
                <w:color w:val="auto"/>
              </w:rPr>
            </w:pPr>
            <w:r>
              <w:rPr>
                <w:rFonts w:ascii="Arial" w:cs="Arial" w:eastAsia="Arial" w:hAnsi="Arial"/>
                <w:sz w:val="18"/>
                <w:szCs w:val="18"/>
                <w:color w:val="auto"/>
              </w:rPr>
              <w:t>(1,985.5)</w:t>
            </w:r>
          </w:p>
        </w:tc>
        <w:tc>
          <w:tcPr>
            <w:tcW w:w="1440" w:type="dxa"/>
            <w:vAlign w:val="bottom"/>
          </w:tcPr>
          <w:p>
            <w:pPr>
              <w:jc w:val="right"/>
              <w:ind w:right="130"/>
              <w:spacing w:after="0"/>
              <w:rPr>
                <w:sz w:val="20"/>
                <w:szCs w:val="20"/>
                <w:color w:val="auto"/>
              </w:rPr>
            </w:pPr>
            <w:r>
              <w:rPr>
                <w:rFonts w:ascii="Arial" w:cs="Arial" w:eastAsia="Arial" w:hAnsi="Arial"/>
                <w:sz w:val="18"/>
                <w:szCs w:val="18"/>
                <w:color w:val="auto"/>
              </w:rPr>
              <w:t>(1,976.5)</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88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Derivatives with interest rate risk:</w:t>
            </w:r>
          </w:p>
        </w:tc>
        <w:tc>
          <w:tcPr>
            <w:tcW w:w="14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Interest rate swaps</w:t>
            </w:r>
          </w:p>
        </w:tc>
        <w:tc>
          <w:tcPr>
            <w:tcW w:w="1400" w:type="dxa"/>
            <w:vAlign w:val="bottom"/>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w:t>
            </w:r>
          </w:p>
        </w:tc>
        <w:tc>
          <w:tcPr>
            <w:tcW w:w="1500" w:type="dxa"/>
            <w:vAlign w:val="bottom"/>
            <w:shd w:val="clear" w:color="auto" w:fill="CCEEFF"/>
          </w:tcPr>
          <w:p>
            <w:pPr>
              <w:jc w:val="right"/>
              <w:ind w:right="450"/>
              <w:spacing w:after="0"/>
              <w:rPr>
                <w:sz w:val="20"/>
                <w:szCs w:val="20"/>
                <w:color w:val="auto"/>
              </w:rPr>
            </w:pPr>
            <w:r>
              <w:rPr>
                <w:rFonts w:ascii="Arial" w:cs="Arial" w:eastAsia="Arial" w:hAnsi="Arial"/>
                <w:sz w:val="18"/>
                <w:szCs w:val="18"/>
                <w:color w:val="auto"/>
              </w:rPr>
              <w:t>19,182.6</w:t>
            </w:r>
          </w:p>
        </w:tc>
        <w:tc>
          <w:tcPr>
            <w:tcW w:w="1720" w:type="dxa"/>
            <w:vAlign w:val="bottom"/>
            <w:shd w:val="clear" w:color="auto" w:fill="CCEEFF"/>
          </w:tcPr>
          <w:p>
            <w:pPr>
              <w:jc w:val="right"/>
              <w:ind w:right="450"/>
              <w:spacing w:after="0"/>
              <w:rPr>
                <w:sz w:val="20"/>
                <w:szCs w:val="20"/>
                <w:color w:val="auto"/>
              </w:rPr>
            </w:pPr>
            <w:r>
              <w:rPr>
                <w:rFonts w:ascii="Arial" w:cs="Arial" w:eastAsia="Arial" w:hAnsi="Arial"/>
                <w:sz w:val="18"/>
                <w:szCs w:val="18"/>
                <w:color w:val="auto"/>
              </w:rPr>
              <w:t>(38.1)</w:t>
            </w:r>
          </w:p>
        </w:tc>
        <w:tc>
          <w:tcPr>
            <w:tcW w:w="14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(208.3)</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tcPr>
          <w:p>
            <w:pPr>
              <w:ind w:left="180"/>
              <w:spacing w:after="0"/>
              <w:rPr>
                <w:sz w:val="20"/>
                <w:szCs w:val="20"/>
                <w:color w:val="auto"/>
              </w:rPr>
            </w:pPr>
            <w:r>
              <w:rPr>
                <w:rFonts w:ascii="Arial" w:cs="Arial" w:eastAsia="Arial" w:hAnsi="Arial"/>
                <w:sz w:val="18"/>
                <w:szCs w:val="18"/>
                <w:color w:val="auto"/>
              </w:rPr>
              <w:t>Currency swaps</w:t>
            </w:r>
          </w:p>
        </w:tc>
        <w:tc>
          <w:tcPr>
            <w:tcW w:w="1400" w:type="dxa"/>
            <w:vAlign w:val="bottom"/>
          </w:tcPr>
          <w:p>
            <w:pPr>
              <w:spacing w:after="0"/>
              <w:rPr>
                <w:sz w:val="18"/>
                <w:szCs w:val="18"/>
                <w:color w:val="auto"/>
              </w:rPr>
            </w:pPr>
          </w:p>
        </w:tc>
        <w:tc>
          <w:tcPr>
            <w:tcW w:w="1500" w:type="dxa"/>
            <w:vAlign w:val="bottom"/>
          </w:tcPr>
          <w:p>
            <w:pPr>
              <w:jc w:val="right"/>
              <w:ind w:right="450"/>
              <w:spacing w:after="0"/>
              <w:rPr>
                <w:sz w:val="20"/>
                <w:szCs w:val="20"/>
                <w:color w:val="auto"/>
              </w:rPr>
            </w:pPr>
            <w:r>
              <w:rPr>
                <w:rFonts w:ascii="Arial" w:cs="Arial" w:eastAsia="Arial" w:hAnsi="Arial"/>
                <w:sz w:val="18"/>
                <w:szCs w:val="18"/>
                <w:color w:val="auto"/>
              </w:rPr>
              <w:t>1,975.5</w:t>
            </w:r>
          </w:p>
        </w:tc>
        <w:tc>
          <w:tcPr>
            <w:tcW w:w="1720" w:type="dxa"/>
            <w:vAlign w:val="bottom"/>
          </w:tcPr>
          <w:p>
            <w:pPr>
              <w:jc w:val="right"/>
              <w:ind w:right="450"/>
              <w:spacing w:after="0"/>
              <w:rPr>
                <w:sz w:val="20"/>
                <w:szCs w:val="20"/>
                <w:color w:val="auto"/>
              </w:rPr>
            </w:pPr>
            <w:r>
              <w:rPr>
                <w:rFonts w:ascii="Arial" w:cs="Arial" w:eastAsia="Arial" w:hAnsi="Arial"/>
                <w:sz w:val="18"/>
                <w:szCs w:val="18"/>
                <w:color w:val="auto"/>
              </w:rPr>
              <w:t>(0.9)</w:t>
            </w:r>
          </w:p>
        </w:tc>
        <w:tc>
          <w:tcPr>
            <w:tcW w:w="1440" w:type="dxa"/>
            <w:vAlign w:val="bottom"/>
          </w:tcPr>
          <w:p>
            <w:pPr>
              <w:jc w:val="right"/>
              <w:ind w:right="130"/>
              <w:spacing w:after="0"/>
              <w:rPr>
                <w:sz w:val="20"/>
                <w:szCs w:val="20"/>
                <w:color w:val="auto"/>
              </w:rPr>
            </w:pPr>
            <w:r>
              <w:rPr>
                <w:rFonts w:ascii="Arial" w:cs="Arial" w:eastAsia="Arial" w:hAnsi="Arial"/>
                <w:sz w:val="18"/>
                <w:szCs w:val="18"/>
                <w:color w:val="auto"/>
              </w:rPr>
              <w:t>(6.4)</w:t>
            </w:r>
          </w:p>
        </w:tc>
        <w:tc>
          <w:tcPr>
            <w:tcW w:w="42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Equity options</w:t>
            </w:r>
          </w:p>
        </w:tc>
        <w:tc>
          <w:tcPr>
            <w:tcW w:w="140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450"/>
              <w:spacing w:after="0"/>
              <w:rPr>
                <w:sz w:val="20"/>
                <w:szCs w:val="20"/>
                <w:color w:val="auto"/>
              </w:rPr>
            </w:pPr>
            <w:r>
              <w:rPr>
                <w:rFonts w:ascii="Arial" w:cs="Arial" w:eastAsia="Arial" w:hAnsi="Arial"/>
                <w:sz w:val="18"/>
                <w:szCs w:val="18"/>
                <w:color w:val="auto"/>
              </w:rPr>
              <w:t>3,293.4</w:t>
            </w:r>
          </w:p>
        </w:tc>
        <w:tc>
          <w:tcPr>
            <w:tcW w:w="1720" w:type="dxa"/>
            <w:vAlign w:val="bottom"/>
            <w:shd w:val="clear" w:color="auto" w:fill="CCEEFF"/>
          </w:tcPr>
          <w:p>
            <w:pPr>
              <w:jc w:val="right"/>
              <w:ind w:right="450"/>
              <w:spacing w:after="0"/>
              <w:rPr>
                <w:sz w:val="20"/>
                <w:szCs w:val="20"/>
                <w:color w:val="auto"/>
              </w:rPr>
            </w:pPr>
            <w:r>
              <w:rPr>
                <w:rFonts w:ascii="Arial" w:cs="Arial" w:eastAsia="Arial" w:hAnsi="Arial"/>
                <w:sz w:val="18"/>
                <w:szCs w:val="18"/>
                <w:color w:val="auto"/>
              </w:rPr>
              <w:t>(101.4)</w:t>
            </w:r>
          </w:p>
        </w:tc>
        <w:tc>
          <w:tcPr>
            <w:tcW w:w="14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(153.9)</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tcPr>
          <w:p>
            <w:pPr>
              <w:ind w:left="180"/>
              <w:spacing w:after="0"/>
              <w:rPr>
                <w:sz w:val="20"/>
                <w:szCs w:val="20"/>
                <w:color w:val="auto"/>
              </w:rPr>
            </w:pPr>
            <w:r>
              <w:rPr>
                <w:rFonts w:ascii="Arial" w:cs="Arial" w:eastAsia="Arial" w:hAnsi="Arial"/>
                <w:sz w:val="18"/>
                <w:szCs w:val="18"/>
                <w:color w:val="auto"/>
              </w:rPr>
              <w:t>Interest rate options</w:t>
            </w:r>
          </w:p>
        </w:tc>
        <w:tc>
          <w:tcPr>
            <w:tcW w:w="1400" w:type="dxa"/>
            <w:vAlign w:val="bottom"/>
          </w:tcPr>
          <w:p>
            <w:pPr>
              <w:spacing w:after="0"/>
              <w:rPr>
                <w:sz w:val="18"/>
                <w:szCs w:val="18"/>
                <w:color w:val="auto"/>
              </w:rPr>
            </w:pPr>
          </w:p>
        </w:tc>
        <w:tc>
          <w:tcPr>
            <w:tcW w:w="1500" w:type="dxa"/>
            <w:vAlign w:val="bottom"/>
          </w:tcPr>
          <w:p>
            <w:pPr>
              <w:jc w:val="right"/>
              <w:ind w:right="450"/>
              <w:spacing w:after="0"/>
              <w:rPr>
                <w:sz w:val="20"/>
                <w:szCs w:val="20"/>
                <w:color w:val="auto"/>
              </w:rPr>
            </w:pPr>
            <w:r>
              <w:rPr>
                <w:rFonts w:ascii="Arial" w:cs="Arial" w:eastAsia="Arial" w:hAnsi="Arial"/>
                <w:sz w:val="18"/>
                <w:szCs w:val="18"/>
                <w:color w:val="auto"/>
              </w:rPr>
              <w:t>4,900.0</w:t>
            </w:r>
          </w:p>
        </w:tc>
        <w:tc>
          <w:tcPr>
            <w:tcW w:w="1720" w:type="dxa"/>
            <w:vAlign w:val="bottom"/>
          </w:tcPr>
          <w:p>
            <w:pPr>
              <w:jc w:val="right"/>
              <w:ind w:right="510"/>
              <w:spacing w:after="0"/>
              <w:rPr>
                <w:sz w:val="20"/>
                <w:szCs w:val="20"/>
                <w:color w:val="auto"/>
              </w:rPr>
            </w:pPr>
            <w:r>
              <w:rPr>
                <w:rFonts w:ascii="Arial" w:cs="Arial" w:eastAsia="Arial" w:hAnsi="Arial"/>
                <w:sz w:val="18"/>
                <w:szCs w:val="18"/>
                <w:color w:val="auto"/>
              </w:rPr>
              <w:t>40.3</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43.8</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Swaptions</w:t>
            </w:r>
          </w:p>
        </w:tc>
        <w:tc>
          <w:tcPr>
            <w:tcW w:w="140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450"/>
              <w:spacing w:after="0"/>
              <w:rPr>
                <w:sz w:val="20"/>
                <w:szCs w:val="20"/>
                <w:color w:val="auto"/>
              </w:rPr>
            </w:pPr>
            <w:r>
              <w:rPr>
                <w:rFonts w:ascii="Arial" w:cs="Arial" w:eastAsia="Arial" w:hAnsi="Arial"/>
                <w:sz w:val="18"/>
                <w:szCs w:val="18"/>
                <w:color w:val="auto"/>
              </w:rPr>
              <w:t>260.0</w:t>
            </w:r>
          </w:p>
        </w:tc>
        <w:tc>
          <w:tcPr>
            <w:tcW w:w="172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w:t>
            </w:r>
          </w:p>
        </w:tc>
        <w:tc>
          <w:tcPr>
            <w:tcW w:w="144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0.6</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tcPr>
          <w:p>
            <w:pPr>
              <w:ind w:left="180"/>
              <w:spacing w:after="0"/>
              <w:rPr>
                <w:sz w:val="20"/>
                <w:szCs w:val="20"/>
                <w:color w:val="auto"/>
              </w:rPr>
            </w:pPr>
            <w:r>
              <w:rPr>
                <w:rFonts w:ascii="Arial" w:cs="Arial" w:eastAsia="Arial" w:hAnsi="Arial"/>
                <w:sz w:val="18"/>
                <w:szCs w:val="18"/>
                <w:color w:val="auto"/>
              </w:rPr>
              <w:t>Interest rate futures</w:t>
            </w:r>
          </w:p>
        </w:tc>
        <w:tc>
          <w:tcPr>
            <w:tcW w:w="1400" w:type="dxa"/>
            <w:vAlign w:val="bottom"/>
          </w:tcPr>
          <w:p>
            <w:pPr>
              <w:spacing w:after="0"/>
              <w:rPr>
                <w:sz w:val="18"/>
                <w:szCs w:val="18"/>
                <w:color w:val="auto"/>
              </w:rPr>
            </w:pPr>
          </w:p>
        </w:tc>
        <w:tc>
          <w:tcPr>
            <w:tcW w:w="1500" w:type="dxa"/>
            <w:vAlign w:val="bottom"/>
          </w:tcPr>
          <w:p>
            <w:pPr>
              <w:jc w:val="right"/>
              <w:ind w:right="450"/>
              <w:spacing w:after="0"/>
              <w:rPr>
                <w:sz w:val="20"/>
                <w:szCs w:val="20"/>
                <w:color w:val="auto"/>
              </w:rPr>
            </w:pPr>
            <w:r>
              <w:rPr>
                <w:rFonts w:ascii="Arial" w:cs="Arial" w:eastAsia="Arial" w:hAnsi="Arial"/>
                <w:sz w:val="18"/>
                <w:szCs w:val="18"/>
                <w:color w:val="auto"/>
              </w:rPr>
              <w:t>147.5</w:t>
            </w:r>
          </w:p>
        </w:tc>
        <w:tc>
          <w:tcPr>
            <w:tcW w:w="1720" w:type="dxa"/>
            <w:vAlign w:val="bottom"/>
          </w:tcPr>
          <w:p>
            <w:pPr>
              <w:jc w:val="right"/>
              <w:ind w:right="510"/>
              <w:spacing w:after="0"/>
              <w:rPr>
                <w:sz w:val="20"/>
                <w:szCs w:val="20"/>
                <w:color w:val="auto"/>
              </w:rPr>
            </w:pPr>
            <w:r>
              <w:rPr>
                <w:rFonts w:ascii="Arial" w:cs="Arial" w:eastAsia="Arial" w:hAnsi="Arial"/>
                <w:sz w:val="18"/>
                <w:szCs w:val="18"/>
                <w:color w:val="auto"/>
              </w:rPr>
              <w:t>0.3</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8.3</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880" w:type="dxa"/>
            <w:vAlign w:val="bottom"/>
            <w:tcBorders>
              <w:top w:val="single" w:sz="8" w:color="CCEEFF"/>
            </w:tcBorders>
            <w:shd w:val="clear" w:color="auto" w:fill="CCEEFF"/>
          </w:tcPr>
          <w:p>
            <w:pPr>
              <w:spacing w:after="0"/>
              <w:rPr>
                <w:sz w:val="18"/>
                <w:szCs w:val="18"/>
                <w:color w:val="auto"/>
              </w:rPr>
            </w:pPr>
          </w:p>
        </w:tc>
        <w:tc>
          <w:tcPr>
            <w:tcW w:w="1400" w:type="dxa"/>
            <w:vAlign w:val="bottom"/>
            <w:tcBorders>
              <w:top w:val="single" w:sz="8" w:color="CCEEFF"/>
            </w:tcBorders>
            <w:shd w:val="clear" w:color="auto" w:fill="CCEEFF"/>
          </w:tcPr>
          <w:p>
            <w:pPr>
              <w:spacing w:after="0"/>
              <w:rPr>
                <w:sz w:val="18"/>
                <w:szCs w:val="18"/>
                <w:color w:val="auto"/>
              </w:rPr>
            </w:pPr>
          </w:p>
        </w:tc>
        <w:tc>
          <w:tcPr>
            <w:tcW w:w="1500" w:type="dxa"/>
            <w:vAlign w:val="bottom"/>
            <w:tcBorders>
              <w:top w:val="single" w:sz="8" w:color="CCEEFF"/>
            </w:tcBorders>
            <w:shd w:val="clear" w:color="auto" w:fill="CCEEFF"/>
          </w:tcPr>
          <w:p>
            <w:pPr>
              <w:spacing w:after="0"/>
              <w:rPr>
                <w:sz w:val="18"/>
                <w:szCs w:val="18"/>
                <w:color w:val="auto"/>
              </w:rPr>
            </w:pPr>
          </w:p>
        </w:tc>
        <w:tc>
          <w:tcPr>
            <w:tcW w:w="1720" w:type="dxa"/>
            <w:vAlign w:val="bottom"/>
            <w:tcBorders>
              <w:top w:val="single" w:sz="8" w:color="CCEEFF"/>
            </w:tcBorders>
            <w:shd w:val="clear" w:color="auto" w:fill="CCEEFF"/>
          </w:tcPr>
          <w:p>
            <w:pPr>
              <w:spacing w:after="0"/>
              <w:rPr>
                <w:sz w:val="18"/>
                <w:szCs w:val="18"/>
                <w:color w:val="auto"/>
              </w:rPr>
            </w:pPr>
          </w:p>
        </w:tc>
        <w:tc>
          <w:tcPr>
            <w:tcW w:w="144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Net estimated potential loss in fair value</w:t>
            </w:r>
          </w:p>
        </w:tc>
        <w:tc>
          <w:tcPr>
            <w:tcW w:w="14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8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(2,282.5)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8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60" w:firstLine="648"/>
        <w:spacing w:after="0" w:line="312" w:lineRule="auto"/>
        <w:rPr>
          <w:sz w:val="20"/>
          <w:szCs w:val="20"/>
          <w:color w:val="auto"/>
        </w:rPr>
      </w:pPr>
      <w:r>
        <w:rPr>
          <w:rFonts w:ascii="Arial" w:cs="Arial" w:eastAsia="Arial" w:hAnsi="Arial"/>
          <w:sz w:val="16"/>
          <w:szCs w:val="16"/>
          <w:color w:val="auto"/>
        </w:rPr>
        <w:t>The tables include only the portion of assets and liabilities that are interest rate sensitive. Separate account assets and liabilities, which are interest rate sensitive, are not included in the tables, as any interest rate risk is borne by the holder of the separate account. The fair value sensitivities of our U.S. operations’ foreign financial assets and liabilities have been netted within the currency swaps line item due to fully hedging the foreign exposure.</w:t>
      </w:r>
    </w:p>
    <w:p>
      <w:pPr>
        <w:spacing w:after="0" w:line="147"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tables above do not include approximately $32,762.7 million of liabilities relating to insurance contracts involving significant mortality or morbidity risk as of September 30, 2015 and $31,143.2 million as of December 31, 2014, which are not considered financial liabilities. We believe the interest rate sensitivities of these insurance liabilities would economically serve as a partial offset to the net interest rate risk of the financial assets and liabilities that are set forth in these tables.</w:t>
      </w:r>
    </w:p>
    <w:p>
      <w:pPr>
        <w:spacing w:after="0" w:line="187"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Our net estimated potential loss in fair value as of September 30, 2015, increased $118.4 million from December 31, 2014, primarily due to an increase in the interest rate sensitivity of our derivatives with interest rate risk.</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The following table provides detail on the differences between the interest rates being credited to contractholders as of September 30, 2015, and the respective guaranteed minimum interest rates (“GMIRs”), broken down by GMIR level within the Retirement and Investor Services and U.S. Insurance Solutions segments.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0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000" w:type="dxa"/>
            <w:vAlign w:val="bottom"/>
            <w:tcBorders>
              <w:bottom w:val="single" w:sz="8" w:color="auto"/>
            </w:tcBorders>
            <w:gridSpan w:val="5"/>
          </w:tcPr>
          <w:p>
            <w:pPr>
              <w:jc w:val="center"/>
              <w:ind w:right="420"/>
              <w:spacing w:after="0"/>
              <w:rPr>
                <w:sz w:val="20"/>
                <w:szCs w:val="20"/>
                <w:color w:val="auto"/>
              </w:rPr>
            </w:pPr>
            <w:r>
              <w:rPr>
                <w:rFonts w:ascii="Arial" w:cs="Arial" w:eastAsia="Arial" w:hAnsi="Arial"/>
                <w:sz w:val="14"/>
                <w:szCs w:val="14"/>
                <w:b w:val="1"/>
                <w:bCs w:val="1"/>
                <w:color w:val="auto"/>
                <w:w w:val="91"/>
              </w:rPr>
              <w:t>Account values (1)</w:t>
            </w:r>
          </w:p>
        </w:tc>
        <w:tc>
          <w:tcPr>
            <w:tcW w:w="1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000" w:type="dxa"/>
            <w:vAlign w:val="bottom"/>
            <w:tcBorders>
              <w:bottom w:val="single" w:sz="8" w:color="auto"/>
            </w:tcBorders>
            <w:gridSpan w:val="5"/>
          </w:tcPr>
          <w:p>
            <w:pPr>
              <w:jc w:val="center"/>
              <w:ind w:right="400"/>
              <w:spacing w:after="0" w:line="142" w:lineRule="exact"/>
              <w:rPr>
                <w:sz w:val="20"/>
                <w:szCs w:val="20"/>
                <w:color w:val="auto"/>
              </w:rPr>
            </w:pPr>
            <w:r>
              <w:rPr>
                <w:rFonts w:ascii="Arial" w:cs="Arial" w:eastAsia="Arial" w:hAnsi="Arial"/>
                <w:sz w:val="14"/>
                <w:szCs w:val="14"/>
                <w:b w:val="1"/>
                <w:bCs w:val="1"/>
                <w:color w:val="auto"/>
                <w:w w:val="93"/>
              </w:rPr>
              <w:t>Excess of crediting rates over GMIR:</w:t>
            </w:r>
          </w:p>
        </w:tc>
        <w:tc>
          <w:tcPr>
            <w:tcW w:w="120" w:type="dxa"/>
            <w:vAlign w:val="bottom"/>
            <w:tcBorders>
              <w:bottom w:val="single" w:sz="8" w:color="auto"/>
            </w:tcBorders>
          </w:tcPr>
          <w:p>
            <w:pPr>
              <w:spacing w:after="0"/>
              <w:rPr>
                <w:sz w:val="12"/>
                <w:szCs w:val="12"/>
                <w:color w:val="auto"/>
              </w:rPr>
            </w:pPr>
          </w:p>
        </w:tc>
        <w:tc>
          <w:tcPr>
            <w:tcW w:w="114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0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gridSpan w:val="2"/>
            <w:vMerge w:val="restart"/>
          </w:tcPr>
          <w:p>
            <w:pPr>
              <w:jc w:val="right"/>
              <w:ind w:right="400"/>
              <w:spacing w:after="0"/>
              <w:rPr>
                <w:sz w:val="20"/>
                <w:szCs w:val="20"/>
                <w:color w:val="auto"/>
              </w:rPr>
            </w:pPr>
            <w:r>
              <w:rPr>
                <w:rFonts w:ascii="Arial" w:cs="Arial" w:eastAsia="Arial" w:hAnsi="Arial"/>
                <w:sz w:val="14"/>
                <w:szCs w:val="14"/>
                <w:b w:val="1"/>
                <w:bCs w:val="1"/>
                <w:color w:val="auto"/>
              </w:rPr>
              <w:t>At GMIR</w:t>
            </w:r>
          </w:p>
        </w:tc>
        <w:tc>
          <w:tcPr>
            <w:tcW w:w="160" w:type="dxa"/>
            <w:vAlign w:val="bottom"/>
          </w:tcPr>
          <w:p>
            <w:pPr>
              <w:spacing w:after="0"/>
              <w:rPr>
                <w:sz w:val="10"/>
                <w:szCs w:val="10"/>
                <w:color w:val="auto"/>
              </w:rPr>
            </w:pPr>
          </w:p>
        </w:tc>
        <w:tc>
          <w:tcPr>
            <w:tcW w:w="1300" w:type="dxa"/>
            <w:vAlign w:val="bottom"/>
            <w:gridSpan w:val="2"/>
          </w:tcPr>
          <w:p>
            <w:pPr>
              <w:jc w:val="right"/>
              <w:ind w:right="440"/>
              <w:spacing w:after="0" w:line="119" w:lineRule="exact"/>
              <w:rPr>
                <w:sz w:val="20"/>
                <w:szCs w:val="20"/>
                <w:color w:val="auto"/>
              </w:rPr>
            </w:pPr>
            <w:r>
              <w:rPr>
                <w:rFonts w:ascii="Arial" w:cs="Arial" w:eastAsia="Arial" w:hAnsi="Arial"/>
                <w:sz w:val="13"/>
                <w:szCs w:val="13"/>
                <w:b w:val="1"/>
                <w:bCs w:val="1"/>
                <w:color w:val="auto"/>
              </w:rPr>
              <w:t>Up to 0.50%</w:t>
            </w: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40" w:type="dxa"/>
            <w:vAlign w:val="bottom"/>
            <w:gridSpan w:val="2"/>
          </w:tcPr>
          <w:p>
            <w:pPr>
              <w:jc w:val="right"/>
              <w:ind w:right="400"/>
              <w:spacing w:after="0" w:line="119" w:lineRule="exact"/>
              <w:rPr>
                <w:sz w:val="20"/>
                <w:szCs w:val="20"/>
                <w:color w:val="auto"/>
              </w:rPr>
            </w:pPr>
            <w:r>
              <w:rPr>
                <w:rFonts w:ascii="Arial" w:cs="Arial" w:eastAsia="Arial" w:hAnsi="Arial"/>
                <w:sz w:val="13"/>
                <w:szCs w:val="13"/>
                <w:b w:val="1"/>
                <w:bCs w:val="1"/>
                <w:color w:val="auto"/>
              </w:rPr>
              <w:t>0.51% to 1.00%</w:t>
            </w:r>
          </w:p>
        </w:tc>
        <w:tc>
          <w:tcPr>
            <w:tcW w:w="120" w:type="dxa"/>
            <w:vAlign w:val="bottom"/>
          </w:tcPr>
          <w:p>
            <w:pPr>
              <w:spacing w:after="0"/>
              <w:rPr>
                <w:sz w:val="10"/>
                <w:szCs w:val="10"/>
                <w:color w:val="auto"/>
              </w:rPr>
            </w:pPr>
          </w:p>
        </w:tc>
        <w:tc>
          <w:tcPr>
            <w:tcW w:w="1440" w:type="dxa"/>
            <w:vAlign w:val="bottom"/>
            <w:gridSpan w:val="2"/>
          </w:tcPr>
          <w:p>
            <w:pPr>
              <w:jc w:val="right"/>
              <w:ind w:right="400"/>
              <w:spacing w:after="0" w:line="119" w:lineRule="exact"/>
              <w:rPr>
                <w:sz w:val="20"/>
                <w:szCs w:val="20"/>
                <w:color w:val="auto"/>
              </w:rPr>
            </w:pPr>
            <w:r>
              <w:rPr>
                <w:rFonts w:ascii="Arial" w:cs="Arial" w:eastAsia="Arial" w:hAnsi="Arial"/>
                <w:sz w:val="13"/>
                <w:szCs w:val="13"/>
                <w:b w:val="1"/>
                <w:bCs w:val="1"/>
                <w:color w:val="auto"/>
              </w:rPr>
              <w:t>1.01% to 2.00%</w:t>
            </w:r>
          </w:p>
        </w:tc>
        <w:tc>
          <w:tcPr>
            <w:tcW w:w="120" w:type="dxa"/>
            <w:vAlign w:val="bottom"/>
          </w:tcPr>
          <w:p>
            <w:pPr>
              <w:spacing w:after="0"/>
              <w:rPr>
                <w:sz w:val="10"/>
                <w:szCs w:val="10"/>
                <w:color w:val="auto"/>
              </w:rPr>
            </w:pPr>
          </w:p>
        </w:tc>
        <w:tc>
          <w:tcPr>
            <w:tcW w:w="1140" w:type="dxa"/>
            <w:vAlign w:val="bottom"/>
          </w:tcPr>
          <w:p>
            <w:pPr>
              <w:jc w:val="right"/>
              <w:ind w:right="108"/>
              <w:spacing w:after="0" w:line="119" w:lineRule="exact"/>
              <w:rPr>
                <w:sz w:val="20"/>
                <w:szCs w:val="20"/>
                <w:color w:val="auto"/>
              </w:rPr>
            </w:pPr>
            <w:r>
              <w:rPr>
                <w:rFonts w:ascii="Arial" w:cs="Arial" w:eastAsia="Arial" w:hAnsi="Arial"/>
                <w:sz w:val="13"/>
                <w:szCs w:val="13"/>
                <w:b w:val="1"/>
                <w:bCs w:val="1"/>
                <w:color w:val="auto"/>
              </w:rPr>
              <w:t>2.01% or more</w:t>
            </w:r>
          </w:p>
        </w:tc>
        <w:tc>
          <w:tcPr>
            <w:tcW w:w="2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above GMIR</w:t>
            </w: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above GMIR</w:t>
            </w:r>
          </w:p>
        </w:tc>
        <w:tc>
          <w:tcPr>
            <w:tcW w:w="120" w:type="dxa"/>
            <w:vAlign w:val="bottom"/>
          </w:tcPr>
          <w:p>
            <w:pPr>
              <w:spacing w:after="0"/>
              <w:rPr>
                <w:sz w:val="14"/>
                <w:szCs w:val="14"/>
                <w:color w:val="auto"/>
              </w:rPr>
            </w:pPr>
          </w:p>
        </w:tc>
        <w:tc>
          <w:tcPr>
            <w:tcW w:w="144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above GMIR</w:t>
            </w:r>
          </w:p>
        </w:tc>
        <w:tc>
          <w:tcPr>
            <w:tcW w:w="120" w:type="dxa"/>
            <w:vAlign w:val="bottom"/>
          </w:tcPr>
          <w:p>
            <w:pPr>
              <w:spacing w:after="0"/>
              <w:rPr>
                <w:sz w:val="14"/>
                <w:szCs w:val="14"/>
                <w:color w:val="auto"/>
              </w:rPr>
            </w:pPr>
          </w:p>
        </w:tc>
        <w:tc>
          <w:tcPr>
            <w:tcW w:w="13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above GMIR</w:t>
            </w:r>
          </w:p>
        </w:tc>
        <w:tc>
          <w:tcPr>
            <w:tcW w:w="20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12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3000" w:type="dxa"/>
            <w:vAlign w:val="bottom"/>
            <w:tcBorders>
              <w:top w:val="single" w:sz="8" w:color="auto"/>
            </w:tcBorders>
            <w:gridSpan w:val="5"/>
          </w:tcPr>
          <w:p>
            <w:pPr>
              <w:jc w:val="center"/>
              <w:ind w:right="420"/>
              <w:spacing w:after="0" w:line="142" w:lineRule="exact"/>
              <w:rPr>
                <w:sz w:val="20"/>
                <w:szCs w:val="20"/>
                <w:color w:val="auto"/>
              </w:rPr>
            </w:pPr>
            <w:r>
              <w:rPr>
                <w:rFonts w:ascii="Arial" w:cs="Arial" w:eastAsia="Arial" w:hAnsi="Arial"/>
                <w:sz w:val="14"/>
                <w:szCs w:val="14"/>
                <w:b w:val="1"/>
                <w:bCs w:val="1"/>
                <w:color w:val="auto"/>
                <w:w w:val="95"/>
              </w:rPr>
              <w:t>($ in millions)</w:t>
            </w:r>
          </w:p>
        </w:tc>
        <w:tc>
          <w:tcPr>
            <w:tcW w:w="12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Guaranteed minimum interest rate</w:t>
            </w: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tcPr>
          <w:p>
            <w:pPr>
              <w:spacing w:after="0" w:line="149" w:lineRule="exact"/>
              <w:rPr>
                <w:sz w:val="20"/>
                <w:szCs w:val="20"/>
                <w:color w:val="auto"/>
              </w:rPr>
            </w:pPr>
            <w:r>
              <w:rPr>
                <w:rFonts w:ascii="Arial" w:cs="Arial" w:eastAsia="Arial" w:hAnsi="Arial"/>
                <w:sz w:val="14"/>
                <w:szCs w:val="14"/>
                <w:b w:val="1"/>
                <w:bCs w:val="1"/>
                <w:color w:val="auto"/>
              </w:rPr>
              <w:t>Retirement and Investor Services</w:t>
            </w: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Up to 1.00%</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528.8</w:t>
            </w:r>
          </w:p>
        </w:tc>
        <w:tc>
          <w:tcPr>
            <w:tcW w:w="16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b w:val="1"/>
                <w:bCs w:val="1"/>
                <w:color w:val="auto"/>
                <w:w w:val="76"/>
              </w:rPr>
              <w:t>$</w:t>
            </w:r>
          </w:p>
        </w:tc>
        <w:tc>
          <w:tcPr>
            <w:tcW w:w="13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1,617.9</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14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3,870.7</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4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536.5</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3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51.3</w:t>
            </w:r>
          </w:p>
        </w:tc>
        <w:tc>
          <w:tcPr>
            <w:tcW w:w="200" w:type="dxa"/>
            <w:vAlign w:val="bottom"/>
            <w:shd w:val="clear" w:color="auto" w:fill="CCEEFF"/>
          </w:tcPr>
          <w:p>
            <w:pPr>
              <w:jc w:val="right"/>
              <w:ind w:right="48"/>
              <w:spacing w:after="0" w:line="149" w:lineRule="exact"/>
              <w:rPr>
                <w:sz w:val="20"/>
                <w:szCs w:val="20"/>
                <w:color w:val="auto"/>
              </w:rPr>
            </w:pPr>
            <w:r>
              <w:rPr>
                <w:rFonts w:ascii="Arial" w:cs="Arial" w:eastAsia="Arial" w:hAnsi="Arial"/>
                <w:sz w:val="14"/>
                <w:szCs w:val="14"/>
                <w:b w:val="1"/>
                <w:bCs w:val="1"/>
                <w:color w:val="auto"/>
                <w:w w:val="76"/>
              </w:rPr>
              <w:t>$</w:t>
            </w:r>
          </w:p>
        </w:tc>
        <w:tc>
          <w:tcPr>
            <w:tcW w:w="8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6,605.2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tcPr>
          <w:p>
            <w:pPr>
              <w:spacing w:after="0" w:line="149" w:lineRule="exact"/>
              <w:rPr>
                <w:sz w:val="20"/>
                <w:szCs w:val="20"/>
                <w:color w:val="auto"/>
              </w:rPr>
            </w:pPr>
            <w:r>
              <w:rPr>
                <w:rFonts w:ascii="Arial" w:cs="Arial" w:eastAsia="Arial" w:hAnsi="Arial"/>
                <w:sz w:val="14"/>
                <w:szCs w:val="14"/>
                <w:color w:val="auto"/>
              </w:rPr>
              <w:t>1.01% - 2.00%</w:t>
            </w:r>
          </w:p>
        </w:tc>
        <w:tc>
          <w:tcPr>
            <w:tcW w:w="120" w:type="dxa"/>
            <w:vAlign w:val="bottom"/>
          </w:tcPr>
          <w:p>
            <w:pPr>
              <w:spacing w:after="0"/>
              <w:rPr>
                <w:sz w:val="12"/>
                <w:szCs w:val="12"/>
                <w:color w:val="auto"/>
              </w:rPr>
            </w:pP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444.3</w:t>
            </w:r>
          </w:p>
        </w:tc>
        <w:tc>
          <w:tcPr>
            <w:tcW w:w="160" w:type="dxa"/>
            <w:vAlign w:val="bottom"/>
          </w:tcPr>
          <w:p>
            <w:pPr>
              <w:spacing w:after="0"/>
              <w:rPr>
                <w:sz w:val="12"/>
                <w:szCs w:val="12"/>
                <w:color w:val="auto"/>
              </w:rPr>
            </w:pPr>
          </w:p>
        </w:tc>
        <w:tc>
          <w:tcPr>
            <w:tcW w:w="130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0.7</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9.0</w:t>
            </w:r>
          </w:p>
        </w:tc>
        <w:tc>
          <w:tcPr>
            <w:tcW w:w="120" w:type="dxa"/>
            <w:vAlign w:val="bottom"/>
          </w:tcPr>
          <w:p>
            <w:pPr>
              <w:spacing w:after="0"/>
              <w:rPr>
                <w:sz w:val="12"/>
                <w:szCs w:val="12"/>
                <w:color w:val="auto"/>
              </w:rPr>
            </w:pPr>
          </w:p>
        </w:tc>
        <w:tc>
          <w:tcPr>
            <w:tcW w:w="14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26.3</w:t>
            </w:r>
          </w:p>
        </w:tc>
        <w:tc>
          <w:tcPr>
            <w:tcW w:w="12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2"/>
                <w:szCs w:val="12"/>
                <w:color w:val="auto"/>
              </w:rPr>
            </w:pPr>
          </w:p>
        </w:tc>
        <w:tc>
          <w:tcPr>
            <w:tcW w:w="86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480.3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2.01% - 3.00%</w:t>
            </w:r>
          </w:p>
        </w:tc>
        <w:tc>
          <w:tcPr>
            <w:tcW w:w="12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7,228.1</w:t>
            </w:r>
          </w:p>
        </w:tc>
        <w:tc>
          <w:tcPr>
            <w:tcW w:w="160" w:type="dxa"/>
            <w:vAlign w:val="bottom"/>
            <w:shd w:val="clear" w:color="auto" w:fill="CCEEFF"/>
          </w:tcPr>
          <w:p>
            <w:pPr>
              <w:spacing w:after="0"/>
              <w:rPr>
                <w:sz w:val="12"/>
                <w:szCs w:val="12"/>
                <w:color w:val="auto"/>
              </w:rPr>
            </w:pPr>
          </w:p>
        </w:tc>
        <w:tc>
          <w:tcPr>
            <w:tcW w:w="13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843.4</w:t>
            </w: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4.3</w:t>
            </w:r>
          </w:p>
        </w:tc>
        <w:tc>
          <w:tcPr>
            <w:tcW w:w="12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28.0</w:t>
            </w:r>
          </w:p>
        </w:tc>
        <w:tc>
          <w:tcPr>
            <w:tcW w:w="1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20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8,103.8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tcPr>
          <w:p>
            <w:pPr>
              <w:spacing w:after="0" w:line="149" w:lineRule="exact"/>
              <w:rPr>
                <w:sz w:val="20"/>
                <w:szCs w:val="20"/>
                <w:color w:val="auto"/>
              </w:rPr>
            </w:pPr>
            <w:r>
              <w:rPr>
                <w:rFonts w:ascii="Arial" w:cs="Arial" w:eastAsia="Arial" w:hAnsi="Arial"/>
                <w:sz w:val="14"/>
                <w:szCs w:val="14"/>
                <w:color w:val="auto"/>
              </w:rPr>
              <w:t>3.01% - 4.00%</w:t>
            </w:r>
          </w:p>
        </w:tc>
        <w:tc>
          <w:tcPr>
            <w:tcW w:w="120" w:type="dxa"/>
            <w:vAlign w:val="bottom"/>
          </w:tcPr>
          <w:p>
            <w:pPr>
              <w:spacing w:after="0"/>
              <w:rPr>
                <w:sz w:val="12"/>
                <w:szCs w:val="12"/>
                <w:color w:val="auto"/>
              </w:rPr>
            </w:pP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232.1</w:t>
            </w:r>
          </w:p>
        </w:tc>
        <w:tc>
          <w:tcPr>
            <w:tcW w:w="160" w:type="dxa"/>
            <w:vAlign w:val="bottom"/>
          </w:tcPr>
          <w:p>
            <w:pPr>
              <w:spacing w:after="0"/>
              <w:rPr>
                <w:sz w:val="12"/>
                <w:szCs w:val="12"/>
                <w:color w:val="auto"/>
              </w:rPr>
            </w:pPr>
          </w:p>
        </w:tc>
        <w:tc>
          <w:tcPr>
            <w:tcW w:w="130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4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2"/>
                <w:szCs w:val="12"/>
                <w:color w:val="auto"/>
              </w:rPr>
            </w:pPr>
          </w:p>
        </w:tc>
        <w:tc>
          <w:tcPr>
            <w:tcW w:w="86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232.1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080" w:type="dxa"/>
            <w:vAlign w:val="bottom"/>
            <w:tcBorders>
              <w:top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Subtotal</w:t>
            </w:r>
          </w:p>
        </w:tc>
        <w:tc>
          <w:tcPr>
            <w:tcW w:w="120" w:type="dxa"/>
            <w:vAlign w:val="bottom"/>
            <w:tcBorders>
              <w:top w:val="single" w:sz="8" w:color="auto"/>
            </w:tcBorders>
            <w:shd w:val="clear" w:color="auto" w:fill="CCEEFF"/>
          </w:tcPr>
          <w:p>
            <w:pPr>
              <w:spacing w:after="0"/>
              <w:rPr>
                <w:sz w:val="12"/>
                <w:szCs w:val="12"/>
                <w:color w:val="auto"/>
              </w:rPr>
            </w:pPr>
          </w:p>
        </w:tc>
        <w:tc>
          <w:tcPr>
            <w:tcW w:w="8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8,433.3</w:t>
            </w:r>
          </w:p>
        </w:tc>
        <w:tc>
          <w:tcPr>
            <w:tcW w:w="22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spacing w:after="0"/>
              <w:rPr>
                <w:sz w:val="12"/>
                <w:szCs w:val="12"/>
                <w:color w:val="auto"/>
              </w:rPr>
            </w:pPr>
          </w:p>
        </w:tc>
        <w:tc>
          <w:tcPr>
            <w:tcW w:w="11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2,462.0</w:t>
            </w:r>
          </w:p>
        </w:tc>
        <w:tc>
          <w:tcPr>
            <w:tcW w:w="180" w:type="dxa"/>
            <w:vAlign w:val="bottom"/>
            <w:tcBorders>
              <w:top w:val="single" w:sz="8" w:color="CCEEFF"/>
            </w:tcBorders>
            <w:shd w:val="clear" w:color="auto" w:fill="CCEEFF"/>
          </w:tcPr>
          <w:p>
            <w:pPr>
              <w:spacing w:after="0"/>
              <w:rPr>
                <w:sz w:val="12"/>
                <w:szCs w:val="12"/>
                <w:color w:val="auto"/>
              </w:rPr>
            </w:pPr>
          </w:p>
        </w:tc>
        <w:tc>
          <w:tcPr>
            <w:tcW w:w="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12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3,884.0</w:t>
            </w:r>
          </w:p>
        </w:tc>
        <w:tc>
          <w:tcPr>
            <w:tcW w:w="2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12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590.8</w:t>
            </w:r>
          </w:p>
        </w:tc>
        <w:tc>
          <w:tcPr>
            <w:tcW w:w="2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11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51.3</w:t>
            </w:r>
          </w:p>
        </w:tc>
        <w:tc>
          <w:tcPr>
            <w:tcW w:w="200" w:type="dxa"/>
            <w:vAlign w:val="bottom"/>
            <w:tcBorders>
              <w:top w:val="single" w:sz="8" w:color="CCEEFF"/>
            </w:tcBorders>
            <w:shd w:val="clear" w:color="auto" w:fill="CCEEFF"/>
          </w:tcPr>
          <w:p>
            <w:pPr>
              <w:spacing w:after="0"/>
              <w:rPr>
                <w:sz w:val="12"/>
                <w:szCs w:val="12"/>
                <w:color w:val="auto"/>
              </w:rPr>
            </w:pPr>
          </w:p>
        </w:tc>
        <w:tc>
          <w:tcPr>
            <w:tcW w:w="200" w:type="dxa"/>
            <w:vAlign w:val="bottom"/>
            <w:tcBorders>
              <w:top w:val="single" w:sz="8" w:color="auto"/>
            </w:tcBorders>
            <w:shd w:val="clear" w:color="auto" w:fill="CCEEFF"/>
          </w:tcPr>
          <w:p>
            <w:pPr>
              <w:spacing w:after="0"/>
              <w:rPr>
                <w:sz w:val="12"/>
                <w:szCs w:val="12"/>
                <w:color w:val="auto"/>
              </w:rPr>
            </w:pPr>
          </w:p>
        </w:tc>
        <w:tc>
          <w:tcPr>
            <w:tcW w:w="7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15,421.4</w:t>
            </w:r>
          </w:p>
        </w:tc>
        <w:tc>
          <w:tcPr>
            <w:tcW w:w="14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3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U.S. Insurance Solutions</w:t>
            </w: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tcPr>
          <w:p>
            <w:pPr>
              <w:spacing w:after="0" w:line="149" w:lineRule="exact"/>
              <w:rPr>
                <w:sz w:val="20"/>
                <w:szCs w:val="20"/>
                <w:color w:val="auto"/>
              </w:rPr>
            </w:pPr>
            <w:r>
              <w:rPr>
                <w:rFonts w:ascii="Arial" w:cs="Arial" w:eastAsia="Arial" w:hAnsi="Arial"/>
                <w:sz w:val="14"/>
                <w:szCs w:val="14"/>
                <w:color w:val="auto"/>
              </w:rPr>
              <w:t>Up to 1.00%</w:t>
            </w:r>
          </w:p>
        </w:tc>
        <w:tc>
          <w:tcPr>
            <w:tcW w:w="120" w:type="dxa"/>
            <w:vAlign w:val="bottom"/>
          </w:tcPr>
          <w:p>
            <w:pPr>
              <w:spacing w:after="0"/>
              <w:rPr>
                <w:sz w:val="12"/>
                <w:szCs w:val="12"/>
                <w:color w:val="auto"/>
              </w:rPr>
            </w:pP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30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31.5</w:t>
            </w:r>
          </w:p>
        </w:tc>
        <w:tc>
          <w:tcPr>
            <w:tcW w:w="120" w:type="dxa"/>
            <w:vAlign w:val="bottom"/>
          </w:tcPr>
          <w:p>
            <w:pPr>
              <w:spacing w:after="0"/>
              <w:rPr>
                <w:sz w:val="12"/>
                <w:szCs w:val="12"/>
                <w:color w:val="auto"/>
              </w:rPr>
            </w:pPr>
          </w:p>
        </w:tc>
        <w:tc>
          <w:tcPr>
            <w:tcW w:w="14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24.6</w:t>
            </w:r>
          </w:p>
        </w:tc>
        <w:tc>
          <w:tcPr>
            <w:tcW w:w="200" w:type="dxa"/>
            <w:vAlign w:val="bottom"/>
          </w:tcPr>
          <w:p>
            <w:pPr>
              <w:spacing w:after="0"/>
              <w:rPr>
                <w:sz w:val="12"/>
                <w:szCs w:val="12"/>
                <w:color w:val="auto"/>
              </w:rPr>
            </w:pPr>
          </w:p>
        </w:tc>
        <w:tc>
          <w:tcPr>
            <w:tcW w:w="86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56.1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1.01% - 2.00%</w:t>
            </w:r>
          </w:p>
        </w:tc>
        <w:tc>
          <w:tcPr>
            <w:tcW w:w="12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292.0</w:t>
            </w:r>
          </w:p>
        </w:tc>
        <w:tc>
          <w:tcPr>
            <w:tcW w:w="160" w:type="dxa"/>
            <w:vAlign w:val="bottom"/>
            <w:shd w:val="clear" w:color="auto" w:fill="CCEEFF"/>
          </w:tcPr>
          <w:p>
            <w:pPr>
              <w:spacing w:after="0"/>
              <w:rPr>
                <w:sz w:val="12"/>
                <w:szCs w:val="12"/>
                <w:color w:val="auto"/>
              </w:rPr>
            </w:pPr>
          </w:p>
        </w:tc>
        <w:tc>
          <w:tcPr>
            <w:tcW w:w="13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w:t>
            </w: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159.3</w:t>
            </w:r>
          </w:p>
        </w:tc>
        <w:tc>
          <w:tcPr>
            <w:tcW w:w="12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134.6</w:t>
            </w:r>
          </w:p>
        </w:tc>
        <w:tc>
          <w:tcPr>
            <w:tcW w:w="1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34.3</w:t>
            </w:r>
          </w:p>
        </w:tc>
        <w:tc>
          <w:tcPr>
            <w:tcW w:w="20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620.2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tcPr>
          <w:p>
            <w:pPr>
              <w:spacing w:after="0" w:line="149" w:lineRule="exact"/>
              <w:rPr>
                <w:sz w:val="20"/>
                <w:szCs w:val="20"/>
                <w:color w:val="auto"/>
              </w:rPr>
            </w:pPr>
            <w:r>
              <w:rPr>
                <w:rFonts w:ascii="Arial" w:cs="Arial" w:eastAsia="Arial" w:hAnsi="Arial"/>
                <w:sz w:val="14"/>
                <w:szCs w:val="14"/>
                <w:color w:val="auto"/>
              </w:rPr>
              <w:t>2.01% - 3.00%</w:t>
            </w:r>
          </w:p>
        </w:tc>
        <w:tc>
          <w:tcPr>
            <w:tcW w:w="120" w:type="dxa"/>
            <w:vAlign w:val="bottom"/>
          </w:tcPr>
          <w:p>
            <w:pPr>
              <w:spacing w:after="0"/>
              <w:rPr>
                <w:sz w:val="12"/>
                <w:szCs w:val="12"/>
                <w:color w:val="auto"/>
              </w:rPr>
            </w:pP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1,879.9</w:t>
            </w:r>
          </w:p>
        </w:tc>
        <w:tc>
          <w:tcPr>
            <w:tcW w:w="160" w:type="dxa"/>
            <w:vAlign w:val="bottom"/>
          </w:tcPr>
          <w:p>
            <w:pPr>
              <w:spacing w:after="0"/>
              <w:rPr>
                <w:sz w:val="12"/>
                <w:szCs w:val="12"/>
                <w:color w:val="auto"/>
              </w:rPr>
            </w:pPr>
          </w:p>
        </w:tc>
        <w:tc>
          <w:tcPr>
            <w:tcW w:w="130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1,016.6</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228.7</w:t>
            </w:r>
          </w:p>
        </w:tc>
        <w:tc>
          <w:tcPr>
            <w:tcW w:w="120" w:type="dxa"/>
            <w:vAlign w:val="bottom"/>
          </w:tcPr>
          <w:p>
            <w:pPr>
              <w:spacing w:after="0"/>
              <w:rPr>
                <w:sz w:val="12"/>
                <w:szCs w:val="12"/>
                <w:color w:val="auto"/>
              </w:rPr>
            </w:pPr>
          </w:p>
        </w:tc>
        <w:tc>
          <w:tcPr>
            <w:tcW w:w="14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80.6</w:t>
            </w:r>
          </w:p>
        </w:tc>
        <w:tc>
          <w:tcPr>
            <w:tcW w:w="12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0.1</w:t>
            </w:r>
          </w:p>
        </w:tc>
        <w:tc>
          <w:tcPr>
            <w:tcW w:w="200" w:type="dxa"/>
            <w:vAlign w:val="bottom"/>
          </w:tcPr>
          <w:p>
            <w:pPr>
              <w:spacing w:after="0"/>
              <w:rPr>
                <w:sz w:val="12"/>
                <w:szCs w:val="12"/>
                <w:color w:val="auto"/>
              </w:rPr>
            </w:pPr>
          </w:p>
        </w:tc>
        <w:tc>
          <w:tcPr>
            <w:tcW w:w="86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3,205.9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3.01% - 4.00%</w:t>
            </w:r>
          </w:p>
        </w:tc>
        <w:tc>
          <w:tcPr>
            <w:tcW w:w="12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1,437.2</w:t>
            </w:r>
          </w:p>
        </w:tc>
        <w:tc>
          <w:tcPr>
            <w:tcW w:w="160" w:type="dxa"/>
            <w:vAlign w:val="bottom"/>
            <w:shd w:val="clear" w:color="auto" w:fill="CCEEFF"/>
          </w:tcPr>
          <w:p>
            <w:pPr>
              <w:spacing w:after="0"/>
              <w:rPr>
                <w:sz w:val="12"/>
                <w:szCs w:val="12"/>
                <w:color w:val="auto"/>
              </w:rPr>
            </w:pPr>
          </w:p>
        </w:tc>
        <w:tc>
          <w:tcPr>
            <w:tcW w:w="13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b w:val="1"/>
                <w:bCs w:val="1"/>
                <w:color w:val="auto"/>
              </w:rPr>
              <w:t>60.9</w:t>
            </w: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12.1</w:t>
            </w:r>
          </w:p>
        </w:tc>
        <w:tc>
          <w:tcPr>
            <w:tcW w:w="12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35.0</w:t>
            </w:r>
          </w:p>
        </w:tc>
        <w:tc>
          <w:tcPr>
            <w:tcW w:w="1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4.5</w:t>
            </w:r>
          </w:p>
        </w:tc>
        <w:tc>
          <w:tcPr>
            <w:tcW w:w="20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1,549.7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tcPr>
          <w:p>
            <w:pPr>
              <w:spacing w:after="0" w:line="149" w:lineRule="exact"/>
              <w:rPr>
                <w:sz w:val="20"/>
                <w:szCs w:val="20"/>
                <w:color w:val="auto"/>
              </w:rPr>
            </w:pPr>
            <w:r>
              <w:rPr>
                <w:rFonts w:ascii="Arial" w:cs="Arial" w:eastAsia="Arial" w:hAnsi="Arial"/>
                <w:sz w:val="14"/>
                <w:szCs w:val="14"/>
                <w:color w:val="auto"/>
              </w:rPr>
              <w:t>4.01% - 5.00%</w:t>
            </w:r>
          </w:p>
        </w:tc>
        <w:tc>
          <w:tcPr>
            <w:tcW w:w="120" w:type="dxa"/>
            <w:vAlign w:val="bottom"/>
          </w:tcPr>
          <w:p>
            <w:pPr>
              <w:spacing w:after="0"/>
              <w:rPr>
                <w:sz w:val="12"/>
                <w:szCs w:val="12"/>
                <w:color w:val="auto"/>
              </w:rPr>
            </w:pP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192.2</w:t>
            </w:r>
          </w:p>
        </w:tc>
        <w:tc>
          <w:tcPr>
            <w:tcW w:w="160" w:type="dxa"/>
            <w:vAlign w:val="bottom"/>
          </w:tcPr>
          <w:p>
            <w:pPr>
              <w:spacing w:after="0"/>
              <w:rPr>
                <w:sz w:val="12"/>
                <w:szCs w:val="12"/>
                <w:color w:val="auto"/>
              </w:rPr>
            </w:pPr>
          </w:p>
        </w:tc>
        <w:tc>
          <w:tcPr>
            <w:tcW w:w="130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64.6</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rPr>
              <w:t>59.3</w:t>
            </w:r>
          </w:p>
        </w:tc>
        <w:tc>
          <w:tcPr>
            <w:tcW w:w="120" w:type="dxa"/>
            <w:vAlign w:val="bottom"/>
          </w:tcPr>
          <w:p>
            <w:pPr>
              <w:spacing w:after="0"/>
              <w:rPr>
                <w:sz w:val="12"/>
                <w:szCs w:val="12"/>
                <w:color w:val="auto"/>
              </w:rPr>
            </w:pPr>
          </w:p>
        </w:tc>
        <w:tc>
          <w:tcPr>
            <w:tcW w:w="14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13.4</w:t>
            </w:r>
          </w:p>
        </w:tc>
        <w:tc>
          <w:tcPr>
            <w:tcW w:w="12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2"/>
                <w:szCs w:val="12"/>
                <w:color w:val="auto"/>
              </w:rPr>
            </w:pPr>
          </w:p>
        </w:tc>
        <w:tc>
          <w:tcPr>
            <w:tcW w:w="86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rPr>
              <w:t>329.5</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080" w:type="dxa"/>
            <w:vAlign w:val="bottom"/>
            <w:tcBorders>
              <w:top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Subtotal</w:t>
            </w:r>
          </w:p>
        </w:tc>
        <w:tc>
          <w:tcPr>
            <w:tcW w:w="120" w:type="dxa"/>
            <w:vAlign w:val="bottom"/>
            <w:tcBorders>
              <w:top w:val="single" w:sz="8" w:color="auto"/>
              <w:bottom w:val="single" w:sz="8" w:color="auto"/>
            </w:tcBorders>
            <w:shd w:val="clear" w:color="auto" w:fill="CCEEFF"/>
          </w:tcPr>
          <w:p>
            <w:pPr>
              <w:spacing w:after="0"/>
              <w:rPr>
                <w:sz w:val="12"/>
                <w:szCs w:val="12"/>
                <w:color w:val="auto"/>
              </w:rPr>
            </w:pPr>
          </w:p>
        </w:tc>
        <w:tc>
          <w:tcPr>
            <w:tcW w:w="8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3,801.3</w:t>
            </w:r>
          </w:p>
        </w:tc>
        <w:tc>
          <w:tcPr>
            <w:tcW w:w="22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bottom w:val="single" w:sz="8" w:color="auto"/>
            </w:tcBorders>
            <w:shd w:val="clear" w:color="auto" w:fill="CCEEFF"/>
          </w:tcPr>
          <w:p>
            <w:pPr>
              <w:spacing w:after="0"/>
              <w:rPr>
                <w:sz w:val="12"/>
                <w:szCs w:val="12"/>
                <w:color w:val="auto"/>
              </w:rPr>
            </w:pPr>
          </w:p>
        </w:tc>
        <w:tc>
          <w:tcPr>
            <w:tcW w:w="11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1,142.1</w:t>
            </w:r>
          </w:p>
        </w:tc>
        <w:tc>
          <w:tcPr>
            <w:tcW w:w="180" w:type="dxa"/>
            <w:vAlign w:val="bottom"/>
            <w:tcBorders>
              <w:top w:val="single" w:sz="8" w:color="CCEEFF"/>
            </w:tcBorders>
            <w:shd w:val="clear" w:color="auto" w:fill="CCEEFF"/>
          </w:tcPr>
          <w:p>
            <w:pPr>
              <w:spacing w:after="0"/>
              <w:rPr>
                <w:sz w:val="12"/>
                <w:szCs w:val="12"/>
                <w:color w:val="auto"/>
              </w:rPr>
            </w:pPr>
          </w:p>
        </w:tc>
        <w:tc>
          <w:tcPr>
            <w:tcW w:w="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bottom w:val="single" w:sz="8" w:color="auto"/>
            </w:tcBorders>
            <w:shd w:val="clear" w:color="auto" w:fill="CCEEFF"/>
          </w:tcPr>
          <w:p>
            <w:pPr>
              <w:spacing w:after="0"/>
              <w:rPr>
                <w:sz w:val="12"/>
                <w:szCs w:val="12"/>
                <w:color w:val="auto"/>
              </w:rPr>
            </w:pPr>
          </w:p>
        </w:tc>
        <w:tc>
          <w:tcPr>
            <w:tcW w:w="12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490.9</w:t>
            </w:r>
          </w:p>
        </w:tc>
        <w:tc>
          <w:tcPr>
            <w:tcW w:w="2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bottom w:val="single" w:sz="8" w:color="auto"/>
            </w:tcBorders>
            <w:shd w:val="clear" w:color="auto" w:fill="CCEEFF"/>
          </w:tcPr>
          <w:p>
            <w:pPr>
              <w:spacing w:after="0"/>
              <w:rPr>
                <w:sz w:val="12"/>
                <w:szCs w:val="12"/>
                <w:color w:val="auto"/>
              </w:rPr>
            </w:pPr>
          </w:p>
        </w:tc>
        <w:tc>
          <w:tcPr>
            <w:tcW w:w="12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263.6</w:t>
            </w:r>
          </w:p>
        </w:tc>
        <w:tc>
          <w:tcPr>
            <w:tcW w:w="2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bottom w:val="single" w:sz="8" w:color="auto"/>
            </w:tcBorders>
            <w:shd w:val="clear" w:color="auto" w:fill="CCEEFF"/>
          </w:tcPr>
          <w:p>
            <w:pPr>
              <w:spacing w:after="0"/>
              <w:rPr>
                <w:sz w:val="12"/>
                <w:szCs w:val="12"/>
                <w:color w:val="auto"/>
              </w:rPr>
            </w:pPr>
          </w:p>
        </w:tc>
        <w:tc>
          <w:tcPr>
            <w:tcW w:w="11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63.5</w:t>
            </w:r>
          </w:p>
        </w:tc>
        <w:tc>
          <w:tcPr>
            <w:tcW w:w="200" w:type="dxa"/>
            <w:vAlign w:val="bottom"/>
            <w:tcBorders>
              <w:top w:val="single" w:sz="8" w:color="CCEEFF"/>
            </w:tcBorders>
            <w:shd w:val="clear" w:color="auto" w:fill="CCEEFF"/>
          </w:tcPr>
          <w:p>
            <w:pPr>
              <w:spacing w:after="0"/>
              <w:rPr>
                <w:sz w:val="12"/>
                <w:szCs w:val="12"/>
                <w:color w:val="auto"/>
              </w:rPr>
            </w:pPr>
          </w:p>
        </w:tc>
        <w:tc>
          <w:tcPr>
            <w:tcW w:w="200" w:type="dxa"/>
            <w:vAlign w:val="bottom"/>
            <w:tcBorders>
              <w:top w:val="single" w:sz="8" w:color="auto"/>
              <w:bottom w:val="single" w:sz="8" w:color="auto"/>
            </w:tcBorders>
            <w:shd w:val="clear" w:color="auto" w:fill="CCEEFF"/>
          </w:tcPr>
          <w:p>
            <w:pPr>
              <w:spacing w:after="0"/>
              <w:rPr>
                <w:sz w:val="12"/>
                <w:szCs w:val="12"/>
                <w:color w:val="auto"/>
              </w:rPr>
            </w:pPr>
          </w:p>
        </w:tc>
        <w:tc>
          <w:tcPr>
            <w:tcW w:w="72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5,761.4</w:t>
            </w:r>
          </w:p>
        </w:tc>
        <w:tc>
          <w:tcPr>
            <w:tcW w:w="14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3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0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Total</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12,234.6</w:t>
            </w: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b w:val="1"/>
                <w:bCs w:val="1"/>
                <w:color w:val="auto"/>
                <w:w w:val="76"/>
              </w:rPr>
              <w:t>$</w:t>
            </w: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3,604.1</w:t>
            </w:r>
          </w:p>
        </w:tc>
        <w:tc>
          <w:tcPr>
            <w:tcW w:w="1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4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4,374.9</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4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854.4</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w w:val="76"/>
              </w:rPr>
              <w:t>$</w:t>
            </w:r>
          </w:p>
        </w:tc>
        <w:tc>
          <w:tcPr>
            <w:tcW w:w="13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b w:val="1"/>
                <w:bCs w:val="1"/>
                <w:color w:val="auto"/>
              </w:rPr>
              <w:t>114.8</w:t>
            </w:r>
          </w:p>
        </w:tc>
        <w:tc>
          <w:tcPr>
            <w:tcW w:w="200" w:type="dxa"/>
            <w:vAlign w:val="bottom"/>
            <w:shd w:val="clear" w:color="auto" w:fill="CCEEFF"/>
          </w:tcPr>
          <w:p>
            <w:pPr>
              <w:jc w:val="right"/>
              <w:ind w:right="48"/>
              <w:spacing w:after="0" w:line="149" w:lineRule="exact"/>
              <w:rPr>
                <w:sz w:val="20"/>
                <w:szCs w:val="20"/>
                <w:color w:val="auto"/>
              </w:rPr>
            </w:pPr>
            <w:r>
              <w:rPr>
                <w:rFonts w:ascii="Arial" w:cs="Arial" w:eastAsia="Arial" w:hAnsi="Arial"/>
                <w:sz w:val="14"/>
                <w:szCs w:val="14"/>
                <w:b w:val="1"/>
                <w:bCs w:val="1"/>
                <w:color w:val="auto"/>
                <w:w w:val="76"/>
              </w:rPr>
              <w:t>$</w:t>
            </w:r>
          </w:p>
        </w:tc>
        <w:tc>
          <w:tcPr>
            <w:tcW w:w="8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b w:val="1"/>
                <w:bCs w:val="1"/>
                <w:color w:val="auto"/>
              </w:rPr>
              <w:t>21,182.8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08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4"/>
                <w:szCs w:val="14"/>
                <w:color w:val="auto"/>
              </w:rPr>
              <w:t>Percentage of total</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20" w:type="dxa"/>
            <w:vAlign w:val="bottom"/>
          </w:tcPr>
          <w:p>
            <w:pPr>
              <w:spacing w:after="0"/>
              <w:rPr>
                <w:sz w:val="14"/>
                <w:szCs w:val="14"/>
                <w:color w:val="auto"/>
              </w:rPr>
            </w:pPr>
          </w:p>
        </w:tc>
        <w:tc>
          <w:tcPr>
            <w:tcW w:w="30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57.8%</w:t>
            </w:r>
          </w:p>
        </w:tc>
        <w:tc>
          <w:tcPr>
            <w:tcW w:w="160" w:type="dxa"/>
            <w:vAlign w:val="bottom"/>
          </w:tcPr>
          <w:p>
            <w:pPr>
              <w:spacing w:after="0"/>
              <w:rPr>
                <w:sz w:val="14"/>
                <w:szCs w:val="14"/>
                <w:color w:val="auto"/>
              </w:rPr>
            </w:pPr>
          </w:p>
        </w:tc>
        <w:tc>
          <w:tcPr>
            <w:tcW w:w="1300" w:type="dxa"/>
            <w:vAlign w:val="bottom"/>
            <w:gridSpan w:val="2"/>
          </w:tcPr>
          <w:p>
            <w:pPr>
              <w:jc w:val="right"/>
              <w:ind w:right="40"/>
              <w:spacing w:after="0"/>
              <w:rPr>
                <w:sz w:val="20"/>
                <w:szCs w:val="20"/>
                <w:color w:val="auto"/>
              </w:rPr>
            </w:pPr>
            <w:r>
              <w:rPr>
                <w:rFonts w:ascii="Arial" w:cs="Arial" w:eastAsia="Arial" w:hAnsi="Arial"/>
                <w:sz w:val="14"/>
                <w:szCs w:val="14"/>
                <w:b w:val="1"/>
                <w:bCs w:val="1"/>
                <w:color w:val="auto"/>
              </w:rPr>
              <w:t>17.0%</w:t>
            </w: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20.7%</w:t>
            </w:r>
          </w:p>
        </w:tc>
        <w:tc>
          <w:tcPr>
            <w:tcW w:w="120" w:type="dxa"/>
            <w:vAlign w:val="bottom"/>
          </w:tcPr>
          <w:p>
            <w:pPr>
              <w:spacing w:after="0"/>
              <w:rPr>
                <w:sz w:val="14"/>
                <w:szCs w:val="14"/>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4.0%</w:t>
            </w:r>
          </w:p>
        </w:tc>
        <w:tc>
          <w:tcPr>
            <w:tcW w:w="120" w:type="dxa"/>
            <w:vAlign w:val="bottom"/>
          </w:tcPr>
          <w:p>
            <w:pPr>
              <w:spacing w:after="0"/>
              <w:rPr>
                <w:sz w:val="14"/>
                <w:szCs w:val="14"/>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0.5%</w:t>
            </w:r>
          </w:p>
        </w:tc>
        <w:tc>
          <w:tcPr>
            <w:tcW w:w="200" w:type="dxa"/>
            <w:vAlign w:val="bottom"/>
          </w:tcPr>
          <w:p>
            <w:pPr>
              <w:spacing w:after="0"/>
              <w:rPr>
                <w:sz w:val="14"/>
                <w:szCs w:val="14"/>
                <w:color w:val="auto"/>
              </w:rPr>
            </w:pPr>
          </w:p>
        </w:tc>
        <w:tc>
          <w:tcPr>
            <w:tcW w:w="860" w:type="dxa"/>
            <w:vAlign w:val="bottom"/>
            <w:gridSpan w:val="2"/>
          </w:tcPr>
          <w:p>
            <w:pPr>
              <w:jc w:val="right"/>
              <w:spacing w:after="0"/>
              <w:rPr>
                <w:sz w:val="20"/>
                <w:szCs w:val="20"/>
                <w:color w:val="auto"/>
              </w:rPr>
            </w:pPr>
            <w:r>
              <w:rPr>
                <w:rFonts w:ascii="Arial" w:cs="Arial" w:eastAsia="Arial" w:hAnsi="Arial"/>
                <w:sz w:val="14"/>
                <w:szCs w:val="14"/>
                <w:b w:val="1"/>
                <w:bCs w:val="1"/>
                <w:color w:val="auto"/>
              </w:rPr>
              <w:t>100.0%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181610</wp:posOffset>
            </wp:positionV>
            <wp:extent cx="1826895" cy="88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74"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6"/>
          <w:szCs w:val="16"/>
          <w:color w:val="auto"/>
        </w:rPr>
        <w:t>Includes only the account values, net of policy loans, for products with GMIRs and discretionary crediting rates.</w:t>
      </w:r>
    </w:p>
    <w:p>
      <w:pPr>
        <w:spacing w:after="0" w:line="225" w:lineRule="exact"/>
        <w:rPr>
          <w:sz w:val="20"/>
          <w:szCs w:val="20"/>
          <w:color w:val="auto"/>
        </w:rPr>
      </w:pPr>
    </w:p>
    <w:p>
      <w:pPr>
        <w:ind w:right="40" w:firstLine="648"/>
        <w:spacing w:after="0" w:line="269" w:lineRule="auto"/>
        <w:rPr>
          <w:sz w:val="20"/>
          <w:szCs w:val="20"/>
          <w:color w:val="auto"/>
        </w:rPr>
      </w:pPr>
      <w:r>
        <w:rPr>
          <w:rFonts w:ascii="Arial" w:cs="Arial" w:eastAsia="Arial" w:hAnsi="Arial"/>
          <w:sz w:val="17"/>
          <w:szCs w:val="17"/>
          <w:color w:val="auto"/>
        </w:rPr>
        <w:t>During periods of low or declining interest rates, our margin of investment income above our interest credited to our liabilities (“investment margins”) may be negatively impacted. Assuming a hypothetical scenario where market interest rates immediately fall by 25 basis points from their September 30, 2015, levels and then remain unchanged thereafter, we estimate that the impact of such an environment could reduce our investment margins for our domestic business by approximately $1.4 million and $4.5 million pre-tax during the twelve months ending September 30, 2016 and 2017, respectively, compared to a scenario where market interest rates remain unchanged from their September 30, 2015, levels. This hypothetical scenario reflects only the impact related to the approximately $21.2 billion of in-force contracts with guaranteed minimum interest rates shown above, and does not reflect potential impacts on our DAC asset and other actuarial balances. In determining the potential impact, we have reflected the impact of potential changes in crediting rates to policyholders, limited by any restrictions on our ability to adjust crediting rates due to guaranteed minimum interest rates. Our estimates of future margins include the impact of expected premium payments, lapses, and withdrawals on existing policies, but they do not include the impact of new sales. Our selection of a 25 basis point immediate, parallel decrease in interest rates is a hypothetical rate scenario we use to demonstrate potential risk. While a 25 basis point immediate, parallel decrease does not represent our view of future market changes, it is a near term reasonably possible hypothetical change that illustrates the potential impact of such events.</w:t>
      </w:r>
    </w:p>
    <w:p>
      <w:pPr>
        <w:spacing w:after="0" w:line="180" w:lineRule="exact"/>
        <w:rPr>
          <w:sz w:val="20"/>
          <w:szCs w:val="20"/>
          <w:color w:val="auto"/>
        </w:rPr>
      </w:pPr>
    </w:p>
    <w:p>
      <w:pPr>
        <w:ind w:right="120" w:firstLine="648"/>
        <w:spacing w:after="0" w:line="264" w:lineRule="auto"/>
        <w:rPr>
          <w:sz w:val="20"/>
          <w:szCs w:val="20"/>
          <w:color w:val="auto"/>
        </w:rPr>
      </w:pPr>
      <w:r>
        <w:rPr>
          <w:rFonts w:ascii="Arial" w:cs="Arial" w:eastAsia="Arial" w:hAnsi="Arial"/>
          <w:sz w:val="18"/>
          <w:szCs w:val="18"/>
          <w:color w:val="auto"/>
        </w:rPr>
        <w:t>We manage interest rate risk through the use of an integrated risk management framework that helps us identify, assess, monitor, report and manage our risks within established limits and risk tolerances. Our internal risk committees monitor and discuss our risk profile and identify necessary actions to mitigate impacts from interest rate risk.</w:t>
      </w:r>
    </w:p>
    <w:p>
      <w:pPr>
        <w:spacing w:after="0" w:line="181"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We also limit our exposure to interest rate risk through our business mix and strategy. We have intentionally limited our exposure to specific products where investment margins are critical to the product’s profitability, and we continue to emphasize the sale of products that generate revenues in the form of fees for service or premiums for insurance coverage and expose us to minimal interest rate risk.</w:t>
      </w:r>
    </w:p>
    <w:p>
      <w:pPr>
        <w:sectPr>
          <w:pgSz w:w="11900" w:h="16838" w:orient="portrait"/>
          <w:cols w:equalWidth="0" w:num="1">
            <w:col w:w="11420"/>
          </w:cols>
          <w:pgMar w:left="240" w:top="140" w:right="239" w:bottom="0" w:gutter="0" w:footer="0" w:header="0"/>
        </w:sectPr>
      </w:pPr>
    </w:p>
    <w:bookmarkStart w:id="93" w:name="page94"/>
    <w:bookmarkEnd w:id="93"/>
    <w:p>
      <w:pPr>
        <w:spacing w:after="0" w:line="114" w:lineRule="exact"/>
        <w:rPr>
          <w:sz w:val="20"/>
          <w:szCs w:val="20"/>
          <w:color w:val="auto"/>
        </w:rPr>
      </w:pPr>
    </w:p>
    <w:p>
      <w:pPr>
        <w:ind w:right="60" w:firstLine="648"/>
        <w:spacing w:after="0" w:line="297" w:lineRule="auto"/>
        <w:rPr>
          <w:sz w:val="20"/>
          <w:szCs w:val="20"/>
          <w:color w:val="auto"/>
        </w:rPr>
      </w:pPr>
      <w:r>
        <w:rPr>
          <w:rFonts w:ascii="Arial" w:cs="Arial" w:eastAsia="Arial" w:hAnsi="Arial"/>
          <w:sz w:val="16"/>
          <w:szCs w:val="16"/>
          <w:color w:val="auto"/>
        </w:rPr>
        <w:t>One of the measures we use to quantify our exposure to interest rate risk is duration, which is a measure of the sensitivity of the fair value of assets and liabilities to changes in interest rates. Differences in durations between assets and liabilities are measured and kept within acceptable tolerances. Derivatives are also commonly used to mitigate interest rate risk due to cash flow mismatches and timing differences. Prepayment risk is controlled by limiting our exposure to investments that are prepayable without penalty prior to maturity at the option of the issuer. We also require additional yield on these investments to compensate for the risk the issuer will exercise such option. Prepayment risk is also controlled by limiting the sales of</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40"/>
        <w:spacing w:after="0" w:line="342" w:lineRule="auto"/>
        <w:rPr>
          <w:sz w:val="20"/>
          <w:szCs w:val="20"/>
          <w:color w:val="auto"/>
        </w:rPr>
      </w:pPr>
      <w:r>
        <w:rPr>
          <w:rFonts w:ascii="Arial" w:cs="Arial" w:eastAsia="Arial" w:hAnsi="Arial"/>
          <w:sz w:val="16"/>
          <w:szCs w:val="16"/>
          <w:color w:val="auto"/>
        </w:rPr>
        <w:t>liabilities with features such as puts or other options that can be exercised against the company at inopportune times. We manage the interest rate risk associated with our long-term borrowings by monitoring the interest rate environment and evaluating refinancing opportunities as maturity dates approach.</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See Item 7. “Management’s Discussion and Analysis of Financial Condition and Results of Operations — Critical Accounting Policies and Estimates</w:t>
      </w:r>
    </w:p>
    <w:p>
      <w:pPr>
        <w:spacing w:after="0" w:line="46" w:lineRule="exact"/>
        <w:rPr>
          <w:sz w:val="20"/>
          <w:szCs w:val="20"/>
          <w:color w:val="auto"/>
        </w:rPr>
      </w:pPr>
    </w:p>
    <w:p>
      <w:pPr>
        <w:ind w:right="540"/>
        <w:spacing w:after="0" w:line="261" w:lineRule="auto"/>
        <w:rPr>
          <w:sz w:val="20"/>
          <w:szCs w:val="20"/>
          <w:color w:val="auto"/>
        </w:rPr>
      </w:pPr>
      <w:r>
        <w:rPr>
          <w:rFonts w:ascii="Arial" w:cs="Arial" w:eastAsia="Arial" w:hAnsi="Arial"/>
          <w:sz w:val="18"/>
          <w:szCs w:val="18"/>
          <w:color w:val="auto"/>
        </w:rPr>
        <w:t>— Valuation and Impairment of Fixed Income Investments” in our Annual Report on Form 10-K for the year ended December 31, 2014, for additional discussion of the impact interest rate increases would have on fixed maturities, available-for-sale.</w:t>
      </w:r>
    </w:p>
    <w:p>
      <w:pPr>
        <w:spacing w:after="0" w:line="184"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The plan fiduciaries use a Dynamic Asset Allocation strategy for our qualified defined benefit pension plan, which strategically allocates an increasing portion of the assets of the pension plan to fixed income securities as the funding status improves. The intended purpose of using the Dynamic Asset Allocation strategy is that the expected change in the value of the plan assets and the change in pension benefit obligation due to market movements are more likely to have more correlation versus a static allocation of assets between categories. For more information see Item 7. “Management’s Discussion and Analysis of Financial Condition and Results of Operations — Critical Accounting Policies and Estimates — Benefit Plans” and Item 8. “Financial Statements and Supplementary Data, Notes to Consolidated Financial Statements, Note 7, Employee and Agent Benefits” in our Annual Report on Form 10-K for the year ended December 31, 2014.</w:t>
      </w:r>
    </w:p>
    <w:p>
      <w:pPr>
        <w:spacing w:after="0" w:line="185"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b w:val="1"/>
          <w:bCs w:val="1"/>
          <w:color w:val="auto"/>
        </w:rPr>
        <w:t xml:space="preserve">Use of Derivatives to Manage Interest Rate Risk. </w:t>
      </w:r>
      <w:r>
        <w:rPr>
          <w:rFonts w:ascii="Arial" w:cs="Arial" w:eastAsia="Arial" w:hAnsi="Arial"/>
          <w:sz w:val="17"/>
          <w:szCs w:val="17"/>
          <w:color w:val="auto"/>
        </w:rPr>
        <w:t>We use or have previously used various derivative financial instruments to manage our exposure</w:t>
      </w:r>
      <w:r>
        <w:rPr>
          <w:rFonts w:ascii="Arial" w:cs="Arial" w:eastAsia="Arial" w:hAnsi="Arial"/>
          <w:sz w:val="17"/>
          <w:szCs w:val="17"/>
          <w:b w:val="1"/>
          <w:bCs w:val="1"/>
          <w:color w:val="auto"/>
        </w:rPr>
        <w:t xml:space="preserve"> </w:t>
      </w:r>
      <w:r>
        <w:rPr>
          <w:rFonts w:ascii="Arial" w:cs="Arial" w:eastAsia="Arial" w:hAnsi="Arial"/>
          <w:sz w:val="17"/>
          <w:szCs w:val="17"/>
          <w:color w:val="auto"/>
        </w:rPr>
        <w:t>to fluctuations in interest rates, including interest rate swaps, interest rate collars, swaptions and futures. We use interest rate swaps and futures contracts to hedge changes in interest rates subsequent to the issuance of an insurance liability, such as a guaranteed investment contract, but prior to the purchase of a supporting asset, or during periods of holding assets in anticipation of near term liability sales. We use interest rate swaps primarily to more closely match the interest rate characteristics of assets and liabilities. They can be used to change the sensitivity to the interest rate of specific assets and liabilities as well as an entire portfolio. We use interest rate collars to manage interest rate risk related to GMIR liabilities in our individual annuities contracts and lapse risk associated with higher interest rates. We purchase swaptions to offset or modify existing exposures.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Risk</w:t>
      </w:r>
    </w:p>
    <w:p>
      <w:pPr>
        <w:spacing w:after="0" w:line="229" w:lineRule="exact"/>
        <w:rPr>
          <w:sz w:val="20"/>
          <w:szCs w:val="20"/>
          <w:color w:val="auto"/>
        </w:rPr>
      </w:pPr>
    </w:p>
    <w:p>
      <w:pPr>
        <w:ind w:right="160" w:firstLine="648"/>
        <w:spacing w:after="0" w:line="286" w:lineRule="auto"/>
        <w:rPr>
          <w:sz w:val="20"/>
          <w:szCs w:val="20"/>
          <w:color w:val="auto"/>
        </w:rPr>
      </w:pPr>
      <w:r>
        <w:rPr>
          <w:rFonts w:ascii="Arial" w:cs="Arial" w:eastAsia="Arial" w:hAnsi="Arial"/>
          <w:sz w:val="17"/>
          <w:szCs w:val="17"/>
          <w:color w:val="auto"/>
        </w:rPr>
        <w:t>Foreign currency risk is the risk we will incur economic losses due to adverse fluctuations in foreign currency exchange rates. This risk arises from foreign currency-denominated funding agreements issued to nonqualified institutional investors in the international market, foreign currency-denominated fixed maturity and equity securities, and our international operations, including potential acquisition and divestiture activity.</w:t>
      </w:r>
    </w:p>
    <w:p>
      <w:pPr>
        <w:spacing w:after="0" w:line="166" w:lineRule="exact"/>
        <w:rPr>
          <w:sz w:val="20"/>
          <w:szCs w:val="20"/>
          <w:color w:val="auto"/>
        </w:rPr>
      </w:pPr>
    </w:p>
    <w:p>
      <w:pPr>
        <w:jc w:val="both"/>
        <w:ind w:right="320" w:firstLine="648"/>
        <w:spacing w:after="0" w:line="288" w:lineRule="auto"/>
        <w:rPr>
          <w:sz w:val="20"/>
          <w:szCs w:val="20"/>
          <w:color w:val="auto"/>
        </w:rPr>
      </w:pPr>
      <w:r>
        <w:rPr>
          <w:rFonts w:ascii="Arial" w:cs="Arial" w:eastAsia="Arial" w:hAnsi="Arial"/>
          <w:sz w:val="16"/>
          <w:szCs w:val="16"/>
          <w:color w:val="auto"/>
        </w:rPr>
        <w:t>We estimate that as of September 30, 2015, a 10% immediate unfavorable change in each of the foreign currency exchange rates to which we are exposed would result in no material change to the net fair value of our foreign currency denominated instruments identified above because we effectively hedge foreign currency denominated instruments to minimize exchange rate impacts, which is consistent with our estimate as of December 31, 2014.</w:t>
      </w:r>
    </w:p>
    <w:p>
      <w:pPr>
        <w:jc w:val="both"/>
        <w:ind w:right="320"/>
        <w:spacing w:after="0" w:line="261" w:lineRule="auto"/>
        <w:rPr>
          <w:sz w:val="20"/>
          <w:szCs w:val="20"/>
          <w:color w:val="auto"/>
        </w:rPr>
      </w:pPr>
      <w:r>
        <w:rPr>
          <w:rFonts w:ascii="Arial" w:cs="Arial" w:eastAsia="Arial" w:hAnsi="Arial"/>
          <w:sz w:val="18"/>
          <w:szCs w:val="18"/>
          <w:color w:val="auto"/>
        </w:rPr>
        <w:t>However, fluctuations in foreign currency exchange rates do affect the translation of operating earnings and equity of our international operations into our consolidated financial statements.</w:t>
      </w:r>
    </w:p>
    <w:p>
      <w:pPr>
        <w:spacing w:after="0" w:line="184" w:lineRule="exact"/>
        <w:rPr>
          <w:sz w:val="20"/>
          <w:szCs w:val="20"/>
          <w:color w:val="auto"/>
        </w:rPr>
      </w:pPr>
    </w:p>
    <w:p>
      <w:pPr>
        <w:ind w:right="60" w:firstLine="648"/>
        <w:spacing w:after="0" w:line="270" w:lineRule="auto"/>
        <w:rPr>
          <w:sz w:val="20"/>
          <w:szCs w:val="20"/>
          <w:color w:val="auto"/>
        </w:rPr>
      </w:pPr>
      <w:r>
        <w:rPr>
          <w:rFonts w:ascii="Arial" w:cs="Arial" w:eastAsia="Arial" w:hAnsi="Arial"/>
          <w:sz w:val="17"/>
          <w:szCs w:val="17"/>
          <w:color w:val="auto"/>
        </w:rPr>
        <w:t>For our Principal International segment, we estimate that a 10% immediate unfavorable change in each of the foreign currency exchange rates to which we were exposed would have resulted in a $305.7 million, or 10%, reduction in the total equity excluding noncontrolling interests of our international operations as of September 30, 2015, as compared to an estimated $302.6 million, or 10%, reduction as of December 31, 2014. We estimate that a 10% unfavorable change in the average foreign currency exchange rates to which we were exposed through our international operations would have resulted in a $4.6 million, or 10%, reduction in the operating earnings of our international operations for the three months ended September 30, 2015, as compared to an estimated $6.5 million, or 9%, reduction for the three months ended September 30, 2014. In addition, we estimate that a 10% unfavorable change in the average foreign currency exchange rates to which we were exposed through our international operations would have resulted in a $18.6 million, or 11%, reduction in the operating earnings of our international operations for the nine months ended September 30, 2015, as compared to an estimated $21.1 million, or 10%, reduction for the nine months ended September 30, 2014.</w:t>
      </w:r>
    </w:p>
    <w:p>
      <w:pPr>
        <w:spacing w:after="0" w:line="182"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The selection of a 10% immediate unfavorable change in all currency exchange rates should not be construed as a prediction by us of future market events, but rather as an illustration of the potential impact of such an event. These exposures will change as a result of a change in the size and mix of our foreign operations.</w:t>
      </w:r>
    </w:p>
    <w:p>
      <w:pPr>
        <w:spacing w:after="0" w:line="177" w:lineRule="exact"/>
        <w:rPr>
          <w:sz w:val="20"/>
          <w:szCs w:val="20"/>
          <w:color w:val="auto"/>
        </w:rPr>
      </w:pPr>
    </w:p>
    <w:p>
      <w:pPr>
        <w:ind w:right="760" w:firstLine="648"/>
        <w:spacing w:after="0" w:line="282" w:lineRule="auto"/>
        <w:rPr>
          <w:sz w:val="20"/>
          <w:szCs w:val="20"/>
          <w:color w:val="auto"/>
        </w:rPr>
      </w:pPr>
      <w:r>
        <w:rPr>
          <w:rFonts w:ascii="Arial" w:cs="Arial" w:eastAsia="Arial" w:hAnsi="Arial"/>
          <w:sz w:val="18"/>
          <w:szCs w:val="18"/>
          <w:b w:val="1"/>
          <w:bCs w:val="1"/>
          <w:color w:val="auto"/>
        </w:rPr>
        <w:t xml:space="preserve">Use of Derivatives to Manage Foreign Currency Risk. </w:t>
      </w:r>
      <w:r>
        <w:rPr>
          <w:rFonts w:ascii="Arial" w:cs="Arial" w:eastAsia="Arial" w:hAnsi="Arial"/>
          <w:sz w:val="18"/>
          <w:szCs w:val="18"/>
          <w:color w:val="auto"/>
        </w:rPr>
        <w:t>The foreign currency risk on funding agreements and fixed maturities in our U.S.</w:t>
      </w:r>
      <w:r>
        <w:rPr>
          <w:rFonts w:ascii="Arial" w:cs="Arial" w:eastAsia="Arial" w:hAnsi="Arial"/>
          <w:sz w:val="18"/>
          <w:szCs w:val="18"/>
          <w:b w:val="1"/>
          <w:bCs w:val="1"/>
          <w:color w:val="auto"/>
        </w:rPr>
        <w:t xml:space="preserve"> </w:t>
      </w:r>
      <w:r>
        <w:rPr>
          <w:rFonts w:ascii="Arial" w:cs="Arial" w:eastAsia="Arial" w:hAnsi="Arial"/>
          <w:sz w:val="18"/>
          <w:szCs w:val="18"/>
          <w:color w:val="auto"/>
        </w:rPr>
        <w:t>operations is mitigated by using currency swaps that swap the foreign currency interest and principal</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color w:val="auto"/>
        </w:rPr>
        <w:t>payments to our functional currency. The notional amount of our currency swap agreements associated with foreign-denominated liabilities was $1,190.5 million as of both September 30, 2015 and December 31, 2014. The notional amount of our currency swap agreements associated with foreign-denominated fixed maturities was $492.7 million and $644.5 million as of September 30, 2015 and December 31, 2014, respectively. The notional amount of our currency forwards hedging foreign-denominated equity securities was $14.9 million and $17.9 million as of September 30, 2015 and December 31, 2014, respectively.</w:t>
      </w:r>
    </w:p>
    <w:p>
      <w:pPr>
        <w:spacing w:after="0" w:line="154" w:lineRule="exact"/>
        <w:rPr>
          <w:sz w:val="20"/>
          <w:szCs w:val="20"/>
          <w:color w:val="auto"/>
        </w:rPr>
      </w:pPr>
    </w:p>
    <w:p>
      <w:pPr>
        <w:ind w:right="80" w:firstLine="648"/>
        <w:spacing w:after="0" w:line="312" w:lineRule="auto"/>
        <w:rPr>
          <w:sz w:val="20"/>
          <w:szCs w:val="20"/>
          <w:color w:val="auto"/>
        </w:rPr>
      </w:pPr>
      <w:r>
        <w:rPr>
          <w:rFonts w:ascii="Arial" w:cs="Arial" w:eastAsia="Arial" w:hAnsi="Arial"/>
          <w:sz w:val="16"/>
          <w:szCs w:val="16"/>
          <w:color w:val="auto"/>
        </w:rPr>
        <w:t>With regard to our international operations, in order to enhance the diversification of our investment portfolios we may invest in bonds denominated in a currency that is different than the currency of our liabilities. We use foreign exchange derivatives to economically hedge the currency mismatch. Our Principal International operations had currency swaps with a notional amount of $148.4 million and $140.5 million as of September 30, 2015 and</w:t>
      </w:r>
    </w:p>
    <w:p>
      <w:pPr>
        <w:sectPr>
          <w:pgSz w:w="11900" w:h="16952" w:orient="portrait"/>
          <w:cols w:equalWidth="0" w:num="1">
            <w:col w:w="11420"/>
          </w:cols>
          <w:pgMar w:left="240" w:top="125" w:right="239" w:bottom="0" w:gutter="0" w:footer="0" w:header="0"/>
        </w:sectPr>
      </w:pPr>
    </w:p>
    <w:bookmarkStart w:id="94" w:name="page95"/>
    <w:bookmarkEnd w:id="94"/>
    <w:p>
      <w:pPr>
        <w:ind w:right="240"/>
        <w:spacing w:after="0" w:line="277" w:lineRule="auto"/>
        <w:rPr>
          <w:sz w:val="20"/>
          <w:szCs w:val="20"/>
          <w:color w:val="auto"/>
        </w:rPr>
      </w:pPr>
      <w:r>
        <w:rPr>
          <w:rFonts w:ascii="Arial" w:cs="Arial" w:eastAsia="Arial" w:hAnsi="Arial"/>
          <w:sz w:val="18"/>
          <w:szCs w:val="18"/>
          <w:color w:val="auto"/>
        </w:rPr>
        <w:t>December 31, 2014, respectively. Principal International also utilized currency forwards with a notional amount of $948.1 million and $252.8 million as of September 30, 2015 and December 31, 2014, respectively.</w:t>
      </w:r>
    </w:p>
    <w:p>
      <w:pPr>
        <w:spacing w:after="0" w:line="170" w:lineRule="exact"/>
        <w:rPr>
          <w:sz w:val="20"/>
          <w:szCs w:val="20"/>
          <w:color w:val="auto"/>
        </w:rPr>
      </w:pPr>
    </w:p>
    <w:p>
      <w:pPr>
        <w:ind w:right="440" w:firstLine="648"/>
        <w:spacing w:after="0" w:line="279" w:lineRule="auto"/>
        <w:rPr>
          <w:sz w:val="20"/>
          <w:szCs w:val="20"/>
          <w:color w:val="auto"/>
        </w:rPr>
      </w:pPr>
      <w:r>
        <w:rPr>
          <w:rFonts w:ascii="Arial" w:cs="Arial" w:eastAsia="Arial" w:hAnsi="Arial"/>
          <w:sz w:val="17"/>
          <w:szCs w:val="17"/>
          <w:color w:val="auto"/>
        </w:rPr>
        <w:t>There are times when we use derivatives to manage the foreign currency risk associated with a business combination. There were no hedges of business combinations outstanding at September 30, 2015 or December 31, 2014. Additionally, from time to time we take measures to hedge certain net equity investments in our foreign subsidiaries from currency risks. We used currency forwards during 2015 to hedge certain net investments in foreign operations. Currency forwards were not used for hedging any net investments in foreign operations during 2014.</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Risk</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Equity risk is the risk we will incur economic losses due to adverse fluctuations in common stock prices. As of September 30, 2015 and</w:t>
      </w:r>
    </w:p>
    <w:p>
      <w:pPr>
        <w:spacing w:after="0" w:line="23" w:lineRule="exact"/>
        <w:rPr>
          <w:sz w:val="20"/>
          <w:szCs w:val="20"/>
          <w:color w:val="auto"/>
        </w:rPr>
      </w:pPr>
    </w:p>
    <w:p>
      <w:pPr>
        <w:jc w:val="both"/>
        <w:ind w:right="40"/>
        <w:spacing w:after="0" w:line="255" w:lineRule="auto"/>
        <w:rPr>
          <w:sz w:val="20"/>
          <w:szCs w:val="20"/>
          <w:color w:val="auto"/>
        </w:rPr>
      </w:pPr>
      <w:r>
        <w:rPr>
          <w:rFonts w:ascii="Arial" w:cs="Arial" w:eastAsia="Arial" w:hAnsi="Arial"/>
          <w:sz w:val="18"/>
          <w:szCs w:val="18"/>
          <w:color w:val="auto"/>
        </w:rPr>
        <w:t>December 31, 2014, the fair value of our equity securities was $1,334.4 million and $963.2 million, respectively. As of September 30, 2015, we estimate that a 10% decline in the value of the equity securities would result in a decline in fair value of the equity securities of $133.4 million, as compared to a decline in fair value of the equity securities of $96.3 million as of December 31, 2014.</w:t>
      </w:r>
    </w:p>
    <w:p>
      <w:pPr>
        <w:spacing w:after="0" w:line="190"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5"/>
          <w:szCs w:val="15"/>
          <w:color w:val="auto"/>
        </w:rPr>
        <w:t>We are also exposed to the risk that asset-based fees decrease as a result of declines in assets under management due to changes in investment prices and the risk that asset management fees calculated by reference to performance could be lower. The risk of decreased asset-based and asset management fees could also impact our estimates of total gross profits used as a basis for amortizing deferred acquisition costs and other actuarial balances. We estimate that an immediate 10% decline in the S&amp;P index, followed by a 2% per quarter increase would reduce our annual operating earnings by approximately 4% to 6%.</w:t>
      </w:r>
    </w:p>
    <w:p>
      <w:pPr>
        <w:spacing w:after="0" w:line="2" w:lineRule="exact"/>
        <w:rPr>
          <w:sz w:val="20"/>
          <w:szCs w:val="20"/>
          <w:color w:val="auto"/>
        </w:rPr>
      </w:pPr>
    </w:p>
    <w:p>
      <w:pPr>
        <w:ind w:right="40"/>
        <w:spacing w:after="0" w:line="323" w:lineRule="auto"/>
        <w:rPr>
          <w:sz w:val="20"/>
          <w:szCs w:val="20"/>
          <w:color w:val="auto"/>
        </w:rPr>
      </w:pPr>
      <w:r>
        <w:rPr>
          <w:rFonts w:ascii="Arial" w:cs="Arial" w:eastAsia="Arial" w:hAnsi="Arial"/>
          <w:sz w:val="16"/>
          <w:szCs w:val="16"/>
          <w:color w:val="auto"/>
        </w:rPr>
        <w:t>For further discussion, see Item 7. “Management’s Discussion and Analysis of Financial Condition and Results of Operations — Critical Accounting Policies and Estimates — Deferred Acquisition Costs and Other Actuarial Balances” in our Annual Report on Form 10-K for the year ended December 31, 2014.</w:t>
      </w:r>
    </w:p>
    <w:p>
      <w:pPr>
        <w:spacing w:after="0" w:line="139" w:lineRule="exact"/>
        <w:rPr>
          <w:sz w:val="20"/>
          <w:szCs w:val="20"/>
          <w:color w:val="auto"/>
        </w:rPr>
      </w:pPr>
    </w:p>
    <w:p>
      <w:pPr>
        <w:ind w:right="80" w:firstLine="648"/>
        <w:spacing w:after="0" w:line="308" w:lineRule="auto"/>
        <w:rPr>
          <w:sz w:val="20"/>
          <w:szCs w:val="20"/>
          <w:color w:val="auto"/>
        </w:rPr>
      </w:pPr>
      <w:r>
        <w:rPr>
          <w:rFonts w:ascii="Arial" w:cs="Arial" w:eastAsia="Arial" w:hAnsi="Arial"/>
          <w:sz w:val="17"/>
          <w:szCs w:val="17"/>
          <w:color w:val="auto"/>
        </w:rPr>
        <w:t>The selection of a 10% unfavorable change in the equity markets should not be construed as a prediction by us of future market events, but rather as an illustration of the potential impact of such an event. Our exposure will change as a result of changes in our mix of business.</w:t>
      </w:r>
    </w:p>
    <w:p>
      <w:pPr>
        <w:spacing w:after="0" w:line="147" w:lineRule="exact"/>
        <w:rPr>
          <w:sz w:val="20"/>
          <w:szCs w:val="20"/>
          <w:color w:val="auto"/>
        </w:rPr>
      </w:pPr>
    </w:p>
    <w:p>
      <w:pPr>
        <w:ind w:right="100" w:firstLine="648"/>
        <w:spacing w:after="0" w:line="286" w:lineRule="auto"/>
        <w:rPr>
          <w:sz w:val="20"/>
          <w:szCs w:val="20"/>
          <w:color w:val="auto"/>
        </w:rPr>
      </w:pPr>
      <w:r>
        <w:rPr>
          <w:rFonts w:ascii="Arial" w:cs="Arial" w:eastAsia="Arial" w:hAnsi="Arial"/>
          <w:sz w:val="16"/>
          <w:szCs w:val="16"/>
          <w:color w:val="auto"/>
        </w:rPr>
        <w:t>We also have equity risk associated with (1) fixed deferred annuity and universal life contracts that credit interest to customers based on changes in an external equity index; (2) variable annuity contracts that have a GMWB rider that allows the customer to make withdrawals of a specified annual amount, either for a fixed number of years or for the lifetime of the customer, even if the account value is reduced to zero; (3) variable annuity contracts that have a guaranteed minimum death benefit (“GMDB”) that allows the death benefit to be paid, even if the account value has fallen below the GMDB amount and</w:t>
      </w:r>
    </w:p>
    <w:p>
      <w:pPr>
        <w:spacing w:after="0" w:line="2" w:lineRule="exact"/>
        <w:rPr>
          <w:sz w:val="20"/>
          <w:szCs w:val="20"/>
          <w:color w:val="auto"/>
        </w:rPr>
      </w:pPr>
    </w:p>
    <w:p>
      <w:pPr>
        <w:jc w:val="both"/>
        <w:ind w:right="200" w:firstLine="8"/>
        <w:spacing w:after="0" w:line="254" w:lineRule="auto"/>
        <w:tabs>
          <w:tab w:leader="none" w:pos="255" w:val="left"/>
        </w:tabs>
        <w:numPr>
          <w:ilvl w:val="0"/>
          <w:numId w:val="49"/>
        </w:numPr>
        <w:rPr>
          <w:rFonts w:ascii="Arial" w:cs="Arial" w:eastAsia="Arial" w:hAnsi="Arial"/>
          <w:sz w:val="18"/>
          <w:szCs w:val="18"/>
          <w:color w:val="auto"/>
        </w:rPr>
      </w:pPr>
      <w:r>
        <w:rPr>
          <w:rFonts w:ascii="Arial" w:cs="Arial" w:eastAsia="Arial" w:hAnsi="Arial"/>
          <w:sz w:val="18"/>
          <w:szCs w:val="18"/>
          <w:color w:val="auto"/>
        </w:rPr>
        <w:t>investment-type insurance contracts in which the return is subject to minimum contractual guarantees. We are also subject to equity risk based upon the assets that support our employee benefit plans. For further discussion of equity risk associated with these plans, see Item 7. “Management’s Discussion and Analysis of Financial Condition and Results of Operations — Critical Accounting Policies and Estimates — Benefit Plans” in our Annual Report on Form 10-K for the year ended December 31, 2014.</w:t>
      </w:r>
    </w:p>
    <w:p>
      <w:pPr>
        <w:spacing w:after="0" w:line="186"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b w:val="1"/>
          <w:bCs w:val="1"/>
          <w:color w:val="auto"/>
        </w:rPr>
        <w:t xml:space="preserve">Use of Derivatives to Manage Equity Risk. </w:t>
      </w:r>
      <w:r>
        <w:rPr>
          <w:rFonts w:ascii="Arial" w:cs="Arial" w:eastAsia="Arial" w:hAnsi="Arial"/>
          <w:sz w:val="18"/>
          <w:szCs w:val="18"/>
          <w:color w:val="auto"/>
        </w:rPr>
        <w:t>We economically hedge the fixed deferred annuity and universal life products, where the interest</w:t>
      </w:r>
      <w:r>
        <w:rPr>
          <w:rFonts w:ascii="Arial" w:cs="Arial" w:eastAsia="Arial" w:hAnsi="Arial"/>
          <w:sz w:val="18"/>
          <w:szCs w:val="18"/>
          <w:b w:val="1"/>
          <w:bCs w:val="1"/>
          <w:color w:val="auto"/>
        </w:rPr>
        <w:t xml:space="preserve"> </w:t>
      </w:r>
      <w:r>
        <w:rPr>
          <w:rFonts w:ascii="Arial" w:cs="Arial" w:eastAsia="Arial" w:hAnsi="Arial"/>
          <w:sz w:val="18"/>
          <w:szCs w:val="18"/>
          <w:color w:val="auto"/>
        </w:rPr>
        <w:t>credited is linked to an external equity index, by purchasing options that match the product’s profile or selling options to offset existing exposures. We economically hedged the GMWB exposure, which includes interest rate risk and equity risk, using futures, options and interest rate swaps with notional amounts of $736.9 million, $3,229.2 million, and $3,986.4 million, respectively, as of September 30, 2015, and notional amounts of $645.6 million, $2,969.2 million, and $3,790.4 million, respectively, as of December 31, 2014. The fair value of both the GMWB embedded derivative and associated hedging instruments are sensitive to financial market conditions and the variance related to the change in fair value of these items for a given period is largely dependent on market conditions at the end of the period.</w:t>
      </w:r>
    </w:p>
    <w:p>
      <w:pPr>
        <w:spacing w:after="0" w:line="1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There was no change in our internal control over financial reporting during our last fiscal quarter that has materially affected, or is reasonably likely to materially affect, our internal control over financial reporting.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229"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In order to ensure that the information that we must disclose in our filings with the SEC is recorded, processed, summarized and reported on a timely basis, we have adopted disclosure controls and procedures. Disclosure controls and procedures include, without limitation, controls and procedures designed to ensure that information required to be disclosed by us in the reports that we file with or submit to the SEC is accumulated and communicated to our management, including our Chairman, Chief Executive Officer and Chief Financial Officer, as appropriate to allow timely decisions regarding required disclosure.</w:t>
      </w:r>
    </w:p>
    <w:p>
      <w:pPr>
        <w:spacing w:after="0" w:line="188"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Our Chairman, Larry D. Zimpleman, our Chief Executive Officer, Daniel J. Houston, and our Chief Financial Officer, Terrance J. Lillis, have reviewed and evaluated our disclosure controls and procedures as of September 30, 2015, and have concluded that our disclosure controls and procedures are effective.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right="160" w:firstLine="648"/>
        <w:spacing w:after="0" w:line="312" w:lineRule="auto"/>
        <w:rPr>
          <w:sz w:val="20"/>
          <w:szCs w:val="20"/>
          <w:color w:val="auto"/>
        </w:rPr>
      </w:pPr>
      <w:r>
        <w:rPr>
          <w:rFonts w:ascii="Arial" w:cs="Arial" w:eastAsia="Arial" w:hAnsi="Arial"/>
          <w:sz w:val="16"/>
          <w:szCs w:val="16"/>
          <w:color w:val="auto"/>
        </w:rPr>
        <w:t>Disclosure concerning material legal proceedings can be found in Part I, Item 1. “Financial Statements, Notes to Unaudited Consolidated Financial Statements, Note 8, Contingencies, Guarantees and Indemnifications” under the caption, “Litigation and Regulatory Contingencies” and in Part I, Item 1. “Financial Statements, Notes to Unaudited Consolidated Financial Statements, Note 6, Income Taxes” which are incorporated here by this reference.</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ectPr>
          <w:pgSz w:w="11900" w:h="16838" w:orient="portrait"/>
          <w:cols w:equalWidth="0" w:num="1">
            <w:col w:w="11400"/>
          </w:cols>
          <w:pgMar w:left="240" w:top="125" w:right="259" w:bottom="0" w:gutter="0" w:footer="0" w:header="0"/>
        </w:sectPr>
      </w:pPr>
    </w:p>
    <w:bookmarkStart w:id="95" w:name="page96"/>
    <w:bookmarkEnd w:id="95"/>
    <w:p>
      <w:pPr>
        <w:ind w:firstLine="648"/>
        <w:spacing w:after="0" w:line="257" w:lineRule="auto"/>
        <w:rPr>
          <w:sz w:val="20"/>
          <w:szCs w:val="20"/>
          <w:color w:val="auto"/>
        </w:rPr>
      </w:pPr>
      <w:r>
        <w:rPr>
          <w:rFonts w:ascii="Arial" w:cs="Arial" w:eastAsia="Arial" w:hAnsi="Arial"/>
          <w:sz w:val="18"/>
          <w:szCs w:val="18"/>
          <w:color w:val="auto"/>
        </w:rPr>
        <w:t>In addition to the other information set forth in this report, consideration should be given to the factors discussed in Part I, Item 1A. “Risk Factors” in our Annual Report on Form 10-K for the year ended December 31, 2014. If any of those factors were to occur, they could materially adversely affect our business, financial condition or future results, and could cause actual results to differ materially from those expressed in forward-looking statements in this report. There have been no material changes with respect to the risk factors discussed in our Annual Report on Form 10-K for the year ended December 31, 2014.</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the amount of our common share purchase activity for the periods indicated.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2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4"/>
              </w:rPr>
              <w:t>Total number of</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7"/>
              </w:rPr>
              <w:t>Maximum dollar</w:t>
            </w: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value of shares</w:t>
            </w: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8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2"/>
              </w:rPr>
              <w:t>Total number of</w:t>
            </w:r>
          </w:p>
        </w:tc>
        <w:tc>
          <w:tcPr>
            <w:tcW w:w="220" w:type="dxa"/>
            <w:vAlign w:val="bottom"/>
          </w:tcPr>
          <w:p>
            <w:pPr>
              <w:spacing w:after="0"/>
              <w:rPr>
                <w:sz w:val="12"/>
                <w:szCs w:val="12"/>
                <w:color w:val="auto"/>
              </w:rPr>
            </w:pPr>
          </w:p>
        </w:tc>
        <w:tc>
          <w:tcPr>
            <w:tcW w:w="1420" w:type="dxa"/>
            <w:vAlign w:val="bottom"/>
            <w:gridSpan w:val="2"/>
            <w:vMerge w:val="restart"/>
          </w:tcPr>
          <w:p>
            <w:pPr>
              <w:jc w:val="center"/>
              <w:ind w:right="520"/>
              <w:spacing w:after="0"/>
              <w:rPr>
                <w:sz w:val="20"/>
                <w:szCs w:val="20"/>
                <w:color w:val="auto"/>
              </w:rPr>
            </w:pPr>
            <w:r>
              <w:rPr>
                <w:rFonts w:ascii="Arial" w:cs="Arial" w:eastAsia="Arial" w:hAnsi="Arial"/>
                <w:sz w:val="14"/>
                <w:szCs w:val="14"/>
                <w:b w:val="1"/>
                <w:bCs w:val="1"/>
                <w:color w:val="auto"/>
                <w:w w:val="90"/>
              </w:rPr>
              <w:t>Average</w:t>
            </w:r>
          </w:p>
        </w:tc>
        <w:tc>
          <w:tcPr>
            <w:tcW w:w="16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shares purchased</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that may yet be</w:t>
            </w: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16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3"/>
              </w:rPr>
              <w:t>as part of publicly</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purchased under</w:t>
            </w:r>
          </w:p>
        </w:tc>
        <w:tc>
          <w:tcPr>
            <w:tcW w:w="0" w:type="dxa"/>
            <w:vAlign w:val="bottom"/>
          </w:tcPr>
          <w:p>
            <w:pPr>
              <w:spacing w:after="0"/>
              <w:rPr>
                <w:sz w:val="1"/>
                <w:szCs w:val="1"/>
                <w:color w:val="auto"/>
              </w:rPr>
            </w:pPr>
          </w:p>
        </w:tc>
      </w:tr>
      <w:tr>
        <w:trPr>
          <w:trHeight w:val="149"/>
        </w:trPr>
        <w:tc>
          <w:tcPr>
            <w:tcW w:w="47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Period</w:t>
            </w:r>
          </w:p>
        </w:tc>
        <w:tc>
          <w:tcPr>
            <w:tcW w:w="16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4"/>
              </w:rPr>
              <w:t>shares</w:t>
            </w:r>
          </w:p>
        </w:tc>
        <w:tc>
          <w:tcPr>
            <w:tcW w:w="220" w:type="dxa"/>
            <w:vAlign w:val="bottom"/>
          </w:tcPr>
          <w:p>
            <w:pPr>
              <w:spacing w:after="0"/>
              <w:rPr>
                <w:sz w:val="12"/>
                <w:szCs w:val="12"/>
                <w:color w:val="auto"/>
              </w:rPr>
            </w:pPr>
          </w:p>
        </w:tc>
        <w:tc>
          <w:tcPr>
            <w:tcW w:w="142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3"/>
              </w:rPr>
              <w:t>price paid</w:t>
            </w:r>
          </w:p>
        </w:tc>
        <w:tc>
          <w:tcPr>
            <w:tcW w:w="16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announced</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the programs (in</w:t>
            </w:r>
          </w:p>
        </w:tc>
        <w:tc>
          <w:tcPr>
            <w:tcW w:w="0" w:type="dxa"/>
            <w:vAlign w:val="bottom"/>
          </w:tcPr>
          <w:p>
            <w:pPr>
              <w:spacing w:after="0"/>
              <w:rPr>
                <w:sz w:val="1"/>
                <w:szCs w:val="1"/>
                <w:color w:val="auto"/>
              </w:rPr>
            </w:pPr>
          </w:p>
        </w:tc>
      </w:tr>
      <w:tr>
        <w:trPr>
          <w:trHeight w:val="171"/>
        </w:trPr>
        <w:tc>
          <w:tcPr>
            <w:tcW w:w="4760" w:type="dxa"/>
            <w:vAlign w:val="bottom"/>
            <w:gridSpan w:val="2"/>
            <w:vMerge w:val="continue"/>
          </w:tcPr>
          <w:p>
            <w:pPr>
              <w:spacing w:after="0"/>
              <w:rPr>
                <w:sz w:val="14"/>
                <w:szCs w:val="14"/>
                <w:color w:val="auto"/>
              </w:rPr>
            </w:pPr>
          </w:p>
        </w:tc>
        <w:tc>
          <w:tcPr>
            <w:tcW w:w="16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purchased (1)</w:t>
            </w:r>
          </w:p>
        </w:tc>
        <w:tc>
          <w:tcPr>
            <w:tcW w:w="220" w:type="dxa"/>
            <w:vAlign w:val="bottom"/>
          </w:tcPr>
          <w:p>
            <w:pPr>
              <w:spacing w:after="0"/>
              <w:rPr>
                <w:sz w:val="14"/>
                <w:szCs w:val="14"/>
                <w:color w:val="auto"/>
              </w:rPr>
            </w:pPr>
          </w:p>
        </w:tc>
        <w:tc>
          <w:tcPr>
            <w:tcW w:w="142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8"/>
              </w:rPr>
              <w:t>per share</w:t>
            </w:r>
          </w:p>
        </w:tc>
        <w:tc>
          <w:tcPr>
            <w:tcW w:w="16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programs</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millions) (2)</w:t>
            </w:r>
          </w:p>
        </w:tc>
        <w:tc>
          <w:tcPr>
            <w:tcW w:w="0" w:type="dxa"/>
            <w:vAlign w:val="bottom"/>
          </w:tcPr>
          <w:p>
            <w:pPr>
              <w:spacing w:after="0"/>
              <w:rPr>
                <w:sz w:val="1"/>
                <w:szCs w:val="1"/>
                <w:color w:val="auto"/>
              </w:rPr>
            </w:pPr>
          </w:p>
        </w:tc>
      </w:tr>
      <w:tr>
        <w:trPr>
          <w:trHeight w:val="210"/>
        </w:trPr>
        <w:tc>
          <w:tcPr>
            <w:tcW w:w="44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January 1, 2015 — January 31, 2015</w:t>
            </w:r>
          </w:p>
        </w:tc>
        <w:tc>
          <w:tcPr>
            <w:tcW w:w="300" w:type="dxa"/>
            <w:vAlign w:val="bottom"/>
            <w:tcBorders>
              <w:top w:val="single" w:sz="8" w:color="CCEEFF"/>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315</w:t>
            </w:r>
          </w:p>
        </w:tc>
        <w:tc>
          <w:tcPr>
            <w:tcW w:w="3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51.81</w:t>
            </w:r>
          </w:p>
        </w:tc>
        <w:tc>
          <w:tcPr>
            <w:tcW w:w="280" w:type="dxa"/>
            <w:vAlign w:val="bottom"/>
            <w:tcBorders>
              <w:top w:val="single" w:sz="8" w:color="CCEEFF"/>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50.0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60" w:type="dxa"/>
            <w:vAlign w:val="bottom"/>
            <w:gridSpan w:val="2"/>
          </w:tcPr>
          <w:p>
            <w:pPr>
              <w:spacing w:after="0"/>
              <w:rPr>
                <w:sz w:val="20"/>
                <w:szCs w:val="20"/>
                <w:color w:val="auto"/>
              </w:rPr>
            </w:pPr>
            <w:r>
              <w:rPr>
                <w:rFonts w:ascii="Arial" w:cs="Arial" w:eastAsia="Arial" w:hAnsi="Arial"/>
                <w:sz w:val="18"/>
                <w:szCs w:val="18"/>
                <w:color w:val="auto"/>
              </w:rPr>
              <w:t>February 1, 2015 — February 28, 2015</w:t>
            </w:r>
          </w:p>
        </w:tc>
        <w:tc>
          <w:tcPr>
            <w:tcW w:w="16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842</w:t>
            </w:r>
          </w:p>
        </w:tc>
        <w:tc>
          <w:tcPr>
            <w:tcW w:w="220" w:type="dxa"/>
            <w:vAlign w:val="bottom"/>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46.93</w:t>
            </w:r>
          </w:p>
        </w:tc>
        <w:tc>
          <w:tcPr>
            <w:tcW w:w="16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30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200.0</w:t>
            </w:r>
          </w:p>
        </w:tc>
        <w:tc>
          <w:tcPr>
            <w:tcW w:w="0" w:type="dxa"/>
            <w:vAlign w:val="bottom"/>
          </w:tcPr>
          <w:p>
            <w:pPr>
              <w:spacing w:after="0"/>
              <w:rPr>
                <w:sz w:val="1"/>
                <w:szCs w:val="1"/>
                <w:color w:val="auto"/>
              </w:rPr>
            </w:pPr>
          </w:p>
        </w:tc>
      </w:tr>
      <w:tr>
        <w:trPr>
          <w:trHeight w:val="216"/>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March 1, 2015 — March 31, 2015</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1,478,105</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50.96</w:t>
            </w:r>
          </w:p>
        </w:tc>
        <w:tc>
          <w:tcPr>
            <w:tcW w:w="1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983,863</w:t>
            </w:r>
          </w:p>
        </w:tc>
        <w:tc>
          <w:tcPr>
            <w:tcW w:w="30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b w:val="1"/>
                <w:bCs w:val="1"/>
                <w:color w:val="auto"/>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150.0</w:t>
            </w:r>
          </w:p>
        </w:tc>
        <w:tc>
          <w:tcPr>
            <w:tcW w:w="0" w:type="dxa"/>
            <w:vAlign w:val="bottom"/>
          </w:tcPr>
          <w:p>
            <w:pPr>
              <w:spacing w:after="0"/>
              <w:rPr>
                <w:sz w:val="1"/>
                <w:szCs w:val="1"/>
                <w:color w:val="auto"/>
              </w:rPr>
            </w:pPr>
          </w:p>
        </w:tc>
      </w:tr>
      <w:tr>
        <w:trPr>
          <w:trHeight w:val="216"/>
        </w:trPr>
        <w:tc>
          <w:tcPr>
            <w:tcW w:w="4760" w:type="dxa"/>
            <w:vAlign w:val="bottom"/>
            <w:gridSpan w:val="2"/>
          </w:tcPr>
          <w:p>
            <w:pPr>
              <w:spacing w:after="0"/>
              <w:rPr>
                <w:sz w:val="20"/>
                <w:szCs w:val="20"/>
                <w:color w:val="auto"/>
              </w:rPr>
            </w:pPr>
            <w:r>
              <w:rPr>
                <w:rFonts w:ascii="Arial" w:cs="Arial" w:eastAsia="Arial" w:hAnsi="Arial"/>
                <w:sz w:val="18"/>
                <w:szCs w:val="18"/>
                <w:color w:val="auto"/>
              </w:rPr>
              <w:t>April 1, 2015 — April 30, 2015</w:t>
            </w:r>
          </w:p>
        </w:tc>
        <w:tc>
          <w:tcPr>
            <w:tcW w:w="16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573</w:t>
            </w:r>
          </w:p>
        </w:tc>
        <w:tc>
          <w:tcPr>
            <w:tcW w:w="220" w:type="dxa"/>
            <w:vAlign w:val="bottom"/>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51.20</w:t>
            </w:r>
          </w:p>
        </w:tc>
        <w:tc>
          <w:tcPr>
            <w:tcW w:w="16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30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150.0</w:t>
            </w:r>
          </w:p>
        </w:tc>
        <w:tc>
          <w:tcPr>
            <w:tcW w:w="0" w:type="dxa"/>
            <w:vAlign w:val="bottom"/>
          </w:tcPr>
          <w:p>
            <w:pPr>
              <w:spacing w:after="0"/>
              <w:rPr>
                <w:sz w:val="1"/>
                <w:szCs w:val="1"/>
                <w:color w:val="auto"/>
              </w:rPr>
            </w:pPr>
          </w:p>
        </w:tc>
      </w:tr>
      <w:tr>
        <w:trPr>
          <w:trHeight w:val="216"/>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May 1, 2015 — May 31, 2015</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1,653</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51.67</w:t>
            </w:r>
          </w:p>
        </w:tc>
        <w:tc>
          <w:tcPr>
            <w:tcW w:w="1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30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b w:val="1"/>
                <w:bCs w:val="1"/>
                <w:color w:val="auto"/>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150.0</w:t>
            </w:r>
          </w:p>
        </w:tc>
        <w:tc>
          <w:tcPr>
            <w:tcW w:w="0" w:type="dxa"/>
            <w:vAlign w:val="bottom"/>
          </w:tcPr>
          <w:p>
            <w:pPr>
              <w:spacing w:after="0"/>
              <w:rPr>
                <w:sz w:val="1"/>
                <w:szCs w:val="1"/>
                <w:color w:val="auto"/>
              </w:rPr>
            </w:pPr>
          </w:p>
        </w:tc>
      </w:tr>
      <w:tr>
        <w:trPr>
          <w:trHeight w:val="216"/>
        </w:trPr>
        <w:tc>
          <w:tcPr>
            <w:tcW w:w="4760" w:type="dxa"/>
            <w:vAlign w:val="bottom"/>
            <w:gridSpan w:val="2"/>
          </w:tcPr>
          <w:p>
            <w:pPr>
              <w:spacing w:after="0"/>
              <w:rPr>
                <w:sz w:val="20"/>
                <w:szCs w:val="20"/>
                <w:color w:val="auto"/>
              </w:rPr>
            </w:pPr>
            <w:r>
              <w:rPr>
                <w:rFonts w:ascii="Arial" w:cs="Arial" w:eastAsia="Arial" w:hAnsi="Arial"/>
                <w:sz w:val="18"/>
                <w:szCs w:val="18"/>
                <w:color w:val="auto"/>
              </w:rPr>
              <w:t>June 1, 2015 — June 30, 2015</w:t>
            </w:r>
          </w:p>
        </w:tc>
        <w:tc>
          <w:tcPr>
            <w:tcW w:w="16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534</w:t>
            </w:r>
          </w:p>
        </w:tc>
        <w:tc>
          <w:tcPr>
            <w:tcW w:w="220" w:type="dxa"/>
            <w:vAlign w:val="bottom"/>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52.88</w:t>
            </w:r>
          </w:p>
        </w:tc>
        <w:tc>
          <w:tcPr>
            <w:tcW w:w="16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30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150.0</w:t>
            </w:r>
          </w:p>
        </w:tc>
        <w:tc>
          <w:tcPr>
            <w:tcW w:w="0" w:type="dxa"/>
            <w:vAlign w:val="bottom"/>
          </w:tcPr>
          <w:p>
            <w:pPr>
              <w:spacing w:after="0"/>
              <w:rPr>
                <w:sz w:val="1"/>
                <w:szCs w:val="1"/>
                <w:color w:val="auto"/>
              </w:rPr>
            </w:pPr>
          </w:p>
        </w:tc>
      </w:tr>
      <w:tr>
        <w:trPr>
          <w:trHeight w:val="216"/>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July 1, 2015 — July 31, 2015</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528,054</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52.26</w:t>
            </w:r>
          </w:p>
        </w:tc>
        <w:tc>
          <w:tcPr>
            <w:tcW w:w="1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528,054</w:t>
            </w:r>
          </w:p>
        </w:tc>
        <w:tc>
          <w:tcPr>
            <w:tcW w:w="30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b w:val="1"/>
                <w:bCs w:val="1"/>
                <w:color w:val="auto"/>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122.4</w:t>
            </w:r>
          </w:p>
        </w:tc>
        <w:tc>
          <w:tcPr>
            <w:tcW w:w="0" w:type="dxa"/>
            <w:vAlign w:val="bottom"/>
          </w:tcPr>
          <w:p>
            <w:pPr>
              <w:spacing w:after="0"/>
              <w:rPr>
                <w:sz w:val="1"/>
                <w:szCs w:val="1"/>
                <w:color w:val="auto"/>
              </w:rPr>
            </w:pPr>
          </w:p>
        </w:tc>
      </w:tr>
      <w:tr>
        <w:trPr>
          <w:trHeight w:val="216"/>
        </w:trPr>
        <w:tc>
          <w:tcPr>
            <w:tcW w:w="4760" w:type="dxa"/>
            <w:vAlign w:val="bottom"/>
            <w:gridSpan w:val="2"/>
          </w:tcPr>
          <w:p>
            <w:pPr>
              <w:spacing w:after="0"/>
              <w:rPr>
                <w:sz w:val="20"/>
                <w:szCs w:val="20"/>
                <w:color w:val="auto"/>
              </w:rPr>
            </w:pPr>
            <w:r>
              <w:rPr>
                <w:rFonts w:ascii="Arial" w:cs="Arial" w:eastAsia="Arial" w:hAnsi="Arial"/>
                <w:sz w:val="18"/>
                <w:szCs w:val="18"/>
                <w:color w:val="auto"/>
              </w:rPr>
              <w:t>August 1, 2015 — August 31, 2015</w:t>
            </w:r>
          </w:p>
        </w:tc>
        <w:tc>
          <w:tcPr>
            <w:tcW w:w="1380" w:type="dxa"/>
            <w:vAlign w:val="bottom"/>
          </w:tcPr>
          <w:p>
            <w:pPr>
              <w:jc w:val="right"/>
              <w:spacing w:after="0"/>
              <w:rPr>
                <w:sz w:val="20"/>
                <w:szCs w:val="20"/>
                <w:color w:val="auto"/>
              </w:rPr>
            </w:pPr>
            <w:r>
              <w:rPr>
                <w:rFonts w:ascii="Arial" w:cs="Arial" w:eastAsia="Arial" w:hAnsi="Arial"/>
                <w:sz w:val="18"/>
                <w:szCs w:val="18"/>
                <w:b w:val="1"/>
                <w:bCs w:val="1"/>
                <w:color w:val="auto"/>
              </w:rPr>
              <w:t>575,110</w:t>
            </w:r>
          </w:p>
        </w:tc>
        <w:tc>
          <w:tcPr>
            <w:tcW w:w="300" w:type="dxa"/>
            <w:vAlign w:val="bottom"/>
          </w:tcPr>
          <w:p>
            <w:pPr>
              <w:spacing w:after="0"/>
              <w:rPr>
                <w:sz w:val="18"/>
                <w:szCs w:val="18"/>
                <w:color w:val="auto"/>
              </w:rPr>
            </w:pPr>
          </w:p>
        </w:tc>
        <w:tc>
          <w:tcPr>
            <w:tcW w:w="220" w:type="dxa"/>
            <w:vAlign w:val="bottom"/>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55.16</w:t>
            </w:r>
          </w:p>
        </w:tc>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575,110</w:t>
            </w:r>
          </w:p>
        </w:tc>
        <w:tc>
          <w:tcPr>
            <w:tcW w:w="140" w:type="dxa"/>
            <w:vAlign w:val="bottom"/>
          </w:tcPr>
          <w:p>
            <w:pPr>
              <w:spacing w:after="0"/>
              <w:rPr>
                <w:sz w:val="18"/>
                <w:szCs w:val="18"/>
                <w:color w:val="auto"/>
              </w:rPr>
            </w:pPr>
          </w:p>
        </w:tc>
        <w:tc>
          <w:tcPr>
            <w:tcW w:w="30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90.7</w:t>
            </w:r>
          </w:p>
        </w:tc>
        <w:tc>
          <w:tcPr>
            <w:tcW w:w="0" w:type="dxa"/>
            <w:vAlign w:val="bottom"/>
          </w:tcPr>
          <w:p>
            <w:pPr>
              <w:spacing w:after="0"/>
              <w:rPr>
                <w:sz w:val="1"/>
                <w:szCs w:val="1"/>
                <w:color w:val="auto"/>
              </w:rPr>
            </w:pPr>
          </w:p>
        </w:tc>
      </w:tr>
      <w:tr>
        <w:trPr>
          <w:trHeight w:val="216"/>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September 1, 2015 — September 30, 2015</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1,098,465</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b w:val="1"/>
                <w:bCs w:val="1"/>
                <w:color w:val="auto"/>
                <w:w w:val="71"/>
              </w:rPr>
              <w:t>$</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48.50</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1,098,465</w:t>
            </w:r>
          </w:p>
        </w:tc>
        <w:tc>
          <w:tcPr>
            <w:tcW w:w="1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b w:val="1"/>
                <w:bCs w:val="1"/>
                <w:color w:val="auto"/>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37.4</w:t>
            </w:r>
          </w:p>
        </w:tc>
        <w:tc>
          <w:tcPr>
            <w:tcW w:w="0" w:type="dxa"/>
            <w:vAlign w:val="bottom"/>
          </w:tcPr>
          <w:p>
            <w:pPr>
              <w:spacing w:after="0"/>
              <w:rPr>
                <w:sz w:val="1"/>
                <w:szCs w:val="1"/>
                <w:color w:val="auto"/>
              </w:rPr>
            </w:pPr>
          </w:p>
        </w:tc>
      </w:tr>
      <w:tr>
        <w:trPr>
          <w:trHeight w:val="210"/>
        </w:trPr>
        <w:tc>
          <w:tcPr>
            <w:tcW w:w="4760" w:type="dxa"/>
            <w:vAlign w:val="bottom"/>
            <w:gridSpan w:val="2"/>
          </w:tcPr>
          <w:p>
            <w:pPr>
              <w:spacing w:after="0"/>
              <w:rPr>
                <w:sz w:val="20"/>
                <w:szCs w:val="20"/>
                <w:color w:val="auto"/>
              </w:rPr>
            </w:pPr>
            <w:r>
              <w:rPr>
                <w:rFonts w:ascii="Arial" w:cs="Arial" w:eastAsia="Arial" w:hAnsi="Arial"/>
                <w:sz w:val="18"/>
                <w:szCs w:val="18"/>
                <w:color w:val="auto"/>
              </w:rPr>
              <w:t>Total</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3,683,651</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3,185,492</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260" w:right="360" w:hanging="252"/>
        <w:spacing w:after="0" w:line="258" w:lineRule="auto"/>
        <w:tabs>
          <w:tab w:leader="none" w:pos="265" w:val="left"/>
        </w:tabs>
        <w:numPr>
          <w:ilvl w:val="0"/>
          <w:numId w:val="50"/>
        </w:numPr>
        <w:rPr>
          <w:rFonts w:ascii="Arial" w:cs="Arial" w:eastAsia="Arial" w:hAnsi="Arial"/>
          <w:sz w:val="18"/>
          <w:szCs w:val="18"/>
          <w:color w:val="auto"/>
        </w:rPr>
      </w:pPr>
      <w:r>
        <w:rPr>
          <w:rFonts w:ascii="Arial" w:cs="Arial" w:eastAsia="Arial" w:hAnsi="Arial"/>
          <w:sz w:val="18"/>
          <w:szCs w:val="18"/>
          <w:color w:val="auto"/>
        </w:rPr>
        <w:t>Includes the number of shares of common stock utilized to execute certain stock incentive awards and shares purchased as part of publicly announced programs.</w:t>
      </w:r>
    </w:p>
    <w:p>
      <w:pPr>
        <w:spacing w:after="0" w:line="1" w:lineRule="exact"/>
        <w:rPr>
          <w:rFonts w:ascii="Arial" w:cs="Arial" w:eastAsia="Arial" w:hAnsi="Arial"/>
          <w:sz w:val="18"/>
          <w:szCs w:val="18"/>
          <w:color w:val="auto"/>
        </w:rPr>
      </w:pPr>
    </w:p>
    <w:p>
      <w:pPr>
        <w:ind w:left="260" w:right="80" w:hanging="252"/>
        <w:spacing w:after="0" w:line="254" w:lineRule="auto"/>
        <w:tabs>
          <w:tab w:leader="none" w:pos="265" w:val="left"/>
        </w:tabs>
        <w:numPr>
          <w:ilvl w:val="0"/>
          <w:numId w:val="50"/>
        </w:numPr>
        <w:rPr>
          <w:rFonts w:ascii="Arial" w:cs="Arial" w:eastAsia="Arial" w:hAnsi="Arial"/>
          <w:sz w:val="18"/>
          <w:szCs w:val="18"/>
          <w:color w:val="auto"/>
        </w:rPr>
      </w:pPr>
      <w:r>
        <w:rPr>
          <w:rFonts w:ascii="Arial" w:cs="Arial" w:eastAsia="Arial" w:hAnsi="Arial"/>
          <w:sz w:val="18"/>
          <w:szCs w:val="18"/>
          <w:color w:val="auto"/>
        </w:rPr>
        <w:t>In February 2014, our Board of Directors authorized a repurchase program of up to $200.0 million of our outstanding common stock, which was completed in March 2015. In February 2015, our Board of Directors authorized a repurchase program of up to $150.0 million of our outstanding common stock, of which $37.4 million was outstanding as of September 30, 2015. In October 2015, our Board of Directors authorized an additional repurchase program of up to $150.0 million of our outstanding common stock.</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440" w:type="dxa"/>
            <w:vAlign w:val="bottom"/>
            <w:gridSpan w:val="2"/>
          </w:tcPr>
          <w:p>
            <w:pPr>
              <w:spacing w:after="0"/>
              <w:rPr>
                <w:sz w:val="20"/>
                <w:szCs w:val="20"/>
                <w:color w:val="auto"/>
              </w:rPr>
            </w:pPr>
            <w:r>
              <w:rPr>
                <w:rFonts w:ascii="Arial" w:cs="Arial" w:eastAsia="Arial" w:hAnsi="Arial"/>
                <w:sz w:val="14"/>
                <w:szCs w:val="14"/>
                <w:b w:val="1"/>
                <w:bCs w:val="1"/>
                <w:color w:val="auto"/>
              </w:rPr>
              <w:t>Exhibit Number</w:t>
            </w:r>
          </w:p>
        </w:tc>
        <w:tc>
          <w:tcPr>
            <w:tcW w:w="220" w:type="dxa"/>
            <w:vAlign w:val="bottom"/>
          </w:tcPr>
          <w:p>
            <w:pPr>
              <w:spacing w:after="0"/>
              <w:rPr>
                <w:sz w:val="14"/>
                <w:szCs w:val="14"/>
                <w:color w:val="auto"/>
              </w:rPr>
            </w:pPr>
          </w:p>
        </w:tc>
        <w:tc>
          <w:tcPr>
            <w:tcW w:w="9760" w:type="dxa"/>
            <w:vAlign w:val="bottom"/>
          </w:tcPr>
          <w:p>
            <w:pPr>
              <w:ind w:left="4520"/>
              <w:spacing w:after="0"/>
              <w:rPr>
                <w:sz w:val="20"/>
                <w:szCs w:val="20"/>
                <w:color w:val="auto"/>
              </w:rPr>
            </w:pPr>
            <w:r>
              <w:rPr>
                <w:rFonts w:ascii="Arial" w:cs="Arial" w:eastAsia="Arial" w:hAnsi="Arial"/>
                <w:sz w:val="14"/>
                <w:szCs w:val="14"/>
                <w:b w:val="1"/>
                <w:bCs w:val="1"/>
                <w:color w:val="auto"/>
              </w:rPr>
              <w:t>Description</w:t>
            </w:r>
          </w:p>
        </w:tc>
      </w:tr>
      <w:tr>
        <w:trPr>
          <w:trHeight w:val="195"/>
        </w:trPr>
        <w:tc>
          <w:tcPr>
            <w:tcW w:w="20" w:type="dxa"/>
            <w:vAlign w:val="bottom"/>
          </w:tcPr>
          <w:p>
            <w:pPr>
              <w:spacing w:after="0"/>
              <w:rPr>
                <w:sz w:val="16"/>
                <w:szCs w:val="16"/>
                <w:color w:val="auto"/>
              </w:rPr>
            </w:pPr>
          </w:p>
        </w:tc>
        <w:tc>
          <w:tcPr>
            <w:tcW w:w="14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12</w:t>
            </w:r>
          </w:p>
        </w:tc>
        <w:tc>
          <w:tcPr>
            <w:tcW w:w="220" w:type="dxa"/>
            <w:vAlign w:val="bottom"/>
          </w:tcPr>
          <w:p>
            <w:pPr>
              <w:spacing w:after="0"/>
              <w:rPr>
                <w:sz w:val="16"/>
                <w:szCs w:val="16"/>
                <w:color w:val="auto"/>
              </w:rPr>
            </w:pPr>
          </w:p>
        </w:tc>
        <w:tc>
          <w:tcPr>
            <w:tcW w:w="97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Statement Regarding Computation of Ratio of Earnings to Fixed Charges</w:t>
            </w:r>
          </w:p>
        </w:tc>
      </w:tr>
      <w:tr>
        <w:trPr>
          <w:trHeight w:val="216"/>
        </w:trPr>
        <w:tc>
          <w:tcPr>
            <w:tcW w:w="1440" w:type="dxa"/>
            <w:vAlign w:val="bottom"/>
            <w:gridSpan w:val="2"/>
          </w:tcPr>
          <w:p>
            <w:pPr>
              <w:spacing w:after="0"/>
              <w:rPr>
                <w:sz w:val="20"/>
                <w:szCs w:val="20"/>
                <w:color w:val="auto"/>
              </w:rPr>
            </w:pPr>
            <w:r>
              <w:rPr>
                <w:rFonts w:ascii="Arial" w:cs="Arial" w:eastAsia="Arial" w:hAnsi="Arial"/>
                <w:sz w:val="18"/>
                <w:szCs w:val="18"/>
                <w:color w:val="auto"/>
              </w:rPr>
              <w:t>31.1</w:t>
            </w:r>
          </w:p>
        </w:tc>
        <w:tc>
          <w:tcPr>
            <w:tcW w:w="9980" w:type="dxa"/>
            <w:vAlign w:val="bottom"/>
            <w:gridSpan w:val="2"/>
          </w:tcPr>
          <w:p>
            <w:pPr>
              <w:ind w:left="220"/>
              <w:spacing w:after="0"/>
              <w:rPr>
                <w:sz w:val="20"/>
                <w:szCs w:val="20"/>
                <w:color w:val="auto"/>
              </w:rPr>
            </w:pPr>
            <w:r>
              <w:rPr>
                <w:rFonts w:ascii="Arial" w:cs="Arial" w:eastAsia="Arial" w:hAnsi="Arial"/>
                <w:sz w:val="18"/>
                <w:szCs w:val="18"/>
                <w:color w:val="auto"/>
              </w:rPr>
              <w:t>Certification of Larry D. Zimpleman</w:t>
            </w:r>
          </w:p>
        </w:tc>
      </w:tr>
      <w:tr>
        <w:trPr>
          <w:trHeight w:val="216"/>
        </w:trPr>
        <w:tc>
          <w:tcPr>
            <w:tcW w:w="1440" w:type="dxa"/>
            <w:vAlign w:val="bottom"/>
            <w:gridSpan w:val="2"/>
          </w:tcPr>
          <w:p>
            <w:pPr>
              <w:spacing w:after="0"/>
              <w:rPr>
                <w:sz w:val="20"/>
                <w:szCs w:val="20"/>
                <w:color w:val="auto"/>
              </w:rPr>
            </w:pPr>
            <w:r>
              <w:rPr>
                <w:rFonts w:ascii="Arial" w:cs="Arial" w:eastAsia="Arial" w:hAnsi="Arial"/>
                <w:sz w:val="18"/>
                <w:szCs w:val="18"/>
                <w:color w:val="auto"/>
              </w:rPr>
              <w:t>31.2</w:t>
            </w:r>
          </w:p>
        </w:tc>
        <w:tc>
          <w:tcPr>
            <w:tcW w:w="9980" w:type="dxa"/>
            <w:vAlign w:val="bottom"/>
            <w:gridSpan w:val="2"/>
          </w:tcPr>
          <w:p>
            <w:pPr>
              <w:ind w:left="220"/>
              <w:spacing w:after="0"/>
              <w:rPr>
                <w:sz w:val="20"/>
                <w:szCs w:val="20"/>
                <w:color w:val="auto"/>
              </w:rPr>
            </w:pPr>
            <w:r>
              <w:rPr>
                <w:rFonts w:ascii="Arial" w:cs="Arial" w:eastAsia="Arial" w:hAnsi="Arial"/>
                <w:sz w:val="18"/>
                <w:szCs w:val="18"/>
                <w:color w:val="auto"/>
              </w:rPr>
              <w:t>Certification of Daniel J. Houston</w:t>
            </w:r>
          </w:p>
        </w:tc>
      </w:tr>
      <w:tr>
        <w:trPr>
          <w:trHeight w:val="216"/>
        </w:trPr>
        <w:tc>
          <w:tcPr>
            <w:tcW w:w="1440" w:type="dxa"/>
            <w:vAlign w:val="bottom"/>
            <w:gridSpan w:val="2"/>
          </w:tcPr>
          <w:p>
            <w:pPr>
              <w:spacing w:after="0"/>
              <w:rPr>
                <w:sz w:val="20"/>
                <w:szCs w:val="20"/>
                <w:color w:val="auto"/>
              </w:rPr>
            </w:pPr>
            <w:r>
              <w:rPr>
                <w:rFonts w:ascii="Arial" w:cs="Arial" w:eastAsia="Arial" w:hAnsi="Arial"/>
                <w:sz w:val="18"/>
                <w:szCs w:val="18"/>
                <w:color w:val="auto"/>
              </w:rPr>
              <w:t>31.3</w:t>
            </w:r>
          </w:p>
        </w:tc>
        <w:tc>
          <w:tcPr>
            <w:tcW w:w="9980" w:type="dxa"/>
            <w:vAlign w:val="bottom"/>
            <w:gridSpan w:val="2"/>
          </w:tcPr>
          <w:p>
            <w:pPr>
              <w:ind w:left="220"/>
              <w:spacing w:after="0"/>
              <w:rPr>
                <w:sz w:val="20"/>
                <w:szCs w:val="20"/>
                <w:color w:val="auto"/>
              </w:rPr>
            </w:pPr>
            <w:r>
              <w:rPr>
                <w:rFonts w:ascii="Arial" w:cs="Arial" w:eastAsia="Arial" w:hAnsi="Arial"/>
                <w:sz w:val="18"/>
                <w:szCs w:val="18"/>
                <w:color w:val="auto"/>
              </w:rPr>
              <w:t>Certification of Terrance J. Lillis</w:t>
            </w:r>
          </w:p>
        </w:tc>
      </w:tr>
      <w:tr>
        <w:trPr>
          <w:trHeight w:val="216"/>
        </w:trPr>
        <w:tc>
          <w:tcPr>
            <w:tcW w:w="1440" w:type="dxa"/>
            <w:vAlign w:val="bottom"/>
            <w:gridSpan w:val="2"/>
          </w:tcPr>
          <w:p>
            <w:pPr>
              <w:spacing w:after="0"/>
              <w:rPr>
                <w:sz w:val="20"/>
                <w:szCs w:val="20"/>
                <w:color w:val="auto"/>
              </w:rPr>
            </w:pPr>
            <w:r>
              <w:rPr>
                <w:rFonts w:ascii="Arial" w:cs="Arial" w:eastAsia="Arial" w:hAnsi="Arial"/>
                <w:sz w:val="18"/>
                <w:szCs w:val="18"/>
                <w:color w:val="auto"/>
              </w:rPr>
              <w:t>32.1</w:t>
            </w:r>
          </w:p>
        </w:tc>
        <w:tc>
          <w:tcPr>
            <w:tcW w:w="9980" w:type="dxa"/>
            <w:vAlign w:val="bottom"/>
            <w:gridSpan w:val="2"/>
          </w:tcPr>
          <w:p>
            <w:pPr>
              <w:ind w:left="220"/>
              <w:spacing w:after="0"/>
              <w:rPr>
                <w:sz w:val="20"/>
                <w:szCs w:val="20"/>
                <w:color w:val="auto"/>
              </w:rPr>
            </w:pPr>
            <w:r>
              <w:rPr>
                <w:rFonts w:ascii="Arial" w:cs="Arial" w:eastAsia="Arial" w:hAnsi="Arial"/>
                <w:sz w:val="18"/>
                <w:szCs w:val="18"/>
                <w:color w:val="auto"/>
              </w:rPr>
              <w:t>Certification Pursuant to Section 1350 of Chapter 63 of Title 18 of the United States Code — Larry D. Zimpleman</w:t>
            </w:r>
          </w:p>
        </w:tc>
      </w:tr>
      <w:tr>
        <w:trPr>
          <w:trHeight w:val="216"/>
        </w:trPr>
        <w:tc>
          <w:tcPr>
            <w:tcW w:w="1440" w:type="dxa"/>
            <w:vAlign w:val="bottom"/>
            <w:gridSpan w:val="2"/>
          </w:tcPr>
          <w:p>
            <w:pPr>
              <w:spacing w:after="0"/>
              <w:rPr>
                <w:sz w:val="20"/>
                <w:szCs w:val="20"/>
                <w:color w:val="auto"/>
              </w:rPr>
            </w:pPr>
            <w:r>
              <w:rPr>
                <w:rFonts w:ascii="Arial" w:cs="Arial" w:eastAsia="Arial" w:hAnsi="Arial"/>
                <w:sz w:val="18"/>
                <w:szCs w:val="18"/>
                <w:color w:val="auto"/>
              </w:rPr>
              <w:t>32.2</w:t>
            </w:r>
          </w:p>
        </w:tc>
        <w:tc>
          <w:tcPr>
            <w:tcW w:w="9980" w:type="dxa"/>
            <w:vAlign w:val="bottom"/>
            <w:gridSpan w:val="2"/>
          </w:tcPr>
          <w:p>
            <w:pPr>
              <w:ind w:left="220"/>
              <w:spacing w:after="0"/>
              <w:rPr>
                <w:sz w:val="20"/>
                <w:szCs w:val="20"/>
                <w:color w:val="auto"/>
              </w:rPr>
            </w:pPr>
            <w:r>
              <w:rPr>
                <w:rFonts w:ascii="Arial" w:cs="Arial" w:eastAsia="Arial" w:hAnsi="Arial"/>
                <w:sz w:val="18"/>
                <w:szCs w:val="18"/>
                <w:color w:val="auto"/>
              </w:rPr>
              <w:t>Certification Pursuant to Section 1350 of Chapter 63 of Title 18 of the United States Code — Daniel J. Houston</w:t>
            </w:r>
          </w:p>
        </w:tc>
      </w:tr>
      <w:tr>
        <w:trPr>
          <w:trHeight w:val="216"/>
        </w:trPr>
        <w:tc>
          <w:tcPr>
            <w:tcW w:w="1440" w:type="dxa"/>
            <w:vAlign w:val="bottom"/>
            <w:gridSpan w:val="2"/>
          </w:tcPr>
          <w:p>
            <w:pPr>
              <w:spacing w:after="0"/>
              <w:rPr>
                <w:sz w:val="20"/>
                <w:szCs w:val="20"/>
                <w:color w:val="auto"/>
              </w:rPr>
            </w:pPr>
            <w:r>
              <w:rPr>
                <w:rFonts w:ascii="Arial" w:cs="Arial" w:eastAsia="Arial" w:hAnsi="Arial"/>
                <w:sz w:val="18"/>
                <w:szCs w:val="18"/>
                <w:color w:val="auto"/>
              </w:rPr>
              <w:t>32.3</w:t>
            </w:r>
          </w:p>
        </w:tc>
        <w:tc>
          <w:tcPr>
            <w:tcW w:w="9980" w:type="dxa"/>
            <w:vAlign w:val="bottom"/>
            <w:gridSpan w:val="2"/>
          </w:tcPr>
          <w:p>
            <w:pPr>
              <w:ind w:left="220"/>
              <w:spacing w:after="0"/>
              <w:rPr>
                <w:sz w:val="20"/>
                <w:szCs w:val="20"/>
                <w:color w:val="auto"/>
              </w:rPr>
            </w:pPr>
            <w:r>
              <w:rPr>
                <w:rFonts w:ascii="Arial" w:cs="Arial" w:eastAsia="Arial" w:hAnsi="Arial"/>
                <w:sz w:val="18"/>
                <w:szCs w:val="18"/>
                <w:color w:val="auto"/>
              </w:rPr>
              <w:t>Certification Pursuant to Section 1350 of Chapter 63 of Title 18 of the United States Code — Terrance J. Lillis</w:t>
            </w:r>
          </w:p>
        </w:tc>
      </w:tr>
      <w:tr>
        <w:trPr>
          <w:trHeight w:val="216"/>
        </w:trPr>
        <w:tc>
          <w:tcPr>
            <w:tcW w:w="1440" w:type="dxa"/>
            <w:vAlign w:val="bottom"/>
            <w:gridSpan w:val="2"/>
          </w:tcPr>
          <w:p>
            <w:pPr>
              <w:spacing w:after="0"/>
              <w:rPr>
                <w:sz w:val="20"/>
                <w:szCs w:val="20"/>
                <w:color w:val="auto"/>
              </w:rPr>
            </w:pPr>
            <w:r>
              <w:rPr>
                <w:rFonts w:ascii="Arial" w:cs="Arial" w:eastAsia="Arial" w:hAnsi="Arial"/>
                <w:sz w:val="18"/>
                <w:szCs w:val="18"/>
                <w:color w:val="auto"/>
              </w:rPr>
              <w:t>101</w:t>
            </w:r>
          </w:p>
        </w:tc>
        <w:tc>
          <w:tcPr>
            <w:tcW w:w="9980" w:type="dxa"/>
            <w:vAlign w:val="bottom"/>
            <w:gridSpan w:val="2"/>
          </w:tcPr>
          <w:p>
            <w:pPr>
              <w:ind w:left="220"/>
              <w:spacing w:after="0"/>
              <w:rPr>
                <w:sz w:val="20"/>
                <w:szCs w:val="20"/>
                <w:color w:val="auto"/>
              </w:rPr>
            </w:pPr>
            <w:r>
              <w:rPr>
                <w:rFonts w:ascii="Arial" w:cs="Arial" w:eastAsia="Arial" w:hAnsi="Arial"/>
                <w:sz w:val="18"/>
                <w:szCs w:val="18"/>
                <w:color w:val="auto"/>
                <w:w w:val="94"/>
              </w:rPr>
              <w:t>The following materials from Principal Financial Group, Inc.’s Quarterly Report on Form 10-Q for the period ended September 30,</w:t>
            </w:r>
          </w:p>
        </w:tc>
      </w:tr>
      <w:tr>
        <w:trPr>
          <w:trHeight w:val="216"/>
        </w:trPr>
        <w:tc>
          <w:tcPr>
            <w:tcW w:w="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9980" w:type="dxa"/>
            <w:vAlign w:val="bottom"/>
            <w:gridSpan w:val="2"/>
          </w:tcPr>
          <w:p>
            <w:pPr>
              <w:ind w:left="220"/>
              <w:spacing w:after="0"/>
              <w:rPr>
                <w:sz w:val="20"/>
                <w:szCs w:val="20"/>
                <w:color w:val="auto"/>
              </w:rPr>
            </w:pPr>
            <w:r>
              <w:rPr>
                <w:rFonts w:ascii="Arial" w:cs="Arial" w:eastAsia="Arial" w:hAnsi="Arial"/>
                <w:sz w:val="18"/>
                <w:szCs w:val="18"/>
                <w:color w:val="auto"/>
                <w:w w:val="94"/>
              </w:rPr>
              <w:t>2015 formatted in XBRL (Extensible Business Reporting Language): (i) the Consolidated Statements of Financial Position, (ii) the</w:t>
            </w:r>
          </w:p>
        </w:tc>
      </w:tr>
      <w:tr>
        <w:trPr>
          <w:trHeight w:val="230"/>
        </w:trPr>
        <w:tc>
          <w:tcPr>
            <w:tcW w:w="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9980" w:type="dxa"/>
            <w:vAlign w:val="bottom"/>
            <w:gridSpan w:val="2"/>
          </w:tcPr>
          <w:p>
            <w:pPr>
              <w:ind w:left="220"/>
              <w:spacing w:after="0"/>
              <w:rPr>
                <w:sz w:val="20"/>
                <w:szCs w:val="20"/>
                <w:color w:val="auto"/>
              </w:rPr>
            </w:pPr>
            <w:r>
              <w:rPr>
                <w:rFonts w:ascii="Arial" w:cs="Arial" w:eastAsia="Arial" w:hAnsi="Arial"/>
                <w:sz w:val="18"/>
                <w:szCs w:val="18"/>
                <w:color w:val="auto"/>
                <w:w w:val="90"/>
              </w:rPr>
              <w:t>Consolidated Statements of Operations, (iii) the Consolidated Statements of Comprehensive Income, (iv) the Consolidated Statements</w:t>
            </w:r>
          </w:p>
        </w:tc>
      </w:tr>
    </w:tbl>
    <w:p>
      <w:pPr>
        <w:ind w:left="1660" w:right="540"/>
        <w:spacing w:after="0" w:line="261" w:lineRule="auto"/>
        <w:rPr>
          <w:sz w:val="20"/>
          <w:szCs w:val="20"/>
          <w:color w:val="auto"/>
        </w:rPr>
      </w:pPr>
      <w:r>
        <w:rPr>
          <w:rFonts w:ascii="Arial" w:cs="Arial" w:eastAsia="Arial" w:hAnsi="Arial"/>
          <w:sz w:val="18"/>
          <w:szCs w:val="18"/>
          <w:color w:val="auto"/>
        </w:rPr>
        <w:t>of Stockholders’ Equity, (v) the Consolidated Statements of Cash Flows and (vi) the Notes to Unaudited Consolidated Financial Statements.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spacing w:after="0"/>
        <w:rPr>
          <w:rFonts w:ascii="Arial" w:cs="Arial" w:eastAsia="Arial" w:hAnsi="Arial"/>
          <w:sz w:val="18"/>
          <w:szCs w:val="18"/>
          <w:u w:val="single" w:color="auto"/>
          <w:color w:val="0000EE"/>
        </w:rPr>
      </w:pPr>
      <w:hyperlink w:anchor="page1">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60" w:type="dxa"/>
            <w:vAlign w:val="bottom"/>
          </w:tcPr>
          <w:p>
            <w:pPr>
              <w:spacing w:after="0"/>
              <w:rPr>
                <w:sz w:val="20"/>
                <w:szCs w:val="20"/>
                <w:color w:val="auto"/>
              </w:rPr>
            </w:pPr>
          </w:p>
        </w:tc>
        <w:tc>
          <w:tcPr>
            <w:tcW w:w="7660" w:type="dxa"/>
            <w:vAlign w:val="bottom"/>
            <w:gridSpan w:val="2"/>
          </w:tcPr>
          <w:p>
            <w:pPr>
              <w:ind w:left="1960"/>
              <w:spacing w:after="0"/>
              <w:rPr>
                <w:sz w:val="20"/>
                <w:szCs w:val="20"/>
                <w:color w:val="auto"/>
              </w:rPr>
            </w:pPr>
            <w:r>
              <w:rPr>
                <w:rFonts w:ascii="Arial" w:cs="Arial" w:eastAsia="Arial" w:hAnsi="Arial"/>
                <w:sz w:val="18"/>
                <w:szCs w:val="18"/>
                <w:color w:val="auto"/>
              </w:rPr>
              <w:t>PRINCIPAL FINANCIAL GROUP, INC.</w:t>
            </w:r>
          </w:p>
        </w:tc>
      </w:tr>
      <w:tr>
        <w:trPr>
          <w:trHeight w:val="432"/>
        </w:trPr>
        <w:tc>
          <w:tcPr>
            <w:tcW w:w="3760" w:type="dxa"/>
            <w:vAlign w:val="bottom"/>
          </w:tcPr>
          <w:p>
            <w:pPr>
              <w:spacing w:after="0"/>
              <w:rPr>
                <w:sz w:val="20"/>
                <w:szCs w:val="20"/>
                <w:color w:val="auto"/>
              </w:rPr>
            </w:pPr>
            <w:r>
              <w:rPr>
                <w:rFonts w:ascii="Arial" w:cs="Arial" w:eastAsia="Arial" w:hAnsi="Arial"/>
                <w:sz w:val="18"/>
                <w:szCs w:val="18"/>
                <w:color w:val="auto"/>
              </w:rPr>
              <w:t>Dated: October 28, 2015</w:t>
            </w:r>
          </w:p>
        </w:tc>
        <w:tc>
          <w:tcPr>
            <w:tcW w:w="7660" w:type="dxa"/>
            <w:vAlign w:val="bottom"/>
            <w:gridSpan w:val="2"/>
          </w:tcPr>
          <w:p>
            <w:pPr>
              <w:ind w:left="1960"/>
              <w:spacing w:after="0"/>
              <w:rPr>
                <w:sz w:val="20"/>
                <w:szCs w:val="20"/>
                <w:color w:val="auto"/>
              </w:rPr>
            </w:pPr>
            <w:r>
              <w:rPr>
                <w:rFonts w:ascii="Arial" w:cs="Arial" w:eastAsia="Arial" w:hAnsi="Arial"/>
                <w:sz w:val="18"/>
                <w:szCs w:val="18"/>
                <w:color w:val="auto"/>
              </w:rPr>
              <w:t>By  /s/ Terrance J. Lillis</w:t>
            </w:r>
          </w:p>
        </w:tc>
      </w:tr>
      <w:tr>
        <w:trPr>
          <w:trHeight w:val="224"/>
        </w:trPr>
        <w:tc>
          <w:tcPr>
            <w:tcW w:w="3760" w:type="dxa"/>
            <w:vAlign w:val="bottom"/>
          </w:tcPr>
          <w:p>
            <w:pPr>
              <w:spacing w:after="0"/>
              <w:rPr>
                <w:sz w:val="19"/>
                <w:szCs w:val="19"/>
                <w:color w:val="auto"/>
              </w:rPr>
            </w:pPr>
          </w:p>
        </w:tc>
        <w:tc>
          <w:tcPr>
            <w:tcW w:w="2320" w:type="dxa"/>
            <w:vAlign w:val="bottom"/>
          </w:tcPr>
          <w:p>
            <w:pPr>
              <w:spacing w:after="0"/>
              <w:rPr>
                <w:sz w:val="19"/>
                <w:szCs w:val="19"/>
                <w:color w:val="auto"/>
              </w:rPr>
            </w:pPr>
          </w:p>
        </w:tc>
        <w:tc>
          <w:tcPr>
            <w:tcW w:w="53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Terrance J. Lillis</w:t>
            </w:r>
          </w:p>
        </w:tc>
      </w:tr>
    </w:tbl>
    <w:p>
      <w:pPr>
        <w:sectPr>
          <w:pgSz w:w="11900" w:h="16838" w:orient="portrait"/>
          <w:cols w:equalWidth="0" w:num="1">
            <w:col w:w="11420"/>
          </w:cols>
          <w:pgMar w:left="240" w:top="125" w:right="239" w:bottom="0" w:gutter="0" w:footer="0" w:header="0"/>
        </w:sectPr>
      </w:pPr>
    </w:p>
    <w:bookmarkStart w:id="96" w:name="page97"/>
    <w:bookmarkEnd w:id="9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0" w:type="dxa"/>
            <w:vAlign w:val="bottom"/>
            <w:gridSpan w:val="2"/>
          </w:tcPr>
          <w:p>
            <w:pPr>
              <w:ind w:left="4420"/>
              <w:spacing w:after="0"/>
              <w:rPr>
                <w:sz w:val="20"/>
                <w:szCs w:val="20"/>
                <w:color w:val="auto"/>
              </w:rPr>
            </w:pPr>
            <w:r>
              <w:rPr>
                <w:rFonts w:ascii="Arial" w:cs="Arial" w:eastAsia="Arial" w:hAnsi="Arial"/>
                <w:sz w:val="18"/>
                <w:szCs w:val="18"/>
                <w:color w:val="auto"/>
              </w:rPr>
              <w:t>Executive Vice President and Chief Financial Officer</w:t>
            </w:r>
          </w:p>
        </w:tc>
      </w:tr>
      <w:tr>
        <w:trPr>
          <w:trHeight w:val="418"/>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0" w:type="dxa"/>
            <w:vAlign w:val="bottom"/>
            <w:gridSpan w:val="2"/>
          </w:tcPr>
          <w:p>
            <w:pPr>
              <w:ind w:left="4420"/>
              <w:spacing w:after="0"/>
              <w:rPr>
                <w:sz w:val="20"/>
                <w:szCs w:val="20"/>
                <w:color w:val="auto"/>
              </w:rPr>
            </w:pPr>
            <w:r>
              <w:rPr>
                <w:rFonts w:ascii="Arial" w:cs="Arial" w:eastAsia="Arial" w:hAnsi="Arial"/>
                <w:sz w:val="18"/>
                <w:szCs w:val="18"/>
                <w:color w:val="auto"/>
              </w:rPr>
              <w:t>Duly Authorized Officer, Principal Financial Officer, and</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0" w:type="dxa"/>
            <w:vAlign w:val="bottom"/>
            <w:gridSpan w:val="2"/>
          </w:tcPr>
          <w:p>
            <w:pPr>
              <w:ind w:left="4420"/>
              <w:spacing w:after="0"/>
              <w:rPr>
                <w:sz w:val="20"/>
                <w:szCs w:val="20"/>
                <w:color w:val="auto"/>
              </w:rPr>
            </w:pPr>
            <w:r>
              <w:rPr>
                <w:rFonts w:ascii="Arial" w:cs="Arial" w:eastAsia="Arial" w:hAnsi="Arial"/>
                <w:sz w:val="18"/>
                <w:szCs w:val="18"/>
                <w:color w:val="auto"/>
              </w:rPr>
              <w:t>Chief Accounting Officer</w:t>
            </w:r>
          </w:p>
        </w:tc>
      </w:tr>
      <w:tr>
        <w:trPr>
          <w:trHeight w:val="43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980" w:type="dxa"/>
            <w:vAlign w:val="bottom"/>
            <w:gridSpan w:val="2"/>
          </w:tcPr>
          <w:p>
            <w:pPr>
              <w:ind w:left="4140"/>
              <w:spacing w:after="0"/>
              <w:rPr>
                <w:sz w:val="20"/>
                <w:szCs w:val="20"/>
                <w:color w:val="auto"/>
              </w:rPr>
            </w:pPr>
            <w:r>
              <w:rPr>
                <w:rFonts w:ascii="Arial" w:cs="Arial" w:eastAsia="Arial" w:hAnsi="Arial"/>
                <w:sz w:val="18"/>
                <w:szCs w:val="18"/>
                <w:color w:val="auto"/>
              </w:rPr>
              <w:t>136</w:t>
            </w:r>
          </w:p>
        </w:tc>
        <w:tc>
          <w:tcPr>
            <w:tcW w:w="40" w:type="dxa"/>
            <w:vAlign w:val="bottom"/>
          </w:tcPr>
          <w:p>
            <w:pPr>
              <w:spacing w:after="0"/>
              <w:rPr>
                <w:sz w:val="24"/>
                <w:szCs w:val="24"/>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126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97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r>
        <w:trPr>
          <w:trHeight w:val="523"/>
        </w:trPr>
        <w:tc>
          <w:tcPr>
            <w:tcW w:w="1440" w:type="dxa"/>
            <w:vAlign w:val="bottom"/>
            <w:gridSpan w:val="3"/>
          </w:tcPr>
          <w:p>
            <w:pPr>
              <w:spacing w:after="0"/>
              <w:rPr>
                <w:rFonts w:ascii="Arial" w:cs="Arial" w:eastAsia="Arial" w:hAnsi="Arial"/>
                <w:sz w:val="18"/>
                <w:szCs w:val="18"/>
                <w:color w:val="0000EE"/>
                <w:w w:val="99"/>
              </w:rPr>
            </w:pPr>
            <w:hyperlink w:anchor="page1">
              <w:r>
                <w:rPr>
                  <w:rFonts w:ascii="Arial" w:cs="Arial" w:eastAsia="Arial" w:hAnsi="Arial"/>
                  <w:sz w:val="18"/>
                  <w:szCs w:val="18"/>
                  <w:color w:val="0000EE"/>
                  <w:w w:val="99"/>
                </w:rPr>
                <w:t>Table of Contents</w:t>
              </w:r>
            </w:hyperlink>
          </w:p>
        </w:tc>
        <w:tc>
          <w:tcPr>
            <w:tcW w:w="220" w:type="dxa"/>
            <w:vAlign w:val="bottom"/>
          </w:tcPr>
          <w:p>
            <w:pPr>
              <w:spacing w:after="0"/>
              <w:rPr>
                <w:sz w:val="24"/>
                <w:szCs w:val="24"/>
                <w:color w:val="auto"/>
              </w:rPr>
            </w:pPr>
          </w:p>
        </w:tc>
        <w:tc>
          <w:tcPr>
            <w:tcW w:w="976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53"/>
        </w:trPr>
        <w:tc>
          <w:tcPr>
            <w:tcW w:w="1280" w:type="dxa"/>
            <w:vAlign w:val="bottom"/>
            <w:tcBorders>
              <w:top w:val="single" w:sz="8" w:color="0000EE"/>
            </w:tcBorders>
            <w:gridSpan w:val="2"/>
          </w:tcPr>
          <w:p>
            <w:pPr>
              <w:spacing w:after="0"/>
              <w:rPr>
                <w:sz w:val="20"/>
                <w:szCs w:val="20"/>
                <w:color w:val="auto"/>
              </w:rPr>
            </w:pPr>
            <w:r>
              <w:rPr>
                <w:rFonts w:ascii="Arial" w:cs="Arial" w:eastAsia="Arial" w:hAnsi="Arial"/>
                <w:sz w:val="18"/>
                <w:szCs w:val="18"/>
                <w:b w:val="1"/>
                <w:bCs w:val="1"/>
                <w:color w:val="auto"/>
              </w:rPr>
              <w:t>Exhibit Index</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76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65"/>
        </w:trPr>
        <w:tc>
          <w:tcPr>
            <w:tcW w:w="1440" w:type="dxa"/>
            <w:vAlign w:val="bottom"/>
            <w:gridSpan w:val="3"/>
          </w:tcPr>
          <w:p>
            <w:pPr>
              <w:spacing w:after="0"/>
              <w:rPr>
                <w:sz w:val="20"/>
                <w:szCs w:val="20"/>
                <w:color w:val="auto"/>
              </w:rPr>
            </w:pPr>
            <w:r>
              <w:rPr>
                <w:rFonts w:ascii="Arial" w:cs="Arial" w:eastAsia="Arial" w:hAnsi="Arial"/>
                <w:sz w:val="14"/>
                <w:szCs w:val="14"/>
                <w:b w:val="1"/>
                <w:bCs w:val="1"/>
                <w:color w:val="auto"/>
              </w:rPr>
              <w:t>Exhibit Number</w:t>
            </w:r>
          </w:p>
        </w:tc>
        <w:tc>
          <w:tcPr>
            <w:tcW w:w="220" w:type="dxa"/>
            <w:vAlign w:val="bottom"/>
          </w:tcPr>
          <w:p>
            <w:pPr>
              <w:spacing w:after="0"/>
              <w:rPr>
                <w:sz w:val="24"/>
                <w:szCs w:val="24"/>
                <w:color w:val="auto"/>
              </w:rPr>
            </w:pPr>
          </w:p>
        </w:tc>
        <w:tc>
          <w:tcPr>
            <w:tcW w:w="9800" w:type="dxa"/>
            <w:vAlign w:val="bottom"/>
            <w:gridSpan w:val="2"/>
          </w:tcPr>
          <w:p>
            <w:pPr>
              <w:ind w:left="4520"/>
              <w:spacing w:after="0"/>
              <w:rPr>
                <w:sz w:val="20"/>
                <w:szCs w:val="20"/>
                <w:color w:val="auto"/>
              </w:rPr>
            </w:pPr>
            <w:r>
              <w:rPr>
                <w:rFonts w:ascii="Arial" w:cs="Arial" w:eastAsia="Arial" w:hAnsi="Arial"/>
                <w:sz w:val="14"/>
                <w:szCs w:val="14"/>
                <w:b w:val="1"/>
                <w:bCs w:val="1"/>
                <w:color w:val="auto"/>
              </w:rPr>
              <w:t>Description</w:t>
            </w:r>
          </w:p>
        </w:tc>
      </w:tr>
      <w:tr>
        <w:trPr>
          <w:trHeight w:val="195"/>
        </w:trPr>
        <w:tc>
          <w:tcPr>
            <w:tcW w:w="20" w:type="dxa"/>
            <w:vAlign w:val="bottom"/>
          </w:tcPr>
          <w:p>
            <w:pPr>
              <w:spacing w:after="0"/>
              <w:rPr>
                <w:sz w:val="16"/>
                <w:szCs w:val="16"/>
                <w:color w:val="auto"/>
              </w:rPr>
            </w:pPr>
          </w:p>
        </w:tc>
        <w:tc>
          <w:tcPr>
            <w:tcW w:w="12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12</w:t>
            </w:r>
          </w:p>
        </w:tc>
        <w:tc>
          <w:tcPr>
            <w:tcW w:w="16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97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Statement Regarding Computation of Ratio of Earnings to Fixed Charges</w:t>
            </w:r>
          </w:p>
        </w:tc>
        <w:tc>
          <w:tcPr>
            <w:tcW w:w="40" w:type="dxa"/>
            <w:vAlign w:val="bottom"/>
          </w:tcPr>
          <w:p>
            <w:pPr>
              <w:spacing w:after="0"/>
              <w:rPr>
                <w:sz w:val="16"/>
                <w:szCs w:val="16"/>
                <w:color w:val="auto"/>
              </w:rPr>
            </w:pPr>
          </w:p>
        </w:tc>
      </w:tr>
      <w:tr>
        <w:trPr>
          <w:trHeight w:val="216"/>
        </w:trPr>
        <w:tc>
          <w:tcPr>
            <w:tcW w:w="1280" w:type="dxa"/>
            <w:vAlign w:val="bottom"/>
            <w:gridSpan w:val="2"/>
          </w:tcPr>
          <w:p>
            <w:pPr>
              <w:spacing w:after="0"/>
              <w:rPr>
                <w:sz w:val="20"/>
                <w:szCs w:val="20"/>
                <w:color w:val="auto"/>
              </w:rPr>
            </w:pPr>
            <w:r>
              <w:rPr>
                <w:rFonts w:ascii="Arial" w:cs="Arial" w:eastAsia="Arial" w:hAnsi="Arial"/>
                <w:sz w:val="18"/>
                <w:szCs w:val="18"/>
                <w:color w:val="auto"/>
              </w:rPr>
              <w:t>31.1</w:t>
            </w:r>
          </w:p>
        </w:tc>
        <w:tc>
          <w:tcPr>
            <w:tcW w:w="160" w:type="dxa"/>
            <w:vAlign w:val="bottom"/>
          </w:tcPr>
          <w:p>
            <w:pPr>
              <w:spacing w:after="0"/>
              <w:rPr>
                <w:sz w:val="18"/>
                <w:szCs w:val="18"/>
                <w:color w:val="auto"/>
              </w:rPr>
            </w:pPr>
          </w:p>
        </w:tc>
        <w:tc>
          <w:tcPr>
            <w:tcW w:w="10020" w:type="dxa"/>
            <w:vAlign w:val="bottom"/>
            <w:gridSpan w:val="3"/>
          </w:tcPr>
          <w:p>
            <w:pPr>
              <w:ind w:left="220"/>
              <w:spacing w:after="0"/>
              <w:rPr>
                <w:sz w:val="20"/>
                <w:szCs w:val="20"/>
                <w:color w:val="auto"/>
              </w:rPr>
            </w:pPr>
            <w:r>
              <w:rPr>
                <w:rFonts w:ascii="Arial" w:cs="Arial" w:eastAsia="Arial" w:hAnsi="Arial"/>
                <w:sz w:val="18"/>
                <w:szCs w:val="18"/>
                <w:color w:val="auto"/>
              </w:rPr>
              <w:t>Certification of Larry D. Zimpleman</w:t>
            </w:r>
          </w:p>
        </w:tc>
      </w:tr>
      <w:tr>
        <w:trPr>
          <w:trHeight w:val="216"/>
        </w:trPr>
        <w:tc>
          <w:tcPr>
            <w:tcW w:w="1280" w:type="dxa"/>
            <w:vAlign w:val="bottom"/>
            <w:gridSpan w:val="2"/>
          </w:tcPr>
          <w:p>
            <w:pPr>
              <w:spacing w:after="0"/>
              <w:rPr>
                <w:sz w:val="20"/>
                <w:szCs w:val="20"/>
                <w:color w:val="auto"/>
              </w:rPr>
            </w:pPr>
            <w:r>
              <w:rPr>
                <w:rFonts w:ascii="Arial" w:cs="Arial" w:eastAsia="Arial" w:hAnsi="Arial"/>
                <w:sz w:val="18"/>
                <w:szCs w:val="18"/>
                <w:color w:val="auto"/>
              </w:rPr>
              <w:t>31.2</w:t>
            </w:r>
          </w:p>
        </w:tc>
        <w:tc>
          <w:tcPr>
            <w:tcW w:w="160" w:type="dxa"/>
            <w:vAlign w:val="bottom"/>
          </w:tcPr>
          <w:p>
            <w:pPr>
              <w:spacing w:after="0"/>
              <w:rPr>
                <w:sz w:val="18"/>
                <w:szCs w:val="18"/>
                <w:color w:val="auto"/>
              </w:rPr>
            </w:pPr>
          </w:p>
        </w:tc>
        <w:tc>
          <w:tcPr>
            <w:tcW w:w="10020" w:type="dxa"/>
            <w:vAlign w:val="bottom"/>
            <w:gridSpan w:val="3"/>
          </w:tcPr>
          <w:p>
            <w:pPr>
              <w:ind w:left="220"/>
              <w:spacing w:after="0"/>
              <w:rPr>
                <w:sz w:val="20"/>
                <w:szCs w:val="20"/>
                <w:color w:val="auto"/>
              </w:rPr>
            </w:pPr>
            <w:r>
              <w:rPr>
                <w:rFonts w:ascii="Arial" w:cs="Arial" w:eastAsia="Arial" w:hAnsi="Arial"/>
                <w:sz w:val="18"/>
                <w:szCs w:val="18"/>
                <w:color w:val="auto"/>
              </w:rPr>
              <w:t>Certification of Daniel J. Houston</w:t>
            </w:r>
          </w:p>
        </w:tc>
      </w:tr>
      <w:tr>
        <w:trPr>
          <w:trHeight w:val="216"/>
        </w:trPr>
        <w:tc>
          <w:tcPr>
            <w:tcW w:w="1280" w:type="dxa"/>
            <w:vAlign w:val="bottom"/>
            <w:gridSpan w:val="2"/>
          </w:tcPr>
          <w:p>
            <w:pPr>
              <w:spacing w:after="0"/>
              <w:rPr>
                <w:sz w:val="20"/>
                <w:szCs w:val="20"/>
                <w:color w:val="auto"/>
              </w:rPr>
            </w:pPr>
            <w:r>
              <w:rPr>
                <w:rFonts w:ascii="Arial" w:cs="Arial" w:eastAsia="Arial" w:hAnsi="Arial"/>
                <w:sz w:val="18"/>
                <w:szCs w:val="18"/>
                <w:color w:val="auto"/>
              </w:rPr>
              <w:t>31.3</w:t>
            </w:r>
          </w:p>
        </w:tc>
        <w:tc>
          <w:tcPr>
            <w:tcW w:w="160" w:type="dxa"/>
            <w:vAlign w:val="bottom"/>
          </w:tcPr>
          <w:p>
            <w:pPr>
              <w:spacing w:after="0"/>
              <w:rPr>
                <w:sz w:val="18"/>
                <w:szCs w:val="18"/>
                <w:color w:val="auto"/>
              </w:rPr>
            </w:pPr>
          </w:p>
        </w:tc>
        <w:tc>
          <w:tcPr>
            <w:tcW w:w="10020" w:type="dxa"/>
            <w:vAlign w:val="bottom"/>
            <w:gridSpan w:val="3"/>
          </w:tcPr>
          <w:p>
            <w:pPr>
              <w:ind w:left="220"/>
              <w:spacing w:after="0"/>
              <w:rPr>
                <w:sz w:val="20"/>
                <w:szCs w:val="20"/>
                <w:color w:val="auto"/>
              </w:rPr>
            </w:pPr>
            <w:r>
              <w:rPr>
                <w:rFonts w:ascii="Arial" w:cs="Arial" w:eastAsia="Arial" w:hAnsi="Arial"/>
                <w:sz w:val="18"/>
                <w:szCs w:val="18"/>
                <w:color w:val="auto"/>
              </w:rPr>
              <w:t>Certification of Terrance J. Lillis</w:t>
            </w:r>
          </w:p>
        </w:tc>
      </w:tr>
      <w:tr>
        <w:trPr>
          <w:trHeight w:val="216"/>
        </w:trPr>
        <w:tc>
          <w:tcPr>
            <w:tcW w:w="1280" w:type="dxa"/>
            <w:vAlign w:val="bottom"/>
            <w:gridSpan w:val="2"/>
          </w:tcPr>
          <w:p>
            <w:pPr>
              <w:spacing w:after="0"/>
              <w:rPr>
                <w:sz w:val="20"/>
                <w:szCs w:val="20"/>
                <w:color w:val="auto"/>
              </w:rPr>
            </w:pPr>
            <w:r>
              <w:rPr>
                <w:rFonts w:ascii="Arial" w:cs="Arial" w:eastAsia="Arial" w:hAnsi="Arial"/>
                <w:sz w:val="18"/>
                <w:szCs w:val="18"/>
                <w:color w:val="auto"/>
              </w:rPr>
              <w:t>32.1</w:t>
            </w:r>
          </w:p>
        </w:tc>
        <w:tc>
          <w:tcPr>
            <w:tcW w:w="160" w:type="dxa"/>
            <w:vAlign w:val="bottom"/>
          </w:tcPr>
          <w:p>
            <w:pPr>
              <w:spacing w:after="0"/>
              <w:rPr>
                <w:sz w:val="18"/>
                <w:szCs w:val="18"/>
                <w:color w:val="auto"/>
              </w:rPr>
            </w:pPr>
          </w:p>
        </w:tc>
        <w:tc>
          <w:tcPr>
            <w:tcW w:w="10020" w:type="dxa"/>
            <w:vAlign w:val="bottom"/>
            <w:gridSpan w:val="3"/>
          </w:tcPr>
          <w:p>
            <w:pPr>
              <w:ind w:left="220"/>
              <w:spacing w:after="0"/>
              <w:rPr>
                <w:sz w:val="20"/>
                <w:szCs w:val="20"/>
                <w:color w:val="auto"/>
              </w:rPr>
            </w:pPr>
            <w:r>
              <w:rPr>
                <w:rFonts w:ascii="Arial" w:cs="Arial" w:eastAsia="Arial" w:hAnsi="Arial"/>
                <w:sz w:val="18"/>
                <w:szCs w:val="18"/>
                <w:color w:val="auto"/>
              </w:rPr>
              <w:t>Certification Pursuant to Section 1350 of Chapter 63 of Title 18 of the United States Code — Larry D. Zimpleman</w:t>
            </w:r>
          </w:p>
        </w:tc>
      </w:tr>
      <w:tr>
        <w:trPr>
          <w:trHeight w:val="216"/>
        </w:trPr>
        <w:tc>
          <w:tcPr>
            <w:tcW w:w="1280" w:type="dxa"/>
            <w:vAlign w:val="bottom"/>
            <w:gridSpan w:val="2"/>
          </w:tcPr>
          <w:p>
            <w:pPr>
              <w:spacing w:after="0"/>
              <w:rPr>
                <w:sz w:val="20"/>
                <w:szCs w:val="20"/>
                <w:color w:val="auto"/>
              </w:rPr>
            </w:pPr>
            <w:r>
              <w:rPr>
                <w:rFonts w:ascii="Arial" w:cs="Arial" w:eastAsia="Arial" w:hAnsi="Arial"/>
                <w:sz w:val="18"/>
                <w:szCs w:val="18"/>
                <w:color w:val="auto"/>
              </w:rPr>
              <w:t>32.2</w:t>
            </w:r>
          </w:p>
        </w:tc>
        <w:tc>
          <w:tcPr>
            <w:tcW w:w="160" w:type="dxa"/>
            <w:vAlign w:val="bottom"/>
          </w:tcPr>
          <w:p>
            <w:pPr>
              <w:spacing w:after="0"/>
              <w:rPr>
                <w:sz w:val="18"/>
                <w:szCs w:val="18"/>
                <w:color w:val="auto"/>
              </w:rPr>
            </w:pPr>
          </w:p>
        </w:tc>
        <w:tc>
          <w:tcPr>
            <w:tcW w:w="10020" w:type="dxa"/>
            <w:vAlign w:val="bottom"/>
            <w:gridSpan w:val="3"/>
          </w:tcPr>
          <w:p>
            <w:pPr>
              <w:ind w:left="220"/>
              <w:spacing w:after="0"/>
              <w:rPr>
                <w:sz w:val="20"/>
                <w:szCs w:val="20"/>
                <w:color w:val="auto"/>
              </w:rPr>
            </w:pPr>
            <w:r>
              <w:rPr>
                <w:rFonts w:ascii="Arial" w:cs="Arial" w:eastAsia="Arial" w:hAnsi="Arial"/>
                <w:sz w:val="18"/>
                <w:szCs w:val="18"/>
                <w:color w:val="auto"/>
              </w:rPr>
              <w:t>Certification Pursuant to Section 1350 of Chapter 63 of Title 18 of the United States Code — Daniel J. Houston</w:t>
            </w:r>
          </w:p>
        </w:tc>
      </w:tr>
      <w:tr>
        <w:trPr>
          <w:trHeight w:val="216"/>
        </w:trPr>
        <w:tc>
          <w:tcPr>
            <w:tcW w:w="1280" w:type="dxa"/>
            <w:vAlign w:val="bottom"/>
            <w:gridSpan w:val="2"/>
          </w:tcPr>
          <w:p>
            <w:pPr>
              <w:spacing w:after="0"/>
              <w:rPr>
                <w:sz w:val="20"/>
                <w:szCs w:val="20"/>
                <w:color w:val="auto"/>
              </w:rPr>
            </w:pPr>
            <w:r>
              <w:rPr>
                <w:rFonts w:ascii="Arial" w:cs="Arial" w:eastAsia="Arial" w:hAnsi="Arial"/>
                <w:sz w:val="18"/>
                <w:szCs w:val="18"/>
                <w:color w:val="auto"/>
              </w:rPr>
              <w:t>32.3</w:t>
            </w:r>
          </w:p>
        </w:tc>
        <w:tc>
          <w:tcPr>
            <w:tcW w:w="160" w:type="dxa"/>
            <w:vAlign w:val="bottom"/>
          </w:tcPr>
          <w:p>
            <w:pPr>
              <w:spacing w:after="0"/>
              <w:rPr>
                <w:sz w:val="18"/>
                <w:szCs w:val="18"/>
                <w:color w:val="auto"/>
              </w:rPr>
            </w:pPr>
          </w:p>
        </w:tc>
        <w:tc>
          <w:tcPr>
            <w:tcW w:w="10020" w:type="dxa"/>
            <w:vAlign w:val="bottom"/>
            <w:gridSpan w:val="3"/>
          </w:tcPr>
          <w:p>
            <w:pPr>
              <w:ind w:left="220"/>
              <w:spacing w:after="0"/>
              <w:rPr>
                <w:sz w:val="20"/>
                <w:szCs w:val="20"/>
                <w:color w:val="auto"/>
              </w:rPr>
            </w:pPr>
            <w:r>
              <w:rPr>
                <w:rFonts w:ascii="Arial" w:cs="Arial" w:eastAsia="Arial" w:hAnsi="Arial"/>
                <w:sz w:val="18"/>
                <w:szCs w:val="18"/>
                <w:color w:val="auto"/>
              </w:rPr>
              <w:t>Certification Pursuant to Section 1350 of Chapter 63 of Title 18 of the United States Code — Terrance J. Lillis</w:t>
            </w:r>
          </w:p>
        </w:tc>
      </w:tr>
      <w:tr>
        <w:trPr>
          <w:trHeight w:val="216"/>
        </w:trPr>
        <w:tc>
          <w:tcPr>
            <w:tcW w:w="1280" w:type="dxa"/>
            <w:vAlign w:val="bottom"/>
            <w:gridSpan w:val="2"/>
          </w:tcPr>
          <w:p>
            <w:pPr>
              <w:spacing w:after="0"/>
              <w:rPr>
                <w:sz w:val="20"/>
                <w:szCs w:val="20"/>
                <w:color w:val="auto"/>
              </w:rPr>
            </w:pPr>
            <w:r>
              <w:rPr>
                <w:rFonts w:ascii="Arial" w:cs="Arial" w:eastAsia="Arial" w:hAnsi="Arial"/>
                <w:sz w:val="18"/>
                <w:szCs w:val="18"/>
                <w:color w:val="auto"/>
              </w:rPr>
              <w:t>101</w:t>
            </w:r>
          </w:p>
        </w:tc>
        <w:tc>
          <w:tcPr>
            <w:tcW w:w="160" w:type="dxa"/>
            <w:vAlign w:val="bottom"/>
          </w:tcPr>
          <w:p>
            <w:pPr>
              <w:spacing w:after="0"/>
              <w:rPr>
                <w:sz w:val="18"/>
                <w:szCs w:val="18"/>
                <w:color w:val="auto"/>
              </w:rPr>
            </w:pPr>
          </w:p>
        </w:tc>
        <w:tc>
          <w:tcPr>
            <w:tcW w:w="10020" w:type="dxa"/>
            <w:vAlign w:val="bottom"/>
            <w:gridSpan w:val="3"/>
          </w:tcPr>
          <w:p>
            <w:pPr>
              <w:ind w:left="220"/>
              <w:spacing w:after="0"/>
              <w:rPr>
                <w:sz w:val="20"/>
                <w:szCs w:val="20"/>
                <w:color w:val="auto"/>
              </w:rPr>
            </w:pPr>
            <w:r>
              <w:rPr>
                <w:rFonts w:ascii="Arial" w:cs="Arial" w:eastAsia="Arial" w:hAnsi="Arial"/>
                <w:sz w:val="18"/>
                <w:szCs w:val="18"/>
                <w:color w:val="auto"/>
                <w:w w:val="95"/>
              </w:rPr>
              <w:t>The following materials from Principal Financial Group, Inc.’s Quarterly Report on Form 10-Q for the period ended September 30,</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20" w:type="dxa"/>
            <w:vAlign w:val="bottom"/>
            <w:gridSpan w:val="3"/>
          </w:tcPr>
          <w:p>
            <w:pPr>
              <w:ind w:left="220"/>
              <w:spacing w:after="0"/>
              <w:rPr>
                <w:sz w:val="20"/>
                <w:szCs w:val="20"/>
                <w:color w:val="auto"/>
              </w:rPr>
            </w:pPr>
            <w:r>
              <w:rPr>
                <w:rFonts w:ascii="Arial" w:cs="Arial" w:eastAsia="Arial" w:hAnsi="Arial"/>
                <w:sz w:val="18"/>
                <w:szCs w:val="18"/>
                <w:color w:val="auto"/>
                <w:w w:val="95"/>
              </w:rPr>
              <w:t>2015 formatted in XBRL (Extensible Business Reporting Language): (i) the Consolidated Statements of Financial Position, (ii) the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-2136775</wp:posOffset>
            </wp:positionV>
            <wp:extent cx="12700" cy="298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-2136775</wp:posOffset>
            </wp:positionV>
            <wp:extent cx="12700" cy="298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ind w:left="1660" w:right="140"/>
        <w:spacing w:after="0" w:line="255" w:lineRule="auto"/>
        <w:rPr>
          <w:sz w:val="20"/>
          <w:szCs w:val="20"/>
          <w:color w:val="auto"/>
        </w:rPr>
      </w:pPr>
      <w:r>
        <w:rPr>
          <w:rFonts w:ascii="Arial" w:cs="Arial" w:eastAsia="Arial" w:hAnsi="Arial"/>
          <w:sz w:val="18"/>
          <w:szCs w:val="18"/>
          <w:color w:val="auto"/>
        </w:rPr>
        <w:t>Consolidated Statements of Operations, (iii) the Consolidated Statements of Comprehensive Income, (iv) the Consolidated Statements of Stockholders’ Equity, (v) the Consolidated Statements of Cash Flows and (vi) the Notes to Unaudited Consolidated Financial Statements.</w:t>
      </w:r>
    </w:p>
    <w:p>
      <w:pPr>
        <w:spacing w:after="0" w:line="19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125" w:right="199" w:bottom="1440" w:gutter="0" w:footer="0" w:header="0"/>
        </w:sectPr>
      </w:pPr>
    </w:p>
    <w:bookmarkStart w:id="97" w:name="page98"/>
    <w:bookmarkEnd w:id="97"/>
    <w:p>
      <w:pPr>
        <w:jc w:val="right"/>
        <w:ind w:right="40"/>
        <w:spacing w:after="0"/>
        <w:rPr>
          <w:sz w:val="20"/>
          <w:szCs w:val="20"/>
          <w:color w:val="auto"/>
        </w:rPr>
      </w:pPr>
      <w:r>
        <w:rPr>
          <w:rFonts w:ascii="Arial" w:cs="Arial" w:eastAsia="Arial" w:hAnsi="Arial"/>
          <w:sz w:val="18"/>
          <w:szCs w:val="18"/>
          <w:b w:val="1"/>
          <w:bCs w:val="1"/>
          <w:color w:val="auto"/>
        </w:rPr>
        <w:t>Exhibit 12</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Computation of Earnings to Fixed Charges Ratio</w:t>
      </w:r>
    </w:p>
    <w:p>
      <w:pPr>
        <w:spacing w:after="0" w:line="211"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The ratio of earnings to fixed charges is a measure of our ability to cover fixed costs with current period earnings. A high ratio indicates that earnings are sufficiently covering committed expenses. The following table sets forth, for the periods indicated, our ratios of: (1) earnings to fixed charges before interest credited on investment products and (2) earnings to fixed charges.</w:t>
      </w:r>
    </w:p>
    <w:p>
      <w:pPr>
        <w:spacing w:after="0" w:line="160" w:lineRule="exact"/>
        <w:rPr>
          <w:sz w:val="20"/>
          <w:szCs w:val="20"/>
          <w:color w:val="auto"/>
        </w:rPr>
      </w:pPr>
    </w:p>
    <w:tbl>
      <w:tblPr>
        <w:tblLayout w:type="fixed"/>
        <w:tblInd w:w="4220" w:type="dxa"/>
        <w:tblCellMar>
          <w:top w:w="0" w:type="dxa"/>
          <w:left w:w="0" w:type="dxa"/>
          <w:bottom w:w="0" w:type="dxa"/>
          <w:right w:w="0" w:type="dxa"/>
        </w:tblCellMar>
      </w:tblPr>
      <w:tr>
        <w:trPr>
          <w:trHeight w:val="161"/>
        </w:trPr>
        <w:tc>
          <w:tcPr>
            <w:tcW w:w="2060" w:type="dxa"/>
            <w:vAlign w:val="bottom"/>
            <w:gridSpan w:val="3"/>
          </w:tcPr>
          <w:p>
            <w:pPr>
              <w:ind w:left="300"/>
              <w:spacing w:after="0"/>
              <w:rPr>
                <w:sz w:val="20"/>
                <w:szCs w:val="20"/>
                <w:color w:val="auto"/>
              </w:rPr>
            </w:pPr>
            <w:r>
              <w:rPr>
                <w:rFonts w:ascii="Arial" w:cs="Arial" w:eastAsia="Arial" w:hAnsi="Arial"/>
                <w:sz w:val="14"/>
                <w:szCs w:val="14"/>
                <w:b w:val="1"/>
                <w:bCs w:val="1"/>
                <w:color w:val="auto"/>
              </w:rPr>
              <w:t>For the nine months</w:t>
            </w:r>
          </w:p>
        </w:tc>
        <w:tc>
          <w:tcPr>
            <w:tcW w:w="840" w:type="dxa"/>
            <w:vAlign w:val="bottom"/>
          </w:tcPr>
          <w:p>
            <w:pPr>
              <w:spacing w:after="0"/>
              <w:rPr>
                <w:sz w:val="14"/>
                <w:szCs w:val="14"/>
                <w:color w:val="auto"/>
              </w:rPr>
            </w:pPr>
          </w:p>
        </w:tc>
        <w:tc>
          <w:tcPr>
            <w:tcW w:w="3200" w:type="dxa"/>
            <w:vAlign w:val="bottom"/>
            <w:gridSpan w:val="3"/>
            <w:vMerge w:val="restart"/>
          </w:tcPr>
          <w:p>
            <w:pPr>
              <w:jc w:val="right"/>
              <w:ind w:right="428"/>
              <w:spacing w:after="0"/>
              <w:rPr>
                <w:sz w:val="20"/>
                <w:szCs w:val="20"/>
                <w:color w:val="auto"/>
              </w:rPr>
            </w:pPr>
            <w:r>
              <w:rPr>
                <w:rFonts w:ascii="Arial" w:cs="Arial" w:eastAsia="Arial" w:hAnsi="Arial"/>
                <w:sz w:val="14"/>
                <w:szCs w:val="14"/>
                <w:b w:val="1"/>
                <w:bCs w:val="1"/>
                <w:color w:val="auto"/>
              </w:rPr>
              <w:t>For the year ended December 31,</w:t>
            </w: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60" w:type="dxa"/>
            <w:vAlign w:val="bottom"/>
            <w:gridSpan w:val="3"/>
          </w:tcPr>
          <w:p>
            <w:pPr>
              <w:ind w:left="280"/>
              <w:spacing w:after="0"/>
              <w:rPr>
                <w:sz w:val="20"/>
                <w:szCs w:val="20"/>
                <w:color w:val="auto"/>
              </w:rPr>
            </w:pPr>
            <w:r>
              <w:rPr>
                <w:rFonts w:ascii="Arial" w:cs="Arial" w:eastAsia="Arial" w:hAnsi="Arial"/>
                <w:sz w:val="14"/>
                <w:szCs w:val="14"/>
                <w:b w:val="1"/>
                <w:bCs w:val="1"/>
                <w:color w:val="auto"/>
              </w:rPr>
              <w:t>ended September 30,</w:t>
            </w:r>
          </w:p>
        </w:tc>
        <w:tc>
          <w:tcPr>
            <w:tcW w:w="840" w:type="dxa"/>
            <w:vAlign w:val="bottom"/>
          </w:tcPr>
          <w:p>
            <w:pPr>
              <w:spacing w:after="0"/>
              <w:rPr>
                <w:sz w:val="14"/>
                <w:szCs w:val="14"/>
                <w:color w:val="auto"/>
              </w:rPr>
            </w:pPr>
          </w:p>
        </w:tc>
        <w:tc>
          <w:tcPr>
            <w:tcW w:w="3200" w:type="dxa"/>
            <w:vAlign w:val="bottom"/>
            <w:gridSpan w:val="3"/>
            <w:vMerge w:val="continue"/>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920" w:type="dxa"/>
            <w:vAlign w:val="bottom"/>
            <w:tcBorders>
              <w:top w:val="single" w:sz="8" w:color="auto"/>
              <w:bottom w:val="single" w:sz="8" w:color="auto"/>
            </w:tcBorders>
          </w:tcPr>
          <w:p>
            <w:pPr>
              <w:ind w:left="260"/>
              <w:spacing w:after="0" w:line="142" w:lineRule="exact"/>
              <w:rPr>
                <w:sz w:val="20"/>
                <w:szCs w:val="20"/>
                <w:color w:val="auto"/>
              </w:rPr>
            </w:pPr>
            <w:r>
              <w:rPr>
                <w:rFonts w:ascii="Arial" w:cs="Arial" w:eastAsia="Arial" w:hAnsi="Arial"/>
                <w:sz w:val="14"/>
                <w:szCs w:val="14"/>
                <w:b w:val="1"/>
                <w:bCs w:val="1"/>
                <w:color w:val="auto"/>
              </w:rPr>
              <w:t>2015</w:t>
            </w:r>
          </w:p>
        </w:tc>
        <w:tc>
          <w:tcPr>
            <w:tcW w:w="94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2014</w:t>
            </w:r>
          </w:p>
        </w:tc>
        <w:tc>
          <w:tcPr>
            <w:tcW w:w="200" w:type="dxa"/>
            <w:vAlign w:val="bottom"/>
            <w:tcBorders>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2014</w:t>
            </w:r>
          </w:p>
        </w:tc>
        <w:tc>
          <w:tcPr>
            <w:tcW w:w="1260" w:type="dxa"/>
            <w:vAlign w:val="bottom"/>
            <w:tcBorders>
              <w:top w:val="single" w:sz="8" w:color="auto"/>
              <w:bottom w:val="single" w:sz="8" w:color="auto"/>
            </w:tcBorders>
          </w:tcPr>
          <w:p>
            <w:pPr>
              <w:jc w:val="right"/>
              <w:ind w:right="448"/>
              <w:spacing w:after="0" w:line="142" w:lineRule="exact"/>
              <w:rPr>
                <w:sz w:val="20"/>
                <w:szCs w:val="20"/>
                <w:color w:val="auto"/>
              </w:rPr>
            </w:pPr>
            <w:r>
              <w:rPr>
                <w:rFonts w:ascii="Arial" w:cs="Arial" w:eastAsia="Arial" w:hAnsi="Arial"/>
                <w:sz w:val="14"/>
                <w:szCs w:val="14"/>
                <w:b w:val="1"/>
                <w:bCs w:val="1"/>
                <w:color w:val="auto"/>
              </w:rPr>
              <w:t>2013</w:t>
            </w:r>
          </w:p>
        </w:tc>
        <w:tc>
          <w:tcPr>
            <w:tcW w:w="880" w:type="dxa"/>
            <w:vAlign w:val="bottom"/>
            <w:tcBorders>
              <w:top w:val="single" w:sz="8" w:color="auto"/>
              <w:bottom w:val="single" w:sz="8" w:color="auto"/>
            </w:tcBorders>
          </w:tcPr>
          <w:p>
            <w:pPr>
              <w:jc w:val="right"/>
              <w:ind w:right="308"/>
              <w:spacing w:after="0" w:line="142" w:lineRule="exact"/>
              <w:rPr>
                <w:sz w:val="20"/>
                <w:szCs w:val="20"/>
                <w:color w:val="auto"/>
              </w:rPr>
            </w:pPr>
            <w:r>
              <w:rPr>
                <w:rFonts w:ascii="Arial" w:cs="Arial" w:eastAsia="Arial" w:hAnsi="Arial"/>
                <w:sz w:val="14"/>
                <w:szCs w:val="14"/>
                <w:b w:val="1"/>
                <w:bCs w:val="1"/>
                <w:color w:val="auto"/>
              </w:rPr>
              <w:t>2012</w:t>
            </w:r>
          </w:p>
        </w:tc>
        <w:tc>
          <w:tcPr>
            <w:tcW w:w="1060" w:type="dxa"/>
            <w:vAlign w:val="bottom"/>
            <w:tcBorders>
              <w:top w:val="single" w:sz="8" w:color="auto"/>
              <w:bottom w:val="single" w:sz="8" w:color="auto"/>
            </w:tcBorders>
          </w:tcPr>
          <w:p>
            <w:pPr>
              <w:jc w:val="right"/>
              <w:ind w:right="328"/>
              <w:spacing w:after="0" w:line="142" w:lineRule="exact"/>
              <w:rPr>
                <w:sz w:val="20"/>
                <w:szCs w:val="20"/>
                <w:color w:val="auto"/>
              </w:rPr>
            </w:pPr>
            <w:r>
              <w:rPr>
                <w:rFonts w:ascii="Arial" w:cs="Arial" w:eastAsia="Arial" w:hAnsi="Arial"/>
                <w:sz w:val="14"/>
                <w:szCs w:val="14"/>
                <w:b w:val="1"/>
                <w:bCs w:val="1"/>
                <w:color w:val="auto"/>
              </w:rPr>
              <w:t>2011</w:t>
            </w:r>
          </w:p>
        </w:tc>
        <w:tc>
          <w:tcPr>
            <w:tcW w:w="1020" w:type="dxa"/>
            <w:vAlign w:val="bottom"/>
            <w:tcBorders>
              <w:top w:val="single" w:sz="8" w:color="auto"/>
              <w:bottom w:val="single" w:sz="8" w:color="auto"/>
            </w:tcBorders>
          </w:tcPr>
          <w:p>
            <w:pPr>
              <w:jc w:val="right"/>
              <w:ind w:right="248"/>
              <w:spacing w:after="0" w:line="142" w:lineRule="exact"/>
              <w:rPr>
                <w:sz w:val="20"/>
                <w:szCs w:val="20"/>
                <w:color w:val="auto"/>
              </w:rPr>
            </w:pPr>
            <w:r>
              <w:rPr>
                <w:rFonts w:ascii="Arial" w:cs="Arial" w:eastAsia="Arial" w:hAnsi="Arial"/>
                <w:sz w:val="14"/>
                <w:szCs w:val="14"/>
                <w:b w:val="1"/>
                <w:bCs w:val="1"/>
                <w:color w:val="auto"/>
              </w:rPr>
              <w:t>2010</w:t>
            </w:r>
          </w:p>
        </w:tc>
        <w:tc>
          <w:tcPr>
            <w:tcW w:w="0" w:type="dxa"/>
            <w:vAlign w:val="bottom"/>
          </w:tcPr>
          <w:p>
            <w:pPr>
              <w:spacing w:after="0"/>
              <w:rPr>
                <w:sz w:val="1"/>
                <w:szCs w:val="1"/>
                <w:color w:val="auto"/>
              </w:rPr>
            </w:pPr>
          </w:p>
        </w:tc>
      </w:tr>
      <w:tr>
        <w:trPr>
          <w:trHeight w:val="144"/>
        </w:trPr>
        <w:tc>
          <w:tcPr>
            <w:tcW w:w="9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60" w:type="dxa"/>
            <w:vAlign w:val="bottom"/>
          </w:tcPr>
          <w:p>
            <w:pPr>
              <w:jc w:val="right"/>
              <w:ind w:right="148"/>
              <w:spacing w:after="0" w:line="144" w:lineRule="exact"/>
              <w:rPr>
                <w:sz w:val="20"/>
                <w:szCs w:val="20"/>
                <w:color w:val="auto"/>
              </w:rPr>
            </w:pPr>
            <w:r>
              <w:rPr>
                <w:rFonts w:ascii="Arial" w:cs="Arial" w:eastAsia="Arial" w:hAnsi="Arial"/>
                <w:sz w:val="14"/>
                <w:szCs w:val="14"/>
                <w:b w:val="1"/>
                <w:bCs w:val="1"/>
                <w:color w:val="auto"/>
              </w:rPr>
              <w:t>(in millions)</w:t>
            </w:r>
          </w:p>
        </w:tc>
        <w:tc>
          <w:tcPr>
            <w:tcW w:w="8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246620" cy="27432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ind w:left="420" w:hanging="412"/>
        <w:spacing w:after="0"/>
        <w:tabs>
          <w:tab w:leader="none" w:pos="4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Income from continuing operations before</w:t>
      </w:r>
    </w:p>
    <w:tbl>
      <w:tblPr>
        <w:tblLayout w:type="fixed"/>
        <w:tblInd w:w="0" w:type="dxa"/>
        <w:tblCellMar>
          <w:top w:w="0" w:type="dxa"/>
          <w:left w:w="0" w:type="dxa"/>
          <w:bottom w:w="0" w:type="dxa"/>
          <w:right w:w="0" w:type="dxa"/>
        </w:tblCellMar>
      </w:tblPr>
      <w:tr>
        <w:trPr>
          <w:trHeight w:val="205"/>
        </w:trPr>
        <w:tc>
          <w:tcPr>
            <w:tcW w:w="280" w:type="dxa"/>
            <w:vAlign w:val="bottom"/>
          </w:tcPr>
          <w:p>
            <w:pPr>
              <w:spacing w:after="0"/>
              <w:rPr>
                <w:sz w:val="17"/>
                <w:szCs w:val="17"/>
                <w:color w:val="auto"/>
              </w:rPr>
            </w:pPr>
          </w:p>
        </w:tc>
        <w:tc>
          <w:tcPr>
            <w:tcW w:w="3620" w:type="dxa"/>
            <w:vAlign w:val="bottom"/>
          </w:tcPr>
          <w:p>
            <w:pPr>
              <w:ind w:left="320"/>
              <w:spacing w:after="0" w:line="205" w:lineRule="exact"/>
              <w:rPr>
                <w:sz w:val="20"/>
                <w:szCs w:val="20"/>
                <w:color w:val="auto"/>
              </w:rPr>
            </w:pPr>
            <w:r>
              <w:rPr>
                <w:rFonts w:ascii="Arial" w:cs="Arial" w:eastAsia="Arial" w:hAnsi="Arial"/>
                <w:sz w:val="18"/>
                <w:szCs w:val="18"/>
                <w:color w:val="auto"/>
              </w:rPr>
              <w:t>income taxes</w:t>
            </w:r>
          </w:p>
        </w:tc>
        <w:tc>
          <w:tcPr>
            <w:tcW w:w="1280" w:type="dxa"/>
            <w:vAlign w:val="bottom"/>
          </w:tcPr>
          <w:p>
            <w:pPr>
              <w:jc w:val="right"/>
              <w:ind w:right="50"/>
              <w:spacing w:after="0" w:line="205" w:lineRule="exact"/>
              <w:rPr>
                <w:sz w:val="20"/>
                <w:szCs w:val="20"/>
                <w:color w:val="auto"/>
              </w:rPr>
            </w:pPr>
            <w:r>
              <w:rPr>
                <w:rFonts w:ascii="Arial" w:cs="Arial" w:eastAsia="Arial" w:hAnsi="Arial"/>
                <w:sz w:val="18"/>
                <w:szCs w:val="18"/>
                <w:b w:val="1"/>
                <w:bCs w:val="1"/>
                <w:color w:val="auto"/>
              </w:rPr>
              <w:t>$  1,121.8</w:t>
            </w:r>
          </w:p>
        </w:tc>
        <w:tc>
          <w:tcPr>
            <w:tcW w:w="1020" w:type="dxa"/>
            <w:vAlign w:val="bottom"/>
          </w:tcPr>
          <w:p>
            <w:pPr>
              <w:jc w:val="right"/>
              <w:ind w:right="30"/>
              <w:spacing w:after="0" w:line="205" w:lineRule="exact"/>
              <w:rPr>
                <w:sz w:val="20"/>
                <w:szCs w:val="20"/>
                <w:color w:val="auto"/>
              </w:rPr>
            </w:pPr>
            <w:r>
              <w:rPr>
                <w:rFonts w:ascii="Arial" w:cs="Arial" w:eastAsia="Arial" w:hAnsi="Arial"/>
                <w:sz w:val="18"/>
                <w:szCs w:val="18"/>
                <w:color w:val="auto"/>
              </w:rPr>
              <w:t>$  1,177.7</w:t>
            </w:r>
          </w:p>
        </w:tc>
        <w:tc>
          <w:tcPr>
            <w:tcW w:w="1020" w:type="dxa"/>
            <w:vAlign w:val="bottom"/>
          </w:tcPr>
          <w:p>
            <w:pPr>
              <w:jc w:val="right"/>
              <w:ind w:right="30"/>
              <w:spacing w:after="0" w:line="205" w:lineRule="exact"/>
              <w:rPr>
                <w:sz w:val="20"/>
                <w:szCs w:val="20"/>
                <w:color w:val="auto"/>
              </w:rPr>
            </w:pPr>
            <w:r>
              <w:rPr>
                <w:rFonts w:ascii="Arial" w:cs="Arial" w:eastAsia="Arial" w:hAnsi="Arial"/>
                <w:sz w:val="18"/>
                <w:szCs w:val="18"/>
                <w:color w:val="auto"/>
              </w:rPr>
              <w:t>$  1,494.9</w:t>
            </w:r>
          </w:p>
        </w:tc>
        <w:tc>
          <w:tcPr>
            <w:tcW w:w="1040" w:type="dxa"/>
            <w:vAlign w:val="bottom"/>
          </w:tcPr>
          <w:p>
            <w:pPr>
              <w:jc w:val="right"/>
              <w:ind w:right="50"/>
              <w:spacing w:after="0" w:line="205" w:lineRule="exact"/>
              <w:rPr>
                <w:sz w:val="20"/>
                <w:szCs w:val="20"/>
                <w:color w:val="auto"/>
              </w:rPr>
            </w:pPr>
            <w:r>
              <w:rPr>
                <w:rFonts w:ascii="Arial" w:cs="Arial" w:eastAsia="Arial" w:hAnsi="Arial"/>
                <w:sz w:val="18"/>
                <w:szCs w:val="18"/>
                <w:color w:val="auto"/>
              </w:rPr>
              <w:t>$  1,124.0</w:t>
            </w:r>
          </w:p>
        </w:tc>
        <w:tc>
          <w:tcPr>
            <w:tcW w:w="320" w:type="dxa"/>
            <w:vAlign w:val="bottom"/>
          </w:tcPr>
          <w:p>
            <w:pPr>
              <w:jc w:val="right"/>
              <w:ind w:right="70"/>
              <w:spacing w:after="0" w:line="205" w:lineRule="exact"/>
              <w:rPr>
                <w:sz w:val="20"/>
                <w:szCs w:val="20"/>
                <w:color w:val="auto"/>
              </w:rPr>
            </w:pPr>
            <w:r>
              <w:rPr>
                <w:rFonts w:ascii="Arial" w:cs="Arial" w:eastAsia="Arial" w:hAnsi="Arial"/>
                <w:sz w:val="18"/>
                <w:szCs w:val="18"/>
                <w:color w:val="auto"/>
              </w:rPr>
              <w:t>$</w:t>
            </w:r>
          </w:p>
        </w:tc>
        <w:tc>
          <w:tcPr>
            <w:tcW w:w="720" w:type="dxa"/>
            <w:vAlign w:val="bottom"/>
          </w:tcPr>
          <w:p>
            <w:pPr>
              <w:jc w:val="right"/>
              <w:ind w:right="50"/>
              <w:spacing w:after="0" w:line="205" w:lineRule="exact"/>
              <w:rPr>
                <w:sz w:val="20"/>
                <w:szCs w:val="20"/>
                <w:color w:val="auto"/>
              </w:rPr>
            </w:pPr>
            <w:r>
              <w:rPr>
                <w:rFonts w:ascii="Arial" w:cs="Arial" w:eastAsia="Arial" w:hAnsi="Arial"/>
                <w:sz w:val="18"/>
                <w:szCs w:val="18"/>
                <w:color w:val="auto"/>
              </w:rPr>
              <w:t>960.0</w:t>
            </w:r>
          </w:p>
        </w:tc>
        <w:tc>
          <w:tcPr>
            <w:tcW w:w="320" w:type="dxa"/>
            <w:vAlign w:val="bottom"/>
          </w:tcPr>
          <w:p>
            <w:pPr>
              <w:jc w:val="right"/>
              <w:ind w:right="70"/>
              <w:spacing w:after="0" w:line="205" w:lineRule="exact"/>
              <w:rPr>
                <w:sz w:val="20"/>
                <w:szCs w:val="20"/>
                <w:color w:val="auto"/>
              </w:rPr>
            </w:pPr>
            <w:r>
              <w:rPr>
                <w:rFonts w:ascii="Arial" w:cs="Arial" w:eastAsia="Arial" w:hAnsi="Arial"/>
                <w:sz w:val="18"/>
                <w:szCs w:val="18"/>
                <w:color w:val="auto"/>
              </w:rPr>
              <w:t>$</w:t>
            </w:r>
          </w:p>
        </w:tc>
        <w:tc>
          <w:tcPr>
            <w:tcW w:w="720" w:type="dxa"/>
            <w:vAlign w:val="bottom"/>
          </w:tcPr>
          <w:p>
            <w:pPr>
              <w:jc w:val="right"/>
              <w:ind w:right="50"/>
              <w:spacing w:after="0" w:line="205" w:lineRule="exact"/>
              <w:rPr>
                <w:sz w:val="20"/>
                <w:szCs w:val="20"/>
                <w:color w:val="auto"/>
              </w:rPr>
            </w:pPr>
            <w:r>
              <w:rPr>
                <w:rFonts w:ascii="Arial" w:cs="Arial" w:eastAsia="Arial" w:hAnsi="Arial"/>
                <w:sz w:val="18"/>
                <w:szCs w:val="18"/>
                <w:color w:val="auto"/>
              </w:rPr>
              <w:t>872.8</w:t>
            </w:r>
          </w:p>
        </w:tc>
        <w:tc>
          <w:tcPr>
            <w:tcW w:w="340" w:type="dxa"/>
            <w:vAlign w:val="bottom"/>
          </w:tcPr>
          <w:p>
            <w:pPr>
              <w:jc w:val="right"/>
              <w:ind w:right="90"/>
              <w:spacing w:after="0" w:line="205" w:lineRule="exact"/>
              <w:rPr>
                <w:sz w:val="20"/>
                <w:szCs w:val="20"/>
                <w:color w:val="auto"/>
              </w:rPr>
            </w:pPr>
            <w:r>
              <w:rPr>
                <w:rFonts w:ascii="Arial" w:cs="Arial" w:eastAsia="Arial" w:hAnsi="Arial"/>
                <w:sz w:val="18"/>
                <w:szCs w:val="18"/>
                <w:color w:val="auto"/>
              </w:rPr>
              <w:t>$</w:t>
            </w:r>
          </w:p>
        </w:tc>
        <w:tc>
          <w:tcPr>
            <w:tcW w:w="740" w:type="dxa"/>
            <w:vAlign w:val="bottom"/>
          </w:tcPr>
          <w:p>
            <w:pPr>
              <w:jc w:val="right"/>
              <w:spacing w:after="0" w:line="205" w:lineRule="exact"/>
              <w:rPr>
                <w:sz w:val="20"/>
                <w:szCs w:val="20"/>
                <w:color w:val="auto"/>
              </w:rPr>
            </w:pPr>
            <w:r>
              <w:rPr>
                <w:rFonts w:ascii="Arial" w:cs="Arial" w:eastAsia="Arial" w:hAnsi="Arial"/>
                <w:sz w:val="18"/>
                <w:szCs w:val="18"/>
                <w:color w:val="auto"/>
              </w:rPr>
              <w:t>771.4</w:t>
            </w:r>
          </w:p>
        </w:tc>
      </w:tr>
      <w:tr>
        <w:trPr>
          <w:trHeight w:val="234"/>
        </w:trPr>
        <w:tc>
          <w:tcPr>
            <w:tcW w:w="280" w:type="dxa"/>
            <w:vAlign w:val="bottom"/>
          </w:tcPr>
          <w:p>
            <w:pPr>
              <w:jc w:val="right"/>
              <w:ind w:right="50"/>
              <w:spacing w:after="0"/>
              <w:rPr>
                <w:sz w:val="20"/>
                <w:szCs w:val="20"/>
                <w:color w:val="auto"/>
              </w:rPr>
            </w:pPr>
            <w:r>
              <w:rPr>
                <w:rFonts w:ascii="Arial" w:cs="Arial" w:eastAsia="Arial" w:hAnsi="Arial"/>
                <w:sz w:val="18"/>
                <w:szCs w:val="18"/>
                <w:color w:val="auto"/>
                <w:w w:val="79"/>
              </w:rPr>
              <w:t>2.</w:t>
            </w:r>
          </w:p>
        </w:tc>
        <w:tc>
          <w:tcPr>
            <w:tcW w:w="3620" w:type="dxa"/>
            <w:vAlign w:val="bottom"/>
          </w:tcPr>
          <w:p>
            <w:pPr>
              <w:ind w:left="140"/>
              <w:spacing w:after="0"/>
              <w:rPr>
                <w:sz w:val="20"/>
                <w:szCs w:val="20"/>
                <w:color w:val="auto"/>
              </w:rPr>
            </w:pPr>
            <w:r>
              <w:rPr>
                <w:rFonts w:ascii="Arial" w:cs="Arial" w:eastAsia="Arial" w:hAnsi="Arial"/>
                <w:sz w:val="18"/>
                <w:szCs w:val="18"/>
                <w:color w:val="auto"/>
              </w:rPr>
              <w:t>Interest expense</w:t>
            </w:r>
          </w:p>
        </w:tc>
        <w:tc>
          <w:tcPr>
            <w:tcW w:w="1280" w:type="dxa"/>
            <w:vAlign w:val="bottom"/>
          </w:tcPr>
          <w:p>
            <w:pPr>
              <w:jc w:val="right"/>
              <w:ind w:right="50"/>
              <w:spacing w:after="0"/>
              <w:rPr>
                <w:sz w:val="20"/>
                <w:szCs w:val="20"/>
                <w:color w:val="auto"/>
              </w:rPr>
            </w:pPr>
            <w:r>
              <w:rPr>
                <w:rFonts w:ascii="Arial" w:cs="Arial" w:eastAsia="Arial" w:hAnsi="Arial"/>
                <w:sz w:val="18"/>
                <w:szCs w:val="18"/>
                <w:b w:val="1"/>
                <w:bCs w:val="1"/>
                <w:color w:val="auto"/>
              </w:rPr>
              <w:t>136.5</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101.7</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135.5</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143.4</w:t>
            </w:r>
          </w:p>
        </w:tc>
        <w:tc>
          <w:tcPr>
            <w:tcW w:w="320" w:type="dxa"/>
            <w:vAlign w:val="bottom"/>
          </w:tcPr>
          <w:p>
            <w:pPr>
              <w:spacing w:after="0"/>
              <w:rPr>
                <w:sz w:val="20"/>
                <w:szCs w:val="20"/>
                <w:color w:val="auto"/>
              </w:rPr>
            </w:pP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127.1</w:t>
            </w:r>
          </w:p>
        </w:tc>
        <w:tc>
          <w:tcPr>
            <w:tcW w:w="320" w:type="dxa"/>
            <w:vAlign w:val="bottom"/>
          </w:tcPr>
          <w:p>
            <w:pPr>
              <w:spacing w:after="0"/>
              <w:rPr>
                <w:sz w:val="20"/>
                <w:szCs w:val="20"/>
                <w:color w:val="auto"/>
              </w:rPr>
            </w:pP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140.5</w:t>
            </w:r>
          </w:p>
        </w:tc>
        <w:tc>
          <w:tcPr>
            <w:tcW w:w="3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122.9</w:t>
            </w:r>
          </w:p>
        </w:tc>
      </w:tr>
      <w:tr>
        <w:trPr>
          <w:trHeight w:val="216"/>
        </w:trPr>
        <w:tc>
          <w:tcPr>
            <w:tcW w:w="2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3.</w:t>
            </w:r>
          </w:p>
        </w:tc>
        <w:tc>
          <w:tcPr>
            <w:tcW w:w="36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Interest factor of rental expense</w:t>
            </w:r>
          </w:p>
        </w:tc>
        <w:tc>
          <w:tcPr>
            <w:tcW w:w="128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4.4</w:t>
            </w:r>
          </w:p>
        </w:tc>
        <w:tc>
          <w:tcPr>
            <w:tcW w:w="10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4.3</w:t>
            </w:r>
          </w:p>
        </w:tc>
        <w:tc>
          <w:tcPr>
            <w:tcW w:w="10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5.9</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5.7</w:t>
            </w:r>
          </w:p>
        </w:tc>
        <w:tc>
          <w:tcPr>
            <w:tcW w:w="32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6.1</w:t>
            </w:r>
          </w:p>
        </w:tc>
        <w:tc>
          <w:tcPr>
            <w:tcW w:w="32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6.1</w:t>
            </w: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w:t>
            </w:r>
          </w:p>
        </w:tc>
      </w:tr>
      <w:tr>
        <w:trPr>
          <w:trHeight w:val="218"/>
        </w:trPr>
        <w:tc>
          <w:tcPr>
            <w:tcW w:w="280" w:type="dxa"/>
            <w:vAlign w:val="bottom"/>
          </w:tcPr>
          <w:p>
            <w:pPr>
              <w:jc w:val="right"/>
              <w:ind w:right="50"/>
              <w:spacing w:after="0"/>
              <w:rPr>
                <w:sz w:val="20"/>
                <w:szCs w:val="20"/>
                <w:color w:val="auto"/>
              </w:rPr>
            </w:pPr>
            <w:r>
              <w:rPr>
                <w:rFonts w:ascii="Arial" w:cs="Arial" w:eastAsia="Arial" w:hAnsi="Arial"/>
                <w:sz w:val="18"/>
                <w:szCs w:val="18"/>
                <w:color w:val="auto"/>
                <w:w w:val="79"/>
              </w:rPr>
              <w:t>4.</w:t>
            </w:r>
          </w:p>
        </w:tc>
        <w:tc>
          <w:tcPr>
            <w:tcW w:w="3620" w:type="dxa"/>
            <w:vAlign w:val="bottom"/>
          </w:tcPr>
          <w:p>
            <w:pPr>
              <w:ind w:left="140"/>
              <w:spacing w:after="0"/>
              <w:rPr>
                <w:sz w:val="20"/>
                <w:szCs w:val="20"/>
                <w:color w:val="auto"/>
              </w:rPr>
            </w:pPr>
            <w:r>
              <w:rPr>
                <w:rFonts w:ascii="Arial" w:cs="Arial" w:eastAsia="Arial" w:hAnsi="Arial"/>
                <w:sz w:val="18"/>
                <w:szCs w:val="18"/>
                <w:color w:val="auto"/>
              </w:rPr>
              <w:t>Undistributed income from equity investees</w:t>
            </w: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(79.9)</w:t>
            </w:r>
          </w:p>
        </w:tc>
        <w:tc>
          <w:tcPr>
            <w:tcW w:w="1020" w:type="dxa"/>
            <w:vAlign w:val="bottom"/>
          </w:tcPr>
          <w:p>
            <w:pPr>
              <w:jc w:val="right"/>
              <w:spacing w:after="0"/>
              <w:rPr>
                <w:sz w:val="20"/>
                <w:szCs w:val="20"/>
                <w:color w:val="auto"/>
              </w:rPr>
            </w:pPr>
            <w:r>
              <w:rPr>
                <w:rFonts w:ascii="Arial" w:cs="Arial" w:eastAsia="Arial" w:hAnsi="Arial"/>
                <w:sz w:val="18"/>
                <w:szCs w:val="18"/>
                <w:color w:val="auto"/>
              </w:rPr>
              <w:t>(80.4)</w:t>
            </w:r>
          </w:p>
        </w:tc>
        <w:tc>
          <w:tcPr>
            <w:tcW w:w="1020" w:type="dxa"/>
            <w:vAlign w:val="bottom"/>
          </w:tcPr>
          <w:p>
            <w:pPr>
              <w:jc w:val="right"/>
              <w:spacing w:after="0"/>
              <w:rPr>
                <w:sz w:val="20"/>
                <w:szCs w:val="20"/>
                <w:color w:val="auto"/>
              </w:rPr>
            </w:pPr>
            <w:r>
              <w:rPr>
                <w:rFonts w:ascii="Arial" w:cs="Arial" w:eastAsia="Arial" w:hAnsi="Arial"/>
                <w:sz w:val="18"/>
                <w:szCs w:val="18"/>
                <w:color w:val="auto"/>
              </w:rPr>
              <w:t>(113.9)</w:t>
            </w:r>
          </w:p>
        </w:tc>
        <w:tc>
          <w:tcPr>
            <w:tcW w:w="1040" w:type="dxa"/>
            <w:vAlign w:val="bottom"/>
          </w:tcPr>
          <w:p>
            <w:pPr>
              <w:jc w:val="right"/>
              <w:spacing w:after="0"/>
              <w:rPr>
                <w:sz w:val="20"/>
                <w:szCs w:val="20"/>
                <w:color w:val="auto"/>
              </w:rPr>
            </w:pPr>
            <w:r>
              <w:rPr>
                <w:rFonts w:ascii="Arial" w:cs="Arial" w:eastAsia="Arial" w:hAnsi="Arial"/>
                <w:sz w:val="18"/>
                <w:szCs w:val="18"/>
                <w:color w:val="auto"/>
              </w:rPr>
              <w:t>(107.3)</w:t>
            </w:r>
          </w:p>
        </w:tc>
        <w:tc>
          <w:tcPr>
            <w:tcW w:w="3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(99.9)</w:t>
            </w:r>
          </w:p>
        </w:tc>
        <w:tc>
          <w:tcPr>
            <w:tcW w:w="3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(98.5)</w:t>
            </w: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(130.6)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246620" cy="27432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ind w:left="420" w:hanging="412"/>
        <w:spacing w:after="0"/>
        <w:tabs>
          <w:tab w:leader="none" w:pos="4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Earnings before interest credited on investment</w:t>
      </w:r>
    </w:p>
    <w:tbl>
      <w:tblPr>
        <w:tblLayout w:type="fixed"/>
        <w:tblInd w:w="0" w:type="dxa"/>
        <w:tblCellMar>
          <w:top w:w="0" w:type="dxa"/>
          <w:left w:w="0" w:type="dxa"/>
          <w:bottom w:w="0" w:type="dxa"/>
          <w:right w:w="0" w:type="dxa"/>
        </w:tblCellMar>
      </w:tblPr>
      <w:tr>
        <w:trPr>
          <w:trHeight w:val="205"/>
        </w:trPr>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720" w:type="dxa"/>
            <w:vAlign w:val="bottom"/>
          </w:tcPr>
          <w:p>
            <w:pPr>
              <w:ind w:left="280"/>
              <w:spacing w:after="0" w:line="205" w:lineRule="exact"/>
              <w:rPr>
                <w:sz w:val="20"/>
                <w:szCs w:val="20"/>
                <w:color w:val="auto"/>
              </w:rPr>
            </w:pPr>
            <w:r>
              <w:rPr>
                <w:rFonts w:ascii="Arial" w:cs="Arial" w:eastAsia="Arial" w:hAnsi="Arial"/>
                <w:sz w:val="18"/>
                <w:szCs w:val="18"/>
                <w:color w:val="auto"/>
              </w:rPr>
              <w:t>products</w:t>
            </w: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gridSpan w:val="2"/>
          </w:tcPr>
          <w:p>
            <w:pPr>
              <w:jc w:val="right"/>
              <w:ind w:right="100"/>
              <w:spacing w:after="0" w:line="205" w:lineRule="exact"/>
              <w:rPr>
                <w:sz w:val="20"/>
                <w:szCs w:val="20"/>
                <w:color w:val="auto"/>
              </w:rPr>
            </w:pPr>
            <w:r>
              <w:rPr>
                <w:rFonts w:ascii="Arial" w:cs="Arial" w:eastAsia="Arial" w:hAnsi="Arial"/>
                <w:sz w:val="18"/>
                <w:szCs w:val="18"/>
                <w:b w:val="1"/>
                <w:bCs w:val="1"/>
                <w:color w:val="auto"/>
              </w:rPr>
              <w:t>1,182.8</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gridSpan w:val="2"/>
          </w:tcPr>
          <w:p>
            <w:pPr>
              <w:jc w:val="right"/>
              <w:ind w:right="100"/>
              <w:spacing w:after="0" w:line="205" w:lineRule="exact"/>
              <w:rPr>
                <w:sz w:val="20"/>
                <w:szCs w:val="20"/>
                <w:color w:val="auto"/>
              </w:rPr>
            </w:pPr>
            <w:r>
              <w:rPr>
                <w:rFonts w:ascii="Arial" w:cs="Arial" w:eastAsia="Arial" w:hAnsi="Arial"/>
                <w:sz w:val="18"/>
                <w:szCs w:val="18"/>
                <w:color w:val="auto"/>
              </w:rPr>
              <w:t>1,203.3</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line="205" w:lineRule="exact"/>
              <w:rPr>
                <w:sz w:val="20"/>
                <w:szCs w:val="20"/>
                <w:color w:val="auto"/>
              </w:rPr>
            </w:pPr>
            <w:r>
              <w:rPr>
                <w:rFonts w:ascii="Arial" w:cs="Arial" w:eastAsia="Arial" w:hAnsi="Arial"/>
                <w:sz w:val="18"/>
                <w:szCs w:val="18"/>
                <w:color w:val="auto"/>
              </w:rPr>
              <w:t>1,522.4</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line="205" w:lineRule="exact"/>
              <w:rPr>
                <w:sz w:val="20"/>
                <w:szCs w:val="20"/>
                <w:color w:val="auto"/>
              </w:rPr>
            </w:pPr>
            <w:r>
              <w:rPr>
                <w:rFonts w:ascii="Arial" w:cs="Arial" w:eastAsia="Arial" w:hAnsi="Arial"/>
                <w:sz w:val="18"/>
                <w:szCs w:val="18"/>
                <w:color w:val="auto"/>
              </w:rPr>
              <w:t>1,165.8</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40" w:type="dxa"/>
            <w:vAlign w:val="bottom"/>
            <w:gridSpan w:val="2"/>
          </w:tcPr>
          <w:p>
            <w:pPr>
              <w:jc w:val="right"/>
              <w:ind w:right="200"/>
              <w:spacing w:after="0" w:line="205" w:lineRule="exact"/>
              <w:rPr>
                <w:sz w:val="20"/>
                <w:szCs w:val="20"/>
                <w:color w:val="auto"/>
              </w:rPr>
            </w:pPr>
            <w:r>
              <w:rPr>
                <w:rFonts w:ascii="Arial" w:cs="Arial" w:eastAsia="Arial" w:hAnsi="Arial"/>
                <w:sz w:val="18"/>
                <w:szCs w:val="18"/>
                <w:color w:val="auto"/>
              </w:rPr>
              <w:t>993.3</w:t>
            </w:r>
          </w:p>
        </w:tc>
        <w:tc>
          <w:tcPr>
            <w:tcW w:w="200" w:type="dxa"/>
            <w:vAlign w:val="bottom"/>
          </w:tcPr>
          <w:p>
            <w:pPr>
              <w:spacing w:after="0"/>
              <w:rPr>
                <w:sz w:val="17"/>
                <w:szCs w:val="17"/>
                <w:color w:val="auto"/>
              </w:rPr>
            </w:pPr>
          </w:p>
        </w:tc>
        <w:tc>
          <w:tcPr>
            <w:tcW w:w="740" w:type="dxa"/>
            <w:vAlign w:val="bottom"/>
            <w:gridSpan w:val="2"/>
          </w:tcPr>
          <w:p>
            <w:pPr>
              <w:jc w:val="right"/>
              <w:ind w:right="100"/>
              <w:spacing w:after="0" w:line="205" w:lineRule="exact"/>
              <w:rPr>
                <w:sz w:val="20"/>
                <w:szCs w:val="20"/>
                <w:color w:val="auto"/>
              </w:rPr>
            </w:pPr>
            <w:r>
              <w:rPr>
                <w:rFonts w:ascii="Arial" w:cs="Arial" w:eastAsia="Arial" w:hAnsi="Arial"/>
                <w:sz w:val="18"/>
                <w:szCs w:val="18"/>
                <w:color w:val="auto"/>
              </w:rPr>
              <w:t>920.9</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80" w:type="dxa"/>
            <w:vAlign w:val="bottom"/>
            <w:gridSpan w:val="2"/>
          </w:tcPr>
          <w:p>
            <w:pPr>
              <w:jc w:val="right"/>
              <w:ind w:right="80"/>
              <w:spacing w:after="0" w:line="205" w:lineRule="exact"/>
              <w:rPr>
                <w:sz w:val="20"/>
                <w:szCs w:val="20"/>
                <w:color w:val="auto"/>
              </w:rPr>
            </w:pPr>
            <w:r>
              <w:rPr>
                <w:rFonts w:ascii="Arial" w:cs="Arial" w:eastAsia="Arial" w:hAnsi="Arial"/>
                <w:sz w:val="18"/>
                <w:szCs w:val="18"/>
                <w:color w:val="auto"/>
              </w:rPr>
              <w:t>770.1</w:t>
            </w:r>
          </w:p>
        </w:tc>
        <w:tc>
          <w:tcPr>
            <w:tcW w:w="0" w:type="dxa"/>
            <w:vAlign w:val="bottom"/>
          </w:tcPr>
          <w:p>
            <w:pPr>
              <w:spacing w:after="0"/>
              <w:rPr>
                <w:sz w:val="1"/>
                <w:szCs w:val="1"/>
                <w:color w:val="auto"/>
              </w:rPr>
            </w:pPr>
          </w:p>
        </w:tc>
      </w:tr>
      <w:tr>
        <w:trPr>
          <w:trHeight w:val="234"/>
        </w:trPr>
        <w:tc>
          <w:tcPr>
            <w:tcW w:w="320" w:type="dxa"/>
            <w:vAlign w:val="bottom"/>
            <w:gridSpan w:val="2"/>
          </w:tcPr>
          <w:p>
            <w:pPr>
              <w:spacing w:after="0"/>
              <w:rPr>
                <w:sz w:val="20"/>
                <w:szCs w:val="20"/>
                <w:color w:val="auto"/>
              </w:rPr>
            </w:pPr>
            <w:r>
              <w:rPr>
                <w:rFonts w:ascii="Arial" w:cs="Arial" w:eastAsia="Arial" w:hAnsi="Arial"/>
                <w:sz w:val="18"/>
                <w:szCs w:val="18"/>
                <w:color w:val="auto"/>
              </w:rPr>
              <w:t>6.</w:t>
            </w:r>
          </w:p>
        </w:tc>
        <w:tc>
          <w:tcPr>
            <w:tcW w:w="3720" w:type="dxa"/>
            <w:vAlign w:val="bottom"/>
          </w:tcPr>
          <w:p>
            <w:pPr>
              <w:ind w:left="100"/>
              <w:spacing w:after="0"/>
              <w:rPr>
                <w:sz w:val="20"/>
                <w:szCs w:val="20"/>
                <w:color w:val="auto"/>
              </w:rPr>
            </w:pPr>
            <w:r>
              <w:rPr>
                <w:rFonts w:ascii="Arial" w:cs="Arial" w:eastAsia="Arial" w:hAnsi="Arial"/>
                <w:sz w:val="18"/>
                <w:szCs w:val="18"/>
                <w:color w:val="auto"/>
              </w:rPr>
              <w:t>Interest credited on investment products</w:t>
            </w: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115.3</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143.0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189.6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256.6</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366.3</w:t>
            </w:r>
          </w:p>
        </w:tc>
        <w:tc>
          <w:tcPr>
            <w:tcW w:w="20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442.4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579.2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7.</w:t>
            </w:r>
          </w:p>
        </w:tc>
        <w:tc>
          <w:tcPr>
            <w:tcW w:w="372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Earnings</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1,298.1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1,346.3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1,712.0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1,422.4</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1,359.6</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1,363.3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1,349.</w:t>
            </w:r>
            <w:r>
              <w:rPr>
                <w:rFonts w:ascii="Arial" w:cs="Arial" w:eastAsia="Arial" w:hAnsi="Arial"/>
                <w:sz w:val="18"/>
                <w:szCs w:val="18"/>
                <w:u w:val="single" w:color="auto"/>
                <w:color w:val="auto"/>
              </w:rPr>
              <w:t>3</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300" w:type="dxa"/>
            <w:vAlign w:val="bottom"/>
          </w:tcPr>
          <w:p>
            <w:pPr>
              <w:spacing w:after="0"/>
              <w:rPr>
                <w:sz w:val="17"/>
                <w:szCs w:val="17"/>
                <w:color w:val="auto"/>
              </w:rPr>
            </w:pPr>
          </w:p>
        </w:tc>
        <w:tc>
          <w:tcPr>
            <w:tcW w:w="3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8.</w:t>
            </w:r>
          </w:p>
        </w:tc>
        <w:tc>
          <w:tcPr>
            <w:tcW w:w="37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expense</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136.5</w:t>
            </w:r>
          </w:p>
        </w:tc>
        <w:tc>
          <w:tcPr>
            <w:tcW w:w="3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101.7</w:t>
            </w:r>
          </w:p>
        </w:tc>
        <w:tc>
          <w:tcPr>
            <w:tcW w:w="28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135.5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143.4</w:t>
            </w:r>
          </w:p>
        </w:tc>
        <w:tc>
          <w:tcPr>
            <w:tcW w:w="3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127.1</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140.5</w:t>
            </w:r>
          </w:p>
        </w:tc>
        <w:tc>
          <w:tcPr>
            <w:tcW w:w="34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tcPr>
          <w:p>
            <w:pPr>
              <w:spacing w:after="0"/>
              <w:rPr>
                <w:sz w:val="20"/>
                <w:szCs w:val="20"/>
                <w:color w:val="auto"/>
              </w:rPr>
            </w:pPr>
            <w:r>
              <w:rPr>
                <w:rFonts w:ascii="Arial" w:cs="Arial" w:eastAsia="Arial" w:hAnsi="Arial"/>
                <w:sz w:val="18"/>
                <w:szCs w:val="18"/>
                <w:color w:val="auto"/>
              </w:rPr>
              <w:t>9.</w:t>
            </w:r>
          </w:p>
        </w:tc>
        <w:tc>
          <w:tcPr>
            <w:tcW w:w="3720" w:type="dxa"/>
            <w:vAlign w:val="bottom"/>
          </w:tcPr>
          <w:p>
            <w:pPr>
              <w:ind w:left="100"/>
              <w:spacing w:after="0"/>
              <w:rPr>
                <w:sz w:val="20"/>
                <w:szCs w:val="20"/>
                <w:color w:val="auto"/>
              </w:rPr>
            </w:pPr>
            <w:r>
              <w:rPr>
                <w:rFonts w:ascii="Arial" w:cs="Arial" w:eastAsia="Arial" w:hAnsi="Arial"/>
                <w:sz w:val="18"/>
                <w:szCs w:val="18"/>
                <w:color w:val="auto"/>
              </w:rPr>
              <w:t>Interest factor of rental expense</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5.9</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5.7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6.1</w:t>
            </w:r>
          </w:p>
        </w:tc>
        <w:tc>
          <w:tcPr>
            <w:tcW w:w="20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10.</w:t>
            </w:r>
          </w:p>
        </w:tc>
        <w:tc>
          <w:tcPr>
            <w:tcW w:w="37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Preferred stock dividends by registrant</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16.5</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24.7</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33.0</w:t>
            </w:r>
          </w:p>
        </w:tc>
        <w:tc>
          <w:tcPr>
            <w:tcW w:w="2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33.0</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33.0</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00" w:type="dxa"/>
            <w:vAlign w:val="bottom"/>
          </w:tcPr>
          <w:p>
            <w:pPr>
              <w:spacing w:after="0" w:line="201" w:lineRule="exact"/>
              <w:rPr>
                <w:sz w:val="20"/>
                <w:szCs w:val="20"/>
                <w:color w:val="auto"/>
              </w:rPr>
            </w:pPr>
            <w:r>
              <w:rPr>
                <w:rFonts w:ascii="Arial" w:cs="Arial" w:eastAsia="Arial" w:hAnsi="Arial"/>
                <w:sz w:val="18"/>
                <w:szCs w:val="18"/>
                <w:color w:val="auto"/>
              </w:rPr>
              <w:t>11</w:t>
            </w:r>
          </w:p>
        </w:tc>
        <w:tc>
          <w:tcPr>
            <w:tcW w:w="3720" w:type="dxa"/>
            <w:vAlign w:val="bottom"/>
          </w:tcPr>
          <w:p>
            <w:pPr>
              <w:ind w:left="100"/>
              <w:spacing w:after="0" w:line="201" w:lineRule="exact"/>
              <w:rPr>
                <w:sz w:val="20"/>
                <w:szCs w:val="20"/>
                <w:color w:val="auto"/>
              </w:rPr>
            </w:pPr>
            <w:r>
              <w:rPr>
                <w:rFonts w:ascii="Arial" w:cs="Arial" w:eastAsia="Arial" w:hAnsi="Arial"/>
                <w:sz w:val="18"/>
                <w:szCs w:val="18"/>
                <w:color w:val="auto"/>
                <w:w w:val="95"/>
              </w:rPr>
              <w:t>Excess of redemption value over carrying value</w:t>
            </w: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8.2</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40" w:type="dxa"/>
            <w:vAlign w:val="bottom"/>
            <w:gridSpan w:val="2"/>
            <w:vMerge w:val="restart"/>
          </w:tcPr>
          <w:p>
            <w:pPr>
              <w:jc w:val="right"/>
              <w:ind w:right="20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74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8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720" w:type="dxa"/>
            <w:vAlign w:val="bottom"/>
          </w:tcPr>
          <w:p>
            <w:pPr>
              <w:ind w:left="280"/>
              <w:spacing w:after="0"/>
              <w:rPr>
                <w:sz w:val="20"/>
                <w:szCs w:val="20"/>
                <w:color w:val="auto"/>
              </w:rPr>
            </w:pPr>
            <w:r>
              <w:rPr>
                <w:rFonts w:ascii="Arial" w:cs="Arial" w:eastAsia="Arial" w:hAnsi="Arial"/>
                <w:sz w:val="18"/>
                <w:szCs w:val="18"/>
                <w:color w:val="auto"/>
              </w:rPr>
              <w:t>of preferred shares redeemed</w:t>
            </w: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00" w:type="dxa"/>
            <w:vAlign w:val="bottom"/>
            <w:vMerge w:val="restart"/>
            <w:shd w:val="clear" w:color="auto" w:fill="CCEEFF"/>
          </w:tcPr>
          <w:p>
            <w:pPr>
              <w:spacing w:after="0" w:line="201" w:lineRule="exact"/>
              <w:rPr>
                <w:sz w:val="20"/>
                <w:szCs w:val="20"/>
                <w:color w:val="auto"/>
              </w:rPr>
            </w:pPr>
            <w:r>
              <w:rPr>
                <w:rFonts w:ascii="Arial" w:cs="Arial" w:eastAsia="Arial" w:hAnsi="Arial"/>
                <w:sz w:val="18"/>
                <w:szCs w:val="18"/>
                <w:color w:val="auto"/>
              </w:rPr>
              <w:t>12.</w:t>
            </w:r>
          </w:p>
        </w:tc>
        <w:tc>
          <w:tcPr>
            <w:tcW w:w="3720" w:type="dxa"/>
            <w:vAlign w:val="bottom"/>
            <w:vMerge w:val="restart"/>
            <w:shd w:val="clear" w:color="auto" w:fill="CCEEFF"/>
          </w:tcPr>
          <w:p>
            <w:pPr>
              <w:ind w:left="100"/>
              <w:spacing w:after="0" w:line="201" w:lineRule="exact"/>
              <w:rPr>
                <w:sz w:val="20"/>
                <w:szCs w:val="20"/>
                <w:color w:val="auto"/>
              </w:rPr>
            </w:pPr>
            <w:r>
              <w:rPr>
                <w:rFonts w:ascii="Arial" w:cs="Arial" w:eastAsia="Arial" w:hAnsi="Arial"/>
                <w:sz w:val="18"/>
                <w:szCs w:val="18"/>
                <w:color w:val="auto"/>
              </w:rPr>
              <w:t>Fixed charges before interest credited on</w:t>
            </w:r>
          </w:p>
        </w:tc>
        <w:tc>
          <w:tcPr>
            <w:tcW w:w="1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20" w:type="dxa"/>
            <w:vAlign w:val="bottom"/>
          </w:tcPr>
          <w:p>
            <w:pPr>
              <w:spacing w:after="0"/>
              <w:rPr>
                <w:sz w:val="15"/>
                <w:szCs w:val="15"/>
                <w:color w:val="auto"/>
              </w:rPr>
            </w:pPr>
          </w:p>
        </w:tc>
        <w:tc>
          <w:tcPr>
            <w:tcW w:w="300" w:type="dxa"/>
            <w:vAlign w:val="bottom"/>
            <w:vMerge w:val="continue"/>
            <w:shd w:val="clear" w:color="auto" w:fill="CCEEFF"/>
          </w:tcPr>
          <w:p>
            <w:pPr>
              <w:spacing w:after="0"/>
              <w:rPr>
                <w:sz w:val="15"/>
                <w:szCs w:val="15"/>
                <w:color w:val="auto"/>
              </w:rPr>
            </w:pPr>
          </w:p>
        </w:tc>
        <w:tc>
          <w:tcPr>
            <w:tcW w:w="3720" w:type="dxa"/>
            <w:vAlign w:val="bottom"/>
            <w:vMerge w:val="continue"/>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4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165.6</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37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investment products</w:t>
            </w:r>
          </w:p>
        </w:tc>
        <w:tc>
          <w:tcPr>
            <w:tcW w:w="1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gridSpan w:val="2"/>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130.7</w:t>
            </w: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174.4</w:t>
            </w: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182.1</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166.2</w:t>
            </w:r>
          </w:p>
        </w:tc>
        <w:tc>
          <w:tcPr>
            <w:tcW w:w="200" w:type="dxa"/>
            <w:vAlign w:val="bottom"/>
            <w:shd w:val="clear" w:color="auto" w:fill="CCEEFF"/>
          </w:tcPr>
          <w:p>
            <w:pPr>
              <w:spacing w:after="0"/>
              <w:rPr>
                <w:sz w:val="20"/>
                <w:szCs w:val="20"/>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179.6</w:t>
            </w: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162.3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tcPr>
          <w:p>
            <w:pPr>
              <w:spacing w:after="0"/>
              <w:rPr>
                <w:sz w:val="20"/>
                <w:szCs w:val="20"/>
                <w:color w:val="auto"/>
              </w:rPr>
            </w:pPr>
            <w:r>
              <w:rPr>
                <w:rFonts w:ascii="Arial" w:cs="Arial" w:eastAsia="Arial" w:hAnsi="Arial"/>
                <w:sz w:val="18"/>
                <w:szCs w:val="18"/>
                <w:color w:val="auto"/>
              </w:rPr>
              <w:t>13.</w:t>
            </w:r>
          </w:p>
        </w:tc>
        <w:tc>
          <w:tcPr>
            <w:tcW w:w="3720" w:type="dxa"/>
            <w:vAlign w:val="bottom"/>
          </w:tcPr>
          <w:p>
            <w:pPr>
              <w:ind w:left="100"/>
              <w:spacing w:after="0"/>
              <w:rPr>
                <w:sz w:val="20"/>
                <w:szCs w:val="20"/>
                <w:color w:val="auto"/>
              </w:rPr>
            </w:pPr>
            <w:r>
              <w:rPr>
                <w:rFonts w:ascii="Arial" w:cs="Arial" w:eastAsia="Arial" w:hAnsi="Arial"/>
                <w:sz w:val="18"/>
                <w:szCs w:val="18"/>
                <w:color w:val="auto"/>
              </w:rPr>
              <w:t>Interest credited on investment products</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115.3</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143.0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189.6</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256.6</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366.3</w:t>
            </w:r>
          </w:p>
        </w:tc>
        <w:tc>
          <w:tcPr>
            <w:tcW w:w="20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442.4</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579.2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14.</w:t>
            </w:r>
          </w:p>
        </w:tc>
        <w:tc>
          <w:tcPr>
            <w:tcW w:w="372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Fixed charges</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280.</w:t>
            </w:r>
            <w:r>
              <w:rPr>
                <w:rFonts w:ascii="Arial" w:cs="Arial" w:eastAsia="Arial" w:hAnsi="Arial"/>
                <w:sz w:val="18"/>
                <w:szCs w:val="18"/>
                <w:b w:val="1"/>
                <w:bCs w:val="1"/>
                <w:u w:val="single" w:color="auto"/>
                <w:color w:val="auto"/>
              </w:rPr>
              <w:t>9</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273.7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364.0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438.7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532.5</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622.0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741.5</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0" w:right="7540" w:hanging="592"/>
        <w:spacing w:after="0" w:line="291" w:lineRule="auto"/>
        <w:tabs>
          <w:tab w:leader="none" w:pos="420" w:val="left"/>
        </w:tabs>
        <w:numPr>
          <w:ilvl w:val="0"/>
          <w:numId w:val="53"/>
        </w:numPr>
        <w:rPr>
          <w:rFonts w:ascii="Arial" w:cs="Arial" w:eastAsia="Arial" w:hAnsi="Arial"/>
          <w:sz w:val="16"/>
          <w:szCs w:val="16"/>
          <w:color w:val="auto"/>
        </w:rPr>
      </w:pPr>
      <w:r>
        <w:rPr>
          <w:rFonts w:ascii="Arial" w:cs="Arial" w:eastAsia="Arial" w:hAnsi="Arial"/>
          <w:sz w:val="16"/>
          <w:szCs w:val="16"/>
          <w:color w:val="auto"/>
        </w:rPr>
        <w:t>Ratio of earnings to fixed charges before interest credited on investment products (Line item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-273685</wp:posOffset>
            </wp:positionV>
            <wp:extent cx="7246620" cy="41148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246620" cy="411480"/>
                    </a:xfrm>
                    <a:prstGeom prst="rect">
                      <a:avLst/>
                    </a:prstGeom>
                    <a:noFill/>
                  </pic:spPr>
                </pic:pic>
              </a:graphicData>
            </a:graphic>
          </wp:anchor>
        </w:drawing>
      </w:r>
    </w:p>
    <w:tbl>
      <w:tblPr>
        <w:tblLayout w:type="fixed"/>
        <w:tblInd w:w="600" w:type="dxa"/>
        <w:tblCellMar>
          <w:top w:w="0" w:type="dxa"/>
          <w:left w:w="0" w:type="dxa"/>
          <w:bottom w:w="0" w:type="dxa"/>
          <w:right w:w="0" w:type="dxa"/>
        </w:tblCellMar>
      </w:tblPr>
      <w:tr>
        <w:trPr>
          <w:trHeight w:val="234"/>
        </w:trPr>
        <w:tc>
          <w:tcPr>
            <w:tcW w:w="2660" w:type="dxa"/>
            <w:vAlign w:val="bottom"/>
          </w:tcPr>
          <w:p>
            <w:pPr>
              <w:spacing w:after="0"/>
              <w:rPr>
                <w:sz w:val="20"/>
                <w:szCs w:val="20"/>
                <w:color w:val="auto"/>
              </w:rPr>
            </w:pPr>
            <w:r>
              <w:rPr>
                <w:rFonts w:ascii="Arial" w:cs="Arial" w:eastAsia="Arial" w:hAnsi="Arial"/>
                <w:sz w:val="18"/>
                <w:szCs w:val="18"/>
                <w:color w:val="auto"/>
              </w:rPr>
              <w:t>5/Line item 12)</w:t>
            </w:r>
          </w:p>
        </w:tc>
        <w:tc>
          <w:tcPr>
            <w:tcW w:w="2180" w:type="dxa"/>
            <w:vAlign w:val="bottom"/>
          </w:tcPr>
          <w:p>
            <w:pPr>
              <w:jc w:val="right"/>
              <w:ind w:right="310"/>
              <w:spacing w:after="0"/>
              <w:rPr>
                <w:sz w:val="20"/>
                <w:szCs w:val="20"/>
                <w:color w:val="auto"/>
              </w:rPr>
            </w:pPr>
            <w:r>
              <w:rPr>
                <w:rFonts w:ascii="Arial" w:cs="Arial" w:eastAsia="Arial" w:hAnsi="Arial"/>
                <w:sz w:val="18"/>
                <w:szCs w:val="18"/>
                <w:b w:val="1"/>
                <w:bCs w:val="1"/>
                <w:color w:val="auto"/>
              </w:rPr>
              <w:t>7.1</w:t>
            </w:r>
          </w:p>
        </w:tc>
        <w:tc>
          <w:tcPr>
            <w:tcW w:w="1040" w:type="dxa"/>
            <w:vAlign w:val="bottom"/>
          </w:tcPr>
          <w:p>
            <w:pPr>
              <w:jc w:val="right"/>
              <w:ind w:right="310"/>
              <w:spacing w:after="0"/>
              <w:rPr>
                <w:sz w:val="20"/>
                <w:szCs w:val="20"/>
                <w:color w:val="auto"/>
              </w:rPr>
            </w:pPr>
            <w:r>
              <w:rPr>
                <w:rFonts w:ascii="Arial" w:cs="Arial" w:eastAsia="Arial" w:hAnsi="Arial"/>
                <w:sz w:val="18"/>
                <w:szCs w:val="18"/>
                <w:color w:val="auto"/>
              </w:rPr>
              <w:t>9.2</w:t>
            </w:r>
          </w:p>
        </w:tc>
        <w:tc>
          <w:tcPr>
            <w:tcW w:w="1020" w:type="dxa"/>
            <w:vAlign w:val="bottom"/>
          </w:tcPr>
          <w:p>
            <w:pPr>
              <w:jc w:val="right"/>
              <w:ind w:right="310"/>
              <w:spacing w:after="0"/>
              <w:rPr>
                <w:sz w:val="20"/>
                <w:szCs w:val="20"/>
                <w:color w:val="auto"/>
              </w:rPr>
            </w:pPr>
            <w:r>
              <w:rPr>
                <w:rFonts w:ascii="Arial" w:cs="Arial" w:eastAsia="Arial" w:hAnsi="Arial"/>
                <w:sz w:val="18"/>
                <w:szCs w:val="18"/>
                <w:color w:val="auto"/>
              </w:rPr>
              <w:t>8.7</w:t>
            </w:r>
          </w:p>
        </w:tc>
        <w:tc>
          <w:tcPr>
            <w:tcW w:w="1040" w:type="dxa"/>
            <w:vAlign w:val="bottom"/>
          </w:tcPr>
          <w:p>
            <w:pPr>
              <w:jc w:val="right"/>
              <w:ind w:right="330"/>
              <w:spacing w:after="0"/>
              <w:rPr>
                <w:sz w:val="20"/>
                <w:szCs w:val="20"/>
                <w:color w:val="auto"/>
              </w:rPr>
            </w:pPr>
            <w:r>
              <w:rPr>
                <w:rFonts w:ascii="Arial" w:cs="Arial" w:eastAsia="Arial" w:hAnsi="Arial"/>
                <w:sz w:val="18"/>
                <w:szCs w:val="18"/>
                <w:color w:val="auto"/>
              </w:rPr>
              <w:t>6.4</w:t>
            </w:r>
          </w:p>
        </w:tc>
        <w:tc>
          <w:tcPr>
            <w:tcW w:w="1040" w:type="dxa"/>
            <w:vAlign w:val="bottom"/>
          </w:tcPr>
          <w:p>
            <w:pPr>
              <w:jc w:val="right"/>
              <w:ind w:right="330"/>
              <w:spacing w:after="0"/>
              <w:rPr>
                <w:sz w:val="20"/>
                <w:szCs w:val="20"/>
                <w:color w:val="auto"/>
              </w:rPr>
            </w:pPr>
            <w:r>
              <w:rPr>
                <w:rFonts w:ascii="Arial" w:cs="Arial" w:eastAsia="Arial" w:hAnsi="Arial"/>
                <w:sz w:val="18"/>
                <w:szCs w:val="18"/>
                <w:color w:val="auto"/>
              </w:rPr>
              <w:t>6.0</w:t>
            </w:r>
          </w:p>
        </w:tc>
        <w:tc>
          <w:tcPr>
            <w:tcW w:w="1080" w:type="dxa"/>
            <w:vAlign w:val="bottom"/>
          </w:tcPr>
          <w:p>
            <w:pPr>
              <w:jc w:val="right"/>
              <w:ind w:right="370"/>
              <w:spacing w:after="0"/>
              <w:rPr>
                <w:sz w:val="20"/>
                <w:szCs w:val="20"/>
                <w:color w:val="auto"/>
              </w:rPr>
            </w:pPr>
            <w:r>
              <w:rPr>
                <w:rFonts w:ascii="Arial" w:cs="Arial" w:eastAsia="Arial" w:hAnsi="Arial"/>
                <w:sz w:val="18"/>
                <w:szCs w:val="18"/>
                <w:color w:val="auto"/>
              </w:rPr>
              <w:t>5.1</w:t>
            </w:r>
          </w:p>
        </w:tc>
        <w:tc>
          <w:tcPr>
            <w:tcW w:w="680" w:type="dxa"/>
            <w:vAlign w:val="bottom"/>
          </w:tcPr>
          <w:p>
            <w:pPr>
              <w:jc w:val="right"/>
              <w:spacing w:after="0"/>
              <w:rPr>
                <w:sz w:val="20"/>
                <w:szCs w:val="20"/>
                <w:color w:val="auto"/>
              </w:rPr>
            </w:pPr>
            <w:r>
              <w:rPr>
                <w:rFonts w:ascii="Arial" w:cs="Arial" w:eastAsia="Arial" w:hAnsi="Arial"/>
                <w:sz w:val="18"/>
                <w:szCs w:val="18"/>
                <w:color w:val="auto"/>
              </w:rPr>
              <w:t>4.7</w:t>
            </w:r>
          </w:p>
        </w:tc>
      </w:tr>
    </w:tbl>
    <w:p>
      <w:pPr>
        <w:spacing w:after="0" w:line="183" w:lineRule="exact"/>
        <w:rPr>
          <w:sz w:val="20"/>
          <w:szCs w:val="20"/>
          <w:color w:val="auto"/>
        </w:rPr>
      </w:pPr>
    </w:p>
    <w:p>
      <w:pPr>
        <w:ind w:left="420" w:hanging="412"/>
        <w:spacing w:after="0"/>
        <w:tabs>
          <w:tab w:leader="none" w:pos="420" w:val="left"/>
        </w:tabs>
        <w:numPr>
          <w:ilvl w:val="0"/>
          <w:numId w:val="54"/>
        </w:numPr>
        <w:rPr>
          <w:rFonts w:ascii="Arial" w:cs="Arial" w:eastAsia="Arial" w:hAnsi="Arial"/>
          <w:sz w:val="18"/>
          <w:szCs w:val="18"/>
          <w:color w:val="auto"/>
        </w:rPr>
      </w:pPr>
      <w:r>
        <w:rPr>
          <w:rFonts w:ascii="Arial" w:cs="Arial" w:eastAsia="Arial" w:hAnsi="Arial"/>
          <w:sz w:val="18"/>
          <w:szCs w:val="18"/>
          <w:color w:val="auto"/>
        </w:rPr>
        <w:t>Ratio of earnings to fixed charges (Line item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27432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spacing w:after="0" w:line="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260" w:type="dxa"/>
            <w:vAlign w:val="bottom"/>
          </w:tcPr>
          <w:p>
            <w:pPr>
              <w:ind w:left="600"/>
              <w:spacing w:after="0"/>
              <w:rPr>
                <w:sz w:val="20"/>
                <w:szCs w:val="20"/>
                <w:color w:val="auto"/>
              </w:rPr>
            </w:pPr>
            <w:r>
              <w:rPr>
                <w:rFonts w:ascii="Arial" w:cs="Arial" w:eastAsia="Arial" w:hAnsi="Arial"/>
                <w:sz w:val="18"/>
                <w:szCs w:val="18"/>
                <w:color w:val="auto"/>
              </w:rPr>
              <w:t>7/Line item 14)</w:t>
            </w:r>
          </w:p>
        </w:tc>
        <w:tc>
          <w:tcPr>
            <w:tcW w:w="2180" w:type="dxa"/>
            <w:vAlign w:val="bottom"/>
          </w:tcPr>
          <w:p>
            <w:pPr>
              <w:jc w:val="right"/>
              <w:ind w:right="310"/>
              <w:spacing w:after="0"/>
              <w:rPr>
                <w:sz w:val="20"/>
                <w:szCs w:val="20"/>
                <w:color w:val="auto"/>
              </w:rPr>
            </w:pPr>
            <w:r>
              <w:rPr>
                <w:rFonts w:ascii="Arial" w:cs="Arial" w:eastAsia="Arial" w:hAnsi="Arial"/>
                <w:sz w:val="18"/>
                <w:szCs w:val="18"/>
                <w:b w:val="1"/>
                <w:bCs w:val="1"/>
                <w:color w:val="auto"/>
              </w:rPr>
              <w:t>4.6</w:t>
            </w:r>
          </w:p>
        </w:tc>
        <w:tc>
          <w:tcPr>
            <w:tcW w:w="1040" w:type="dxa"/>
            <w:vAlign w:val="bottom"/>
          </w:tcPr>
          <w:p>
            <w:pPr>
              <w:jc w:val="right"/>
              <w:ind w:right="310"/>
              <w:spacing w:after="0"/>
              <w:rPr>
                <w:sz w:val="20"/>
                <w:szCs w:val="20"/>
                <w:color w:val="auto"/>
              </w:rPr>
            </w:pPr>
            <w:r>
              <w:rPr>
                <w:rFonts w:ascii="Arial" w:cs="Arial" w:eastAsia="Arial" w:hAnsi="Arial"/>
                <w:sz w:val="18"/>
                <w:szCs w:val="18"/>
                <w:color w:val="auto"/>
              </w:rPr>
              <w:t>4.9</w:t>
            </w:r>
          </w:p>
        </w:tc>
        <w:tc>
          <w:tcPr>
            <w:tcW w:w="1020" w:type="dxa"/>
            <w:vAlign w:val="bottom"/>
          </w:tcPr>
          <w:p>
            <w:pPr>
              <w:jc w:val="right"/>
              <w:ind w:right="310"/>
              <w:spacing w:after="0"/>
              <w:rPr>
                <w:sz w:val="20"/>
                <w:szCs w:val="20"/>
                <w:color w:val="auto"/>
              </w:rPr>
            </w:pPr>
            <w:r>
              <w:rPr>
                <w:rFonts w:ascii="Arial" w:cs="Arial" w:eastAsia="Arial" w:hAnsi="Arial"/>
                <w:sz w:val="18"/>
                <w:szCs w:val="18"/>
                <w:color w:val="auto"/>
              </w:rPr>
              <w:t>4.7</w:t>
            </w:r>
          </w:p>
        </w:tc>
        <w:tc>
          <w:tcPr>
            <w:tcW w:w="1040" w:type="dxa"/>
            <w:vAlign w:val="bottom"/>
          </w:tcPr>
          <w:p>
            <w:pPr>
              <w:jc w:val="right"/>
              <w:ind w:right="330"/>
              <w:spacing w:after="0"/>
              <w:rPr>
                <w:sz w:val="20"/>
                <w:szCs w:val="20"/>
                <w:color w:val="auto"/>
              </w:rPr>
            </w:pPr>
            <w:r>
              <w:rPr>
                <w:rFonts w:ascii="Arial" w:cs="Arial" w:eastAsia="Arial" w:hAnsi="Arial"/>
                <w:sz w:val="18"/>
                <w:szCs w:val="18"/>
                <w:color w:val="auto"/>
              </w:rPr>
              <w:t>3.2</w:t>
            </w:r>
          </w:p>
        </w:tc>
        <w:tc>
          <w:tcPr>
            <w:tcW w:w="1040" w:type="dxa"/>
            <w:vAlign w:val="bottom"/>
          </w:tcPr>
          <w:p>
            <w:pPr>
              <w:jc w:val="right"/>
              <w:ind w:right="330"/>
              <w:spacing w:after="0"/>
              <w:rPr>
                <w:sz w:val="20"/>
                <w:szCs w:val="20"/>
                <w:color w:val="auto"/>
              </w:rPr>
            </w:pPr>
            <w:r>
              <w:rPr>
                <w:rFonts w:ascii="Arial" w:cs="Arial" w:eastAsia="Arial" w:hAnsi="Arial"/>
                <w:sz w:val="18"/>
                <w:szCs w:val="18"/>
                <w:color w:val="auto"/>
              </w:rPr>
              <w:t>2.6</w:t>
            </w:r>
          </w:p>
        </w:tc>
        <w:tc>
          <w:tcPr>
            <w:tcW w:w="1080" w:type="dxa"/>
            <w:vAlign w:val="bottom"/>
          </w:tcPr>
          <w:p>
            <w:pPr>
              <w:jc w:val="right"/>
              <w:ind w:right="370"/>
              <w:spacing w:after="0"/>
              <w:rPr>
                <w:sz w:val="20"/>
                <w:szCs w:val="20"/>
                <w:color w:val="auto"/>
              </w:rPr>
            </w:pPr>
            <w:r>
              <w:rPr>
                <w:rFonts w:ascii="Arial" w:cs="Arial" w:eastAsia="Arial" w:hAnsi="Arial"/>
                <w:sz w:val="18"/>
                <w:szCs w:val="18"/>
                <w:color w:val="auto"/>
              </w:rPr>
              <w:t>2.2</w:t>
            </w: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1.8</w:t>
            </w:r>
          </w:p>
        </w:tc>
      </w:tr>
      <w:tr>
        <w:trPr>
          <w:trHeight w:val="330"/>
        </w:trPr>
        <w:tc>
          <w:tcPr>
            <w:tcW w:w="3260" w:type="dxa"/>
            <w:vAlign w:val="bottom"/>
            <w:tcBorders>
              <w:bottom w:val="single" w:sz="8" w:color="808080"/>
            </w:tcBorders>
          </w:tcPr>
          <w:p>
            <w:pPr>
              <w:spacing w:after="0"/>
              <w:rPr>
                <w:sz w:val="24"/>
                <w:szCs w:val="24"/>
                <w:color w:val="auto"/>
              </w:rPr>
            </w:pPr>
          </w:p>
        </w:tc>
        <w:tc>
          <w:tcPr>
            <w:tcW w:w="2180" w:type="dxa"/>
            <w:vAlign w:val="bottom"/>
            <w:tcBorders>
              <w:bottom w:val="single" w:sz="8" w:color="808080"/>
            </w:tcBorders>
          </w:tcPr>
          <w:p>
            <w:pPr>
              <w:spacing w:after="0"/>
              <w:rPr>
                <w:sz w:val="24"/>
                <w:szCs w:val="24"/>
                <w:color w:val="auto"/>
              </w:rPr>
            </w:pPr>
          </w:p>
        </w:tc>
        <w:tc>
          <w:tcPr>
            <w:tcW w:w="1040" w:type="dxa"/>
            <w:vAlign w:val="bottom"/>
            <w:tcBorders>
              <w:bottom w:val="single" w:sz="8" w:color="808080"/>
            </w:tcBorders>
          </w:tcPr>
          <w:p>
            <w:pPr>
              <w:spacing w:after="0"/>
              <w:rPr>
                <w:sz w:val="24"/>
                <w:szCs w:val="24"/>
                <w:color w:val="auto"/>
              </w:rPr>
            </w:pPr>
          </w:p>
        </w:tc>
        <w:tc>
          <w:tcPr>
            <w:tcW w:w="1020" w:type="dxa"/>
            <w:vAlign w:val="bottom"/>
            <w:tcBorders>
              <w:bottom w:val="single" w:sz="8" w:color="808080"/>
            </w:tcBorders>
          </w:tcPr>
          <w:p>
            <w:pPr>
              <w:spacing w:after="0"/>
              <w:rPr>
                <w:sz w:val="24"/>
                <w:szCs w:val="24"/>
                <w:color w:val="auto"/>
              </w:rPr>
            </w:pPr>
          </w:p>
        </w:tc>
        <w:tc>
          <w:tcPr>
            <w:tcW w:w="1040" w:type="dxa"/>
            <w:vAlign w:val="bottom"/>
            <w:tcBorders>
              <w:bottom w:val="single" w:sz="8" w:color="808080"/>
            </w:tcBorders>
          </w:tcPr>
          <w:p>
            <w:pPr>
              <w:spacing w:after="0"/>
              <w:rPr>
                <w:sz w:val="24"/>
                <w:szCs w:val="24"/>
                <w:color w:val="auto"/>
              </w:rPr>
            </w:pPr>
          </w:p>
        </w:tc>
        <w:tc>
          <w:tcPr>
            <w:tcW w:w="104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1" w:right="199" w:bottom="1440" w:gutter="0" w:footer="0" w:header="0"/>
        </w:sectPr>
      </w:pPr>
    </w:p>
    <w:bookmarkStart w:id="98" w:name="page99"/>
    <w:bookmarkEnd w:id="98"/>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Larry D. Zimpleman, certify that:</w:t>
      </w:r>
    </w:p>
    <w:p>
      <w:pPr>
        <w:spacing w:after="0" w:line="225" w:lineRule="exact"/>
        <w:rPr>
          <w:sz w:val="20"/>
          <w:szCs w:val="20"/>
          <w:color w:val="auto"/>
        </w:rPr>
      </w:pPr>
    </w:p>
    <w:p>
      <w:pPr>
        <w:ind w:left="660" w:hanging="652"/>
        <w:spacing w:after="0"/>
        <w:tabs>
          <w:tab w:leader="none" w:pos="6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Principal Financial Group,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5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100" w:hanging="644"/>
        <w:spacing w:after="0" w:line="264" w:lineRule="auto"/>
        <w:tabs>
          <w:tab w:leader="none" w:pos="1291" w:val="left"/>
        </w:tabs>
        <w:numPr>
          <w:ilvl w:val="1"/>
          <w:numId w:val="5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1" w:val="left"/>
        </w:tabs>
        <w:numPr>
          <w:ilvl w:val="1"/>
          <w:numId w:val="5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05" w:val="left"/>
        </w:tabs>
        <w:numPr>
          <w:ilvl w:val="1"/>
          <w:numId w:val="5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1" w:val="left"/>
        </w:tabs>
        <w:numPr>
          <w:ilvl w:val="1"/>
          <w:numId w:val="5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260" w:hanging="652"/>
        <w:spacing w:after="0" w:line="342" w:lineRule="auto"/>
        <w:tabs>
          <w:tab w:leader="none" w:pos="660" w:val="left"/>
        </w:tabs>
        <w:numPr>
          <w:ilvl w:val="0"/>
          <w:numId w:val="55"/>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640" w:hanging="644"/>
        <w:spacing w:after="0" w:line="342" w:lineRule="auto"/>
        <w:tabs>
          <w:tab w:leader="none" w:pos="1291" w:val="left"/>
        </w:tabs>
        <w:numPr>
          <w:ilvl w:val="1"/>
          <w:numId w:val="55"/>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1" w:val="left"/>
        </w:tabs>
        <w:numPr>
          <w:ilvl w:val="1"/>
          <w:numId w:val="5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October 28, 2015</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Larry D. Zimpleman</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Larry D. Zimpleman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Chairman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99" w:name="page100"/>
    <w:bookmarkEnd w:id="99"/>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Daniel J. Houston, certify that:</w:t>
      </w:r>
    </w:p>
    <w:p>
      <w:pPr>
        <w:spacing w:after="0" w:line="225" w:lineRule="exact"/>
        <w:rPr>
          <w:sz w:val="20"/>
          <w:szCs w:val="20"/>
          <w:color w:val="auto"/>
        </w:rPr>
      </w:pPr>
    </w:p>
    <w:p>
      <w:pPr>
        <w:ind w:left="660" w:hanging="652"/>
        <w:spacing w:after="0"/>
        <w:tabs>
          <w:tab w:leader="none" w:pos="6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Principal Financial Group,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100" w:hanging="644"/>
        <w:spacing w:after="0" w:line="264" w:lineRule="auto"/>
        <w:tabs>
          <w:tab w:leader="none" w:pos="1291" w:val="left"/>
        </w:tabs>
        <w:numPr>
          <w:ilvl w:val="1"/>
          <w:numId w:val="5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1" w:val="left"/>
        </w:tabs>
        <w:numPr>
          <w:ilvl w:val="1"/>
          <w:numId w:val="5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05" w:val="left"/>
        </w:tabs>
        <w:numPr>
          <w:ilvl w:val="1"/>
          <w:numId w:val="5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1" w:val="left"/>
        </w:tabs>
        <w:numPr>
          <w:ilvl w:val="1"/>
          <w:numId w:val="5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260" w:hanging="652"/>
        <w:spacing w:after="0" w:line="342" w:lineRule="auto"/>
        <w:tabs>
          <w:tab w:leader="none" w:pos="660" w:val="left"/>
        </w:tabs>
        <w:numPr>
          <w:ilvl w:val="0"/>
          <w:numId w:val="56"/>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640" w:hanging="644"/>
        <w:spacing w:after="0" w:line="342" w:lineRule="auto"/>
        <w:tabs>
          <w:tab w:leader="none" w:pos="1291" w:val="left"/>
        </w:tabs>
        <w:numPr>
          <w:ilvl w:val="1"/>
          <w:numId w:val="56"/>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1" w:val="left"/>
        </w:tabs>
        <w:numPr>
          <w:ilvl w:val="1"/>
          <w:numId w:val="5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October 28, 2015</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Daniel J. Houston</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00" w:name="page101"/>
    <w:bookmarkEnd w:id="100"/>
    <w:p>
      <w:pPr>
        <w:jc w:val="right"/>
        <w:spacing w:after="0"/>
        <w:rPr>
          <w:sz w:val="20"/>
          <w:szCs w:val="20"/>
          <w:color w:val="auto"/>
        </w:rPr>
      </w:pPr>
      <w:r>
        <w:rPr>
          <w:rFonts w:ascii="Arial" w:cs="Arial" w:eastAsia="Arial" w:hAnsi="Arial"/>
          <w:sz w:val="18"/>
          <w:szCs w:val="18"/>
          <w:b w:val="1"/>
          <w:bCs w:val="1"/>
          <w:color w:val="auto"/>
        </w:rPr>
        <w:t>Exhibit 31.3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Terrance J. Lillis, certify that:</w:t>
      </w:r>
    </w:p>
    <w:p>
      <w:pPr>
        <w:spacing w:after="0" w:line="225" w:lineRule="exact"/>
        <w:rPr>
          <w:sz w:val="20"/>
          <w:szCs w:val="20"/>
          <w:color w:val="auto"/>
        </w:rPr>
      </w:pPr>
    </w:p>
    <w:p>
      <w:pPr>
        <w:ind w:left="660" w:hanging="652"/>
        <w:spacing w:after="0"/>
        <w:tabs>
          <w:tab w:leader="none" w:pos="660" w:val="left"/>
        </w:tabs>
        <w:numPr>
          <w:ilvl w:val="0"/>
          <w:numId w:val="5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Principal Financial Group,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5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5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100" w:hanging="644"/>
        <w:spacing w:after="0" w:line="264" w:lineRule="auto"/>
        <w:tabs>
          <w:tab w:leader="none" w:pos="1291" w:val="left"/>
        </w:tabs>
        <w:numPr>
          <w:ilvl w:val="1"/>
          <w:numId w:val="5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1" w:val="left"/>
        </w:tabs>
        <w:numPr>
          <w:ilvl w:val="1"/>
          <w:numId w:val="5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05" w:val="left"/>
        </w:tabs>
        <w:numPr>
          <w:ilvl w:val="1"/>
          <w:numId w:val="5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1" w:val="left"/>
        </w:tabs>
        <w:numPr>
          <w:ilvl w:val="1"/>
          <w:numId w:val="5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260" w:hanging="652"/>
        <w:spacing w:after="0" w:line="342" w:lineRule="auto"/>
        <w:tabs>
          <w:tab w:leader="none" w:pos="660"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640" w:hanging="644"/>
        <w:spacing w:after="0" w:line="342" w:lineRule="auto"/>
        <w:tabs>
          <w:tab w:leader="none" w:pos="1291" w:val="left"/>
        </w:tabs>
        <w:numPr>
          <w:ilvl w:val="1"/>
          <w:numId w:val="5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1" w:val="left"/>
        </w:tabs>
        <w:numPr>
          <w:ilvl w:val="1"/>
          <w:numId w:val="5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October 28, 2015</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Terrance J. Lillis</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Terrance J. Lillis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Executive Vice President and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01" w:name="page102"/>
    <w:bookmarkEnd w:id="101"/>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1350 of Chapter 63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Title 18 of the United States Code</w:t>
      </w:r>
    </w:p>
    <w:p>
      <w:pPr>
        <w:spacing w:after="0" w:line="211" w:lineRule="exact"/>
        <w:rPr>
          <w:sz w:val="20"/>
          <w:szCs w:val="20"/>
          <w:color w:val="auto"/>
        </w:rPr>
      </w:pPr>
    </w:p>
    <w:p>
      <w:pPr>
        <w:jc w:val="both"/>
        <w:ind w:right="220" w:firstLine="648"/>
        <w:spacing w:after="0" w:line="312" w:lineRule="auto"/>
        <w:rPr>
          <w:sz w:val="20"/>
          <w:szCs w:val="20"/>
          <w:color w:val="auto"/>
        </w:rPr>
      </w:pPr>
      <w:r>
        <w:rPr>
          <w:rFonts w:ascii="Arial" w:cs="Arial" w:eastAsia="Arial" w:hAnsi="Arial"/>
          <w:sz w:val="16"/>
          <w:szCs w:val="16"/>
          <w:color w:val="auto"/>
        </w:rPr>
        <w:t>I, Larry D. Zimpleman, Chairman of Principal Financial Group, Inc., certify that (i) the Form 10-Q for the period ended September 30, 2015, fully complies with the requirements of Section 13(a) of the Securities Exchange Act of 1934 and (ii) the information contained in the Form 10-Q for the period ended September 30, 2015, fairly presents, in all material respects, the financial condition and results of operations of Principal Financial Group, Inc.</w:t>
      </w:r>
    </w:p>
    <w:p>
      <w:pPr>
        <w:spacing w:after="0" w:line="14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Larry D. Zimpleman</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Larry D. Zimpleman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Chairman</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Date: October 28,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02" w:name="page103"/>
    <w:bookmarkEnd w:id="102"/>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1350 of Chapter 63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Title 18 of the United States Code</w:t>
      </w:r>
    </w:p>
    <w:p>
      <w:pPr>
        <w:spacing w:after="0" w:line="211" w:lineRule="exact"/>
        <w:rPr>
          <w:sz w:val="20"/>
          <w:szCs w:val="20"/>
          <w:color w:val="auto"/>
        </w:rPr>
      </w:pPr>
    </w:p>
    <w:p>
      <w:pPr>
        <w:ind w:right="220" w:firstLine="648"/>
        <w:spacing w:after="0" w:line="259" w:lineRule="auto"/>
        <w:rPr>
          <w:sz w:val="20"/>
          <w:szCs w:val="20"/>
          <w:color w:val="auto"/>
        </w:rPr>
      </w:pPr>
      <w:r>
        <w:rPr>
          <w:rFonts w:ascii="Arial" w:cs="Arial" w:eastAsia="Arial" w:hAnsi="Arial"/>
          <w:sz w:val="18"/>
          <w:szCs w:val="18"/>
          <w:color w:val="auto"/>
        </w:rPr>
        <w:t>I, Daniel J. Houston, President and Chief Executive Officer of Principal Financial Group, Inc., certify that (i) the Form 10-Q for the period ended September 30, 2015, fully complies with the requirements of Section 13(a) of the Securities Exchange Act of 1934 and (ii) the information contained in the Form 10-Q for the period ended September 30, 2015, fairly presents, in all material respects, the financial condition and results of operations of Principal Financial Group, Inc.</w:t>
      </w:r>
    </w:p>
    <w:p>
      <w:pPr>
        <w:spacing w:after="0" w:line="18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Daniel J. Houston</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President and Chief Executive Officer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Date: October 28,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03" w:name="page104"/>
    <w:bookmarkEnd w:id="103"/>
    <w:p>
      <w:pPr>
        <w:jc w:val="right"/>
        <w:spacing w:after="0"/>
        <w:rPr>
          <w:sz w:val="20"/>
          <w:szCs w:val="20"/>
          <w:color w:val="auto"/>
        </w:rPr>
      </w:pPr>
      <w:r>
        <w:rPr>
          <w:rFonts w:ascii="Arial" w:cs="Arial" w:eastAsia="Arial" w:hAnsi="Arial"/>
          <w:sz w:val="18"/>
          <w:szCs w:val="18"/>
          <w:b w:val="1"/>
          <w:bCs w:val="1"/>
          <w:color w:val="auto"/>
        </w:rPr>
        <w:t>Exhibit 32.3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1350 of Chapter 63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Title 18 of the United States Code</w:t>
      </w:r>
    </w:p>
    <w:p>
      <w:pPr>
        <w:spacing w:after="0" w:line="211"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I, Terrance J. Lillis, Executive Vice President and Chief Financial Officer of Principal Financial Group, Inc., certify that (i) the Form 10-Q for the period ended September 30, 2015, fully complies with the requirements of Section 13(a) of the Securities Exchange Act of 1934 and (ii) the information contained in the Form 10-Q for the period ended September 30, 2015, fairly presents, in all material respects, the financial condition and results of operations of Principal Financial Group, Inc.</w:t>
      </w:r>
    </w:p>
    <w:p>
      <w:pPr>
        <w:spacing w:after="0" w:line="18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Terrance J. Lillis</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Terrance J. Lillis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Date: October 28,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901D82"/>
    <w:multiLevelType w:val="hybridMultilevel"/>
    <w:lvl w:ilvl="0">
      <w:lvlJc w:val="left"/>
      <w:lvlText w:val="x"/>
      <w:numFmt w:val="bullet"/>
      <w:start w:val="1"/>
    </w:lvl>
  </w:abstractNum>
  <w:abstractNum w:abstractNumId="1">
    <w:nsid w:val="3A95F874"/>
    <w:multiLevelType w:val="hybridMultilevel"/>
    <w:lvl w:ilvl="0">
      <w:lvlJc w:val="left"/>
      <w:lvlText w:val="o"/>
      <w:numFmt w:val="bullet"/>
      <w:start w:val="1"/>
    </w:lvl>
  </w:abstractNum>
  <w:abstractNum w:abstractNumId="2">
    <w:nsid w:val="8138641"/>
    <w:multiLevelType w:val="hybridMultilevel"/>
    <w:lvl w:ilvl="0">
      <w:lvlJc w:val="left"/>
      <w:lvlText w:val="(%1)"/>
      <w:numFmt w:val="decimal"/>
      <w:start w:val="1"/>
    </w:lvl>
  </w:abstractNum>
  <w:abstractNum w:abstractNumId="3">
    <w:nsid w:val="1E7FF521"/>
    <w:multiLevelType w:val="hybridMultilevel"/>
    <w:lvl w:ilvl="0">
      <w:lvlJc w:val="left"/>
      <w:lvlText w:val="(%1)"/>
      <w:numFmt w:val="decimal"/>
      <w:start w:val="1"/>
    </w:lvl>
  </w:abstractNum>
  <w:abstractNum w:abstractNumId="4">
    <w:nsid w:val="7C3DBD3D"/>
    <w:multiLevelType w:val="hybridMultilevel"/>
    <w:lvl w:ilvl="0">
      <w:lvlJc w:val="left"/>
      <w:lvlText w:val="(%1)"/>
      <w:numFmt w:val="decimal"/>
      <w:start w:val="1"/>
    </w:lvl>
  </w:abstractNum>
  <w:abstractNum w:abstractNumId="5">
    <w:nsid w:val="737B8DDC"/>
    <w:multiLevelType w:val="hybridMultilevel"/>
    <w:lvl w:ilvl="0">
      <w:lvlJc w:val="left"/>
      <w:lvlText w:val="(%1)"/>
      <w:numFmt w:val="decimal"/>
      <w:start w:val="1"/>
    </w:lvl>
  </w:abstractNum>
  <w:abstractNum w:abstractNumId="6">
    <w:nsid w:val="6CEAF087"/>
    <w:multiLevelType w:val="hybridMultilevel"/>
    <w:lvl w:ilvl="0">
      <w:lvlJc w:val="left"/>
      <w:lvlText w:val="(%1)"/>
      <w:numFmt w:val="decimal"/>
      <w:start w:val="1"/>
    </w:lvl>
  </w:abstractNum>
  <w:abstractNum w:abstractNumId="7">
    <w:nsid w:val="22221A70"/>
    <w:multiLevelType w:val="hybridMultilevel"/>
    <w:lvl w:ilvl="0">
      <w:lvlJc w:val="left"/>
      <w:lvlText w:val="(%1)"/>
      <w:numFmt w:val="decimal"/>
      <w:start w:val="1"/>
    </w:lvl>
  </w:abstractNum>
  <w:abstractNum w:abstractNumId="8">
    <w:nsid w:val="4516DDE9"/>
    <w:multiLevelType w:val="hybridMultilevel"/>
    <w:lvl w:ilvl="0">
      <w:lvlJc w:val="left"/>
      <w:lvlText w:val="(%1)"/>
      <w:numFmt w:val="decimal"/>
      <w:start w:val="1"/>
    </w:lvl>
  </w:abstractNum>
  <w:abstractNum w:abstractNumId="9">
    <w:nsid w:val="3006C83E"/>
    <w:multiLevelType w:val="hybridMultilevel"/>
    <w:lvl w:ilvl="0">
      <w:lvlJc w:val="left"/>
      <w:lvlText w:val="(%1)"/>
      <w:numFmt w:val="decimal"/>
      <w:start w:val="1"/>
    </w:lvl>
  </w:abstractNum>
  <w:abstractNum w:abstractNumId="10">
    <w:nsid w:val="614FD4A1"/>
    <w:multiLevelType w:val="hybridMultilevel"/>
    <w:lvl w:ilvl="0">
      <w:lvlJc w:val="left"/>
      <w:lvlText w:val="(%1)"/>
      <w:numFmt w:val="decimal"/>
      <w:start w:val="1"/>
    </w:lvl>
  </w:abstractNum>
  <w:abstractNum w:abstractNumId="11">
    <w:nsid w:val="419AC241"/>
    <w:multiLevelType w:val="hybridMultilevel"/>
    <w:lvl w:ilvl="0">
      <w:lvlJc w:val="left"/>
      <w:lvlText w:val="(%1)"/>
      <w:numFmt w:val="decimal"/>
      <w:start w:val="1"/>
    </w:lvl>
  </w:abstractNum>
  <w:abstractNum w:abstractNumId="12">
    <w:nsid w:val="5577F8E1"/>
    <w:multiLevelType w:val="hybridMultilevel"/>
    <w:lvl w:ilvl="0">
      <w:lvlJc w:val="left"/>
      <w:lvlText w:val="(%1)"/>
      <w:numFmt w:val="decimal"/>
      <w:start w:val="1"/>
    </w:lvl>
  </w:abstractNum>
  <w:abstractNum w:abstractNumId="13">
    <w:nsid w:val="440BADFC"/>
    <w:multiLevelType w:val="hybridMultilevel"/>
    <w:lvl w:ilvl="0">
      <w:lvlJc w:val="left"/>
      <w:lvlText w:val="(%1)"/>
      <w:numFmt w:val="decimal"/>
      <w:start w:val="1"/>
    </w:lvl>
  </w:abstractNum>
  <w:abstractNum w:abstractNumId="14">
    <w:nsid w:val="5072367"/>
    <w:multiLevelType w:val="hybridMultilevel"/>
    <w:lvl w:ilvl="0">
      <w:lvlJc w:val="left"/>
      <w:lvlText w:val="(%1)"/>
      <w:numFmt w:val="decimal"/>
      <w:start w:val="1"/>
    </w:lvl>
  </w:abstractNum>
  <w:abstractNum w:abstractNumId="15">
    <w:nsid w:val="3804823E"/>
    <w:multiLevelType w:val="hybridMultilevel"/>
    <w:lvl w:ilvl="0">
      <w:lvlJc w:val="left"/>
      <w:lvlText w:val="%1."/>
      <w:numFmt w:val="decimal"/>
      <w:start w:val="7"/>
    </w:lvl>
  </w:abstractNum>
  <w:abstractNum w:abstractNumId="16">
    <w:nsid w:val="77465F01"/>
    <w:multiLevelType w:val="hybridMultilevel"/>
    <w:lvl w:ilvl="0">
      <w:lvlJc w:val="left"/>
      <w:lvlText w:val="%1."/>
      <w:numFmt w:val="decimal"/>
      <w:start w:val="8"/>
    </w:lvl>
  </w:abstractNum>
  <w:abstractNum w:abstractNumId="17">
    <w:nsid w:val="7724C67E"/>
    <w:multiLevelType w:val="hybridMultilevel"/>
    <w:lvl w:ilvl="0">
      <w:lvlJc w:val="left"/>
      <w:lvlText w:val="(%1)"/>
      <w:numFmt w:val="decimal"/>
      <w:start w:val="1"/>
    </w:lvl>
  </w:abstractNum>
  <w:abstractNum w:abstractNumId="18">
    <w:nsid w:val="5C482A97"/>
    <w:multiLevelType w:val="hybridMultilevel"/>
    <w:lvl w:ilvl="0">
      <w:lvlJc w:val="left"/>
      <w:lvlText w:val="·"/>
      <w:numFmt w:val="bullet"/>
      <w:start w:val="1"/>
    </w:lvl>
  </w:abstractNum>
  <w:abstractNum w:abstractNumId="19">
    <w:nsid w:val="2463B9EA"/>
    <w:multiLevelType w:val="hybridMultilevel"/>
    <w:lvl w:ilvl="0">
      <w:lvlJc w:val="left"/>
      <w:lvlText w:val="·"/>
      <w:numFmt w:val="bullet"/>
      <w:start w:val="1"/>
    </w:lvl>
  </w:abstractNum>
  <w:abstractNum w:abstractNumId="20">
    <w:nsid w:val="5E884ADC"/>
    <w:multiLevelType w:val="hybridMultilevel"/>
    <w:lvl w:ilvl="0">
      <w:lvlJc w:val="left"/>
      <w:lvlText w:val="(%1)"/>
      <w:numFmt w:val="decimal"/>
      <w:start w:val="1"/>
    </w:lvl>
  </w:abstractNum>
  <w:abstractNum w:abstractNumId="21">
    <w:nsid w:val="51EAD36B"/>
    <w:multiLevelType w:val="hybridMultilevel"/>
    <w:lvl w:ilvl="0">
      <w:lvlJc w:val="left"/>
      <w:lvlText w:val="(%1)"/>
      <w:numFmt w:val="decimal"/>
      <w:start w:val="2"/>
    </w:lvl>
  </w:abstractNum>
  <w:abstractNum w:abstractNumId="22">
    <w:nsid w:val="2D517796"/>
    <w:multiLevelType w:val="hybridMultilevel"/>
    <w:lvl w:ilvl="0">
      <w:lvlJc w:val="left"/>
      <w:lvlText w:val="(%1)"/>
      <w:numFmt w:val="decimal"/>
      <w:start w:val="1"/>
    </w:lvl>
  </w:abstractNum>
  <w:abstractNum w:abstractNumId="23">
    <w:nsid w:val="580BD78F"/>
    <w:multiLevelType w:val="hybridMultilevel"/>
    <w:lvl w:ilvl="0">
      <w:lvlJc w:val="left"/>
      <w:lvlText w:val="(%1)"/>
      <w:numFmt w:val="decimal"/>
      <w:start w:val="5"/>
    </w:lvl>
  </w:abstractNum>
  <w:abstractNum w:abstractNumId="24">
    <w:nsid w:val="153EA438"/>
    <w:multiLevelType w:val="hybridMultilevel"/>
    <w:lvl w:ilvl="0">
      <w:lvlJc w:val="left"/>
      <w:lvlText w:val="(%1)"/>
      <w:numFmt w:val="decimal"/>
      <w:start w:val="1"/>
    </w:lvl>
  </w:abstractNum>
  <w:abstractNum w:abstractNumId="25">
    <w:nsid w:val="3855585C"/>
    <w:multiLevelType w:val="hybridMultilevel"/>
    <w:lvl w:ilvl="0">
      <w:lvlJc w:val="left"/>
      <w:lvlText w:val="(%1)"/>
      <w:numFmt w:val="decimal"/>
      <w:start w:val="2"/>
    </w:lvl>
  </w:abstractNum>
  <w:abstractNum w:abstractNumId="26">
    <w:nsid w:val="70A64E2A"/>
    <w:multiLevelType w:val="hybridMultilevel"/>
    <w:lvl w:ilvl="0">
      <w:lvlJc w:val="left"/>
      <w:lvlText w:val="(%1)"/>
      <w:numFmt w:val="decimal"/>
      <w:start w:val="1"/>
    </w:lvl>
  </w:abstractNum>
  <w:abstractNum w:abstractNumId="27">
    <w:nsid w:val="6A2342EC"/>
    <w:multiLevelType w:val="hybridMultilevel"/>
    <w:lvl w:ilvl="0">
      <w:lvlJc w:val="left"/>
      <w:lvlText w:val="(%1)"/>
      <w:numFmt w:val="decimal"/>
      <w:start w:val="20"/>
    </w:lvl>
  </w:abstractNum>
  <w:abstractNum w:abstractNumId="28">
    <w:nsid w:val="2A487CB0"/>
    <w:multiLevelType w:val="hybridMultilevel"/>
    <w:lvl w:ilvl="0">
      <w:lvlJc w:val="left"/>
      <w:lvlText w:val="·"/>
      <w:numFmt w:val="bullet"/>
      <w:start w:val="1"/>
    </w:lvl>
    <w:lvl w:ilvl="1">
      <w:lvlJc w:val="left"/>
      <w:lvlText w:val="·"/>
      <w:numFmt w:val="bullet"/>
      <w:start w:val="1"/>
    </w:lvl>
  </w:abstractNum>
  <w:abstractNum w:abstractNumId="29">
    <w:nsid w:val="1D4ED43B"/>
    <w:multiLevelType w:val="hybridMultilevel"/>
    <w:lvl w:ilvl="0">
      <w:lvlJc w:val="left"/>
      <w:lvlText w:val="(%1)"/>
      <w:numFmt w:val="decimal"/>
      <w:start w:val="1"/>
    </w:lvl>
  </w:abstractNum>
  <w:abstractNum w:abstractNumId="30">
    <w:nsid w:val="725A06FB"/>
    <w:multiLevelType w:val="hybridMultilevel"/>
    <w:lvl w:ilvl="0">
      <w:lvlJc w:val="left"/>
      <w:lvlText w:val="(%1)"/>
      <w:numFmt w:val="decimal"/>
      <w:start w:val="1"/>
    </w:lvl>
  </w:abstractNum>
  <w:abstractNum w:abstractNumId="31">
    <w:nsid w:val="2CD89A32"/>
    <w:multiLevelType w:val="hybridMultilevel"/>
    <w:lvl w:ilvl="0">
      <w:lvlJc w:val="left"/>
      <w:lvlText w:val="(%1)"/>
      <w:numFmt w:val="decimal"/>
      <w:start w:val="1"/>
    </w:lvl>
  </w:abstractNum>
  <w:abstractNum w:abstractNumId="32">
    <w:nsid w:val="57E4CCAF"/>
    <w:multiLevelType w:val="hybridMultilevel"/>
    <w:lvl w:ilvl="0">
      <w:lvlJc w:val="left"/>
      <w:lvlText w:val="(%1)"/>
      <w:numFmt w:val="decimal"/>
      <w:start w:val="1"/>
    </w:lvl>
  </w:abstractNum>
  <w:abstractNum w:abstractNumId="33">
    <w:nsid w:val="7A6D8D3C"/>
    <w:multiLevelType w:val="hybridMultilevel"/>
    <w:lvl w:ilvl="0">
      <w:lvlJc w:val="left"/>
      <w:lvlText w:val="(%1)"/>
      <w:numFmt w:val="decimal"/>
      <w:start w:val="1"/>
    </w:lvl>
  </w:abstractNum>
  <w:abstractNum w:abstractNumId="34">
    <w:nsid w:val="4B588F54"/>
    <w:multiLevelType w:val="hybridMultilevel"/>
    <w:lvl w:ilvl="0">
      <w:lvlJc w:val="left"/>
      <w:lvlText w:val="·"/>
      <w:numFmt w:val="bullet"/>
      <w:start w:val="1"/>
    </w:lvl>
  </w:abstractNum>
  <w:abstractNum w:abstractNumId="35">
    <w:nsid w:val="542289EC"/>
    <w:multiLevelType w:val="hybridMultilevel"/>
    <w:lvl w:ilvl="0">
      <w:lvlJc w:val="left"/>
      <w:lvlText w:val="·"/>
      <w:numFmt w:val="bullet"/>
      <w:start w:val="1"/>
    </w:lvl>
  </w:abstractNum>
  <w:abstractNum w:abstractNumId="36">
    <w:nsid w:val="6DE91B18"/>
    <w:multiLevelType w:val="hybridMultilevel"/>
    <w:lvl w:ilvl="0">
      <w:lvlJc w:val="left"/>
      <w:lvlText w:val="·"/>
      <w:numFmt w:val="bullet"/>
      <w:start w:val="1"/>
    </w:lvl>
  </w:abstractNum>
  <w:abstractNum w:abstractNumId="37">
    <w:nsid w:val="38437FDB"/>
    <w:multiLevelType w:val="hybridMultilevel"/>
    <w:lvl w:ilvl="0">
      <w:lvlJc w:val="left"/>
      <w:lvlText w:val="·"/>
      <w:numFmt w:val="bullet"/>
      <w:start w:val="1"/>
    </w:lvl>
  </w:abstractNum>
  <w:abstractNum w:abstractNumId="38">
    <w:nsid w:val="7644A45C"/>
    <w:multiLevelType w:val="hybridMultilevel"/>
    <w:lvl w:ilvl="0">
      <w:lvlJc w:val="left"/>
      <w:lvlText w:val="(%1)"/>
      <w:numFmt w:val="decimal"/>
      <w:start w:val="1"/>
    </w:lvl>
  </w:abstractNum>
  <w:abstractNum w:abstractNumId="39">
    <w:nsid w:val="32FFF902"/>
    <w:multiLevelType w:val="hybridMultilevel"/>
    <w:lvl w:ilvl="0">
      <w:lvlJc w:val="left"/>
      <w:lvlText w:val="$"/>
      <w:numFmt w:val="bullet"/>
      <w:start w:val="1"/>
    </w:lvl>
  </w:abstractNum>
  <w:abstractNum w:abstractNumId="40">
    <w:nsid w:val="684A481A"/>
    <w:multiLevelType w:val="hybridMultilevel"/>
    <w:lvl w:ilvl="0">
      <w:lvlJc w:val="left"/>
      <w:lvlText w:val="$"/>
      <w:numFmt w:val="bullet"/>
      <w:start w:val="1"/>
    </w:lvl>
  </w:abstractNum>
  <w:abstractNum w:abstractNumId="41">
    <w:nsid w:val="579478FE"/>
    <w:multiLevelType w:val="hybridMultilevel"/>
    <w:lvl w:ilvl="0">
      <w:lvlJc w:val="left"/>
      <w:lvlText w:val="(%1)"/>
      <w:numFmt w:val="decimal"/>
      <w:start w:val="1"/>
    </w:lvl>
  </w:abstractNum>
  <w:abstractNum w:abstractNumId="42">
    <w:nsid w:val="749ABB43"/>
    <w:multiLevelType w:val="hybridMultilevel"/>
    <w:lvl w:ilvl="0">
      <w:lvlJc w:val="left"/>
      <w:lvlText w:val="·"/>
      <w:numFmt w:val="bullet"/>
      <w:start w:val="1"/>
    </w:lvl>
  </w:abstractNum>
  <w:abstractNum w:abstractNumId="43">
    <w:nsid w:val="3DC240FB"/>
    <w:multiLevelType w:val="hybridMultilevel"/>
    <w:lvl w:ilvl="0">
      <w:lvlJc w:val="left"/>
      <w:lvlText w:val="(%1)"/>
      <w:numFmt w:val="decimal"/>
      <w:start w:val="1"/>
    </w:lvl>
  </w:abstractNum>
  <w:abstractNum w:abstractNumId="44">
    <w:nsid w:val="1BA026FA"/>
    <w:multiLevelType w:val="hybridMultilevel"/>
    <w:lvl w:ilvl="0">
      <w:lvlJc w:val="left"/>
      <w:lvlText w:val="·"/>
      <w:numFmt w:val="bullet"/>
      <w:start w:val="1"/>
    </w:lvl>
  </w:abstractNum>
  <w:abstractNum w:abstractNumId="45">
    <w:nsid w:val="79A1DEAA"/>
    <w:multiLevelType w:val="hybridMultilevel"/>
    <w:lvl w:ilvl="0">
      <w:lvlJc w:val="left"/>
      <w:lvlText w:val="·"/>
      <w:numFmt w:val="bullet"/>
      <w:start w:val="1"/>
    </w:lvl>
  </w:abstractNum>
  <w:abstractNum w:abstractNumId="46">
    <w:nsid w:val="75C6C33A"/>
    <w:multiLevelType w:val="hybridMultilevel"/>
    <w:lvl w:ilvl="0">
      <w:lvlJc w:val="left"/>
      <w:lvlText w:val="·"/>
      <w:numFmt w:val="bullet"/>
      <w:start w:val="1"/>
    </w:lvl>
  </w:abstractNum>
  <w:abstractNum w:abstractNumId="47">
    <w:nsid w:val="12E685FB"/>
    <w:multiLevelType w:val="hybridMultilevel"/>
    <w:lvl w:ilvl="0">
      <w:lvlJc w:val="left"/>
      <w:lvlText w:val="\emdash "/>
      <w:numFmt w:val="bullet"/>
      <w:start w:val="1"/>
    </w:lvl>
  </w:abstractNum>
  <w:abstractNum w:abstractNumId="48">
    <w:nsid w:val="70C6A529"/>
    <w:multiLevelType w:val="hybridMultilevel"/>
    <w:lvl w:ilvl="0">
      <w:lvlJc w:val="left"/>
      <w:lvlText w:val="(%1)"/>
      <w:numFmt w:val="decimal"/>
      <w:start w:val="4"/>
    </w:lvl>
  </w:abstractNum>
  <w:abstractNum w:abstractNumId="49">
    <w:nsid w:val="520EEDD1"/>
    <w:multiLevelType w:val="hybridMultilevel"/>
    <w:lvl w:ilvl="0">
      <w:lvlJc w:val="left"/>
      <w:lvlText w:val="(%1)"/>
      <w:numFmt w:val="decimal"/>
      <w:start w:val="1"/>
    </w:lvl>
  </w:abstractNum>
  <w:abstractNum w:abstractNumId="50">
    <w:nsid w:val="374A3FE6"/>
    <w:multiLevelType w:val="hybridMultilevel"/>
    <w:lvl w:ilvl="0">
      <w:lvlJc w:val="left"/>
      <w:lvlText w:val="%1."/>
      <w:numFmt w:val="decimal"/>
      <w:start w:val="1"/>
    </w:lvl>
  </w:abstractNum>
  <w:abstractNum w:abstractNumId="51">
    <w:nsid w:val="4F4EF005"/>
    <w:multiLevelType w:val="hybridMultilevel"/>
    <w:lvl w:ilvl="0">
      <w:lvlJc w:val="left"/>
      <w:lvlText w:val="%1."/>
      <w:numFmt w:val="decimal"/>
      <w:start w:val="5"/>
    </w:lvl>
  </w:abstractNum>
  <w:abstractNum w:abstractNumId="52">
    <w:nsid w:val="23F9C13C"/>
    <w:multiLevelType w:val="hybridMultilevel"/>
    <w:lvl w:ilvl="0">
      <w:lvlJc w:val="left"/>
      <w:lvlText w:val="%1."/>
      <w:numFmt w:val="decimal"/>
      <w:start w:val="15"/>
    </w:lvl>
  </w:abstractNum>
  <w:abstractNum w:abstractNumId="53">
    <w:nsid w:val="649BB77C"/>
    <w:multiLevelType w:val="hybridMultilevel"/>
    <w:lvl w:ilvl="0">
      <w:lvlJc w:val="left"/>
      <w:lvlText w:val="%1."/>
      <w:numFmt w:val="decimal"/>
      <w:start w:val="16"/>
    </w:lvl>
  </w:abstractNum>
  <w:abstractNum w:abstractNumId="54">
    <w:nsid w:val="275AC794"/>
    <w:multiLevelType w:val="hybridMultilevel"/>
    <w:lvl w:ilvl="0">
      <w:lvlJc w:val="left"/>
      <w:lvlText w:val="%1."/>
      <w:numFmt w:val="decimal"/>
      <w:start w:val="1"/>
    </w:lvl>
    <w:lvl w:ilvl="1">
      <w:lvlJc w:val="left"/>
      <w:lvlText w:val="%2)"/>
      <w:numFmt w:val="lowerLetter"/>
      <w:start w:val="1"/>
    </w:lvl>
  </w:abstractNum>
  <w:abstractNum w:abstractNumId="55">
    <w:nsid w:val="39386575"/>
    <w:multiLevelType w:val="hybridMultilevel"/>
    <w:lvl w:ilvl="0">
      <w:lvlJc w:val="left"/>
      <w:lvlText w:val="%1."/>
      <w:numFmt w:val="decimal"/>
      <w:start w:val="1"/>
    </w:lvl>
    <w:lvl w:ilvl="1">
      <w:lvlJc w:val="left"/>
      <w:lvlText w:val="%2)"/>
      <w:numFmt w:val="lowerLetter"/>
      <w:start w:val="1"/>
    </w:lvl>
  </w:abstractNum>
  <w:abstractNum w:abstractNumId="56">
    <w:nsid w:val="1CF10FD8"/>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jpe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2020-01-25T01:10:07Z</dcterms:created>
  <dcterms:modified xsi:type="dcterms:W3CDTF">2020-01-25T01:10:07Z</dcterms:modified>
</cp:coreProperties>
</file>