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color w:val="auto"/>
        </w:rPr>
        <w:t>UNITED STATES</w:t>
      </w:r>
    </w:p>
    <w:p>
      <w:pPr>
        <w:spacing w:after="0" w:line="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(Mark One)</w:t>
      </w:r>
    </w:p>
    <w:p>
      <w:pPr>
        <w:spacing w:after="0" w:line="216" w:lineRule="exact"/>
        <w:rPr>
          <w:sz w:val="24"/>
          <w:szCs w:val="24"/>
          <w:color w:val="auto"/>
        </w:rPr>
      </w:pPr>
    </w:p>
    <w:p>
      <w:pPr>
        <w:ind w:left="500" w:hanging="492"/>
        <w:spacing w:after="0"/>
        <w:tabs>
          <w:tab w:leader="none" w:pos="5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ANNUAL REPORT PURSUANT TO SECTION 15(d) OF THE SECURITIES EXCHANGE ACT OF 1934</w:t>
      </w:r>
    </w:p>
    <w:p>
      <w:pPr>
        <w:spacing w:after="0" w:line="144" w:lineRule="exact"/>
        <w:rPr>
          <w:rFonts w:ascii="Times New Roman" w:cs="Times New Roman" w:eastAsia="Times New Roman" w:hAnsi="Times New Roman"/>
          <w:sz w:val="20"/>
          <w:szCs w:val="20"/>
          <w:color w:val="auto"/>
        </w:rPr>
      </w:pPr>
    </w:p>
    <w:p>
      <w:pPr>
        <w:ind w:left="50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For the fiscal year ended: December 31, 2014</w:t>
      </w: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OR</w:t>
      </w: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p>
      <w:pPr>
        <w:ind w:left="500" w:right="1940" w:hanging="492"/>
        <w:spacing w:after="0" w:line="424" w:lineRule="auto"/>
        <w:tabs>
          <w:tab w:leader="none" w:pos="129"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TRANSITION REPORT PURSUANT TO SECTION 15(d) OF THE SECURITIES EXCHANGE ACT OF 1934 For the transition period from ____________ to _____________</w:t>
      </w:r>
    </w:p>
    <w:p>
      <w:pPr>
        <w:spacing w:after="0" w:line="200" w:lineRule="exact"/>
        <w:rPr>
          <w:sz w:val="24"/>
          <w:szCs w:val="24"/>
          <w:color w:val="auto"/>
        </w:rPr>
      </w:pPr>
    </w:p>
    <w:p>
      <w:pPr>
        <w:spacing w:after="0" w:line="253"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Commission file number: 1-16725</w:t>
      </w:r>
    </w:p>
    <w:p>
      <w:pPr>
        <w:spacing w:after="0" w:line="2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The Principal Select Savings Plan for Individual Field</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(Full title of the plan)</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Principal Financial Group, Inc.</w:t>
      </w:r>
    </w:p>
    <w:p>
      <w:pPr>
        <w:spacing w:after="0" w:line="3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(Name of Issuer of the securities held pursuant to the plan)</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711 High Street</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Des Moines, Iowa 50392</w:t>
      </w:r>
    </w:p>
    <w:p>
      <w:pPr>
        <w:jc w:val="center"/>
        <w:spacing w:after="0"/>
        <w:rPr>
          <w:sz w:val="20"/>
          <w:szCs w:val="20"/>
          <w:color w:val="auto"/>
        </w:rPr>
      </w:pPr>
      <w:r>
        <w:rPr>
          <w:rFonts w:ascii="Times New Roman" w:cs="Times New Roman" w:eastAsia="Times New Roman" w:hAnsi="Times New Roman"/>
          <w:sz w:val="20"/>
          <w:szCs w:val="20"/>
          <w:color w:val="auto"/>
        </w:rPr>
        <w:t>(Address of principal executive offices) (Zip Code)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 of 26</w:t>
      </w:r>
    </w:p>
    <w:p>
      <w:pPr>
        <w:sectPr>
          <w:pgSz w:w="11900" w:h="16838" w:orient="portrait"/>
          <w:cols w:equalWidth="0" w:num="1">
            <w:col w:w="11420"/>
          </w:cols>
          <w:pgMar w:left="240" w:top="711"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8740" w:type="dxa"/>
            <w:vAlign w:val="bottom"/>
            <w:gridSpan w:val="3"/>
          </w:tcPr>
          <w:p>
            <w:pPr>
              <w:ind w:left="4620"/>
              <w:spacing w:after="0"/>
              <w:rPr>
                <w:sz w:val="20"/>
                <w:szCs w:val="20"/>
                <w:color w:val="auto"/>
              </w:rPr>
            </w:pPr>
            <w:r>
              <w:rPr>
                <w:rFonts w:ascii="Times New Roman" w:cs="Times New Roman" w:eastAsia="Times New Roman" w:hAnsi="Times New Roman"/>
                <w:sz w:val="20"/>
                <w:szCs w:val="20"/>
                <w:b w:val="1"/>
                <w:bCs w:val="1"/>
                <w:color w:val="auto"/>
              </w:rPr>
              <w:t>TABLE OF CONTENTS</w:t>
            </w:r>
          </w:p>
        </w:tc>
        <w:tc>
          <w:tcPr>
            <w:tcW w:w="2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48"/>
        </w:trPr>
        <w:tc>
          <w:tcPr>
            <w:tcW w:w="4620" w:type="dxa"/>
            <w:vAlign w:val="bottom"/>
          </w:tcPr>
          <w:p>
            <w:pPr>
              <w:spacing w:after="0"/>
              <w:rPr>
                <w:sz w:val="24"/>
                <w:szCs w:val="24"/>
                <w:color w:val="auto"/>
              </w:rPr>
            </w:pPr>
          </w:p>
        </w:tc>
        <w:tc>
          <w:tcPr>
            <w:tcW w:w="2120" w:type="dxa"/>
            <w:vAlign w:val="bottom"/>
            <w:tcBorders>
              <w:top w:val="single" w:sz="8" w:color="auto"/>
            </w:tcBorders>
          </w:tcPr>
          <w:p>
            <w:pPr>
              <w:spacing w:after="0"/>
              <w:rPr>
                <w:sz w:val="24"/>
                <w:szCs w:val="24"/>
                <w:color w:val="auto"/>
              </w:rPr>
            </w:pPr>
          </w:p>
        </w:tc>
        <w:tc>
          <w:tcPr>
            <w:tcW w:w="2000" w:type="dxa"/>
            <w:vAlign w:val="bottom"/>
          </w:tcPr>
          <w:p>
            <w:pPr>
              <w:spacing w:after="0"/>
              <w:rPr>
                <w:sz w:val="24"/>
                <w:szCs w:val="24"/>
                <w:color w:val="auto"/>
              </w:rPr>
            </w:pPr>
          </w:p>
        </w:tc>
        <w:tc>
          <w:tcPr>
            <w:tcW w:w="262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Page</w:t>
            </w:r>
          </w:p>
        </w:tc>
        <w:tc>
          <w:tcPr>
            <w:tcW w:w="0" w:type="dxa"/>
            <w:vAlign w:val="bottom"/>
          </w:tcPr>
          <w:p>
            <w:pPr>
              <w:spacing w:after="0"/>
              <w:rPr>
                <w:sz w:val="1"/>
                <w:szCs w:val="1"/>
                <w:color w:val="auto"/>
              </w:rPr>
            </w:pPr>
          </w:p>
        </w:tc>
      </w:tr>
      <w:tr>
        <w:trPr>
          <w:trHeight w:val="237"/>
        </w:trPr>
        <w:tc>
          <w:tcPr>
            <w:tcW w:w="874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2">
              <w:r>
                <w:rPr>
                  <w:rFonts w:ascii="Times New Roman" w:cs="Times New Roman" w:eastAsia="Times New Roman" w:hAnsi="Times New Roman"/>
                  <w:sz w:val="20"/>
                  <w:szCs w:val="20"/>
                  <w:color w:val="0000EE"/>
                </w:rPr>
                <w:t>3</w:t>
              </w:r>
            </w:hyperlink>
          </w:p>
        </w:tc>
        <w:tc>
          <w:tcPr>
            <w:tcW w:w="0" w:type="dxa"/>
            <w:vAlign w:val="bottom"/>
          </w:tcPr>
          <w:p>
            <w:pPr>
              <w:spacing w:after="0"/>
              <w:rPr>
                <w:sz w:val="1"/>
                <w:szCs w:val="1"/>
                <w:color w:val="auto"/>
              </w:rPr>
            </w:pPr>
          </w:p>
        </w:tc>
      </w:tr>
      <w:tr>
        <w:trPr>
          <w:trHeight w:val="634"/>
        </w:trPr>
        <w:tc>
          <w:tcPr>
            <w:tcW w:w="874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Financial Statements</w:t>
            </w:r>
          </w:p>
        </w:tc>
        <w:tc>
          <w:tcPr>
            <w:tcW w:w="2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740" w:type="dxa"/>
            <w:vAlign w:val="bottom"/>
            <w:gridSpan w:val="3"/>
          </w:tcPr>
          <w:p>
            <w:pPr>
              <w:ind w:left="240"/>
              <w:spacing w:after="0"/>
              <w:rPr>
                <w:sz w:val="20"/>
                <w:szCs w:val="20"/>
                <w:color w:val="auto"/>
              </w:rPr>
            </w:pPr>
            <w:r>
              <w:rPr>
                <w:rFonts w:ascii="Times New Roman" w:cs="Times New Roman" w:eastAsia="Times New Roman" w:hAnsi="Times New Roman"/>
                <w:sz w:val="20"/>
                <w:szCs w:val="20"/>
                <w:color w:val="auto"/>
              </w:rPr>
              <w:t>Statements of Net Assets Available for Benefits</w:t>
            </w: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3">
              <w:r>
                <w:rPr>
                  <w:rFonts w:ascii="Times New Roman" w:cs="Times New Roman" w:eastAsia="Times New Roman" w:hAnsi="Times New Roman"/>
                  <w:sz w:val="20"/>
                  <w:szCs w:val="20"/>
                  <w:color w:val="0000EE"/>
                </w:rPr>
                <w:t>4</w:t>
              </w:r>
            </w:hyperlink>
          </w:p>
        </w:tc>
        <w:tc>
          <w:tcPr>
            <w:tcW w:w="0" w:type="dxa"/>
            <w:vAlign w:val="bottom"/>
          </w:tcPr>
          <w:p>
            <w:pPr>
              <w:spacing w:after="0"/>
              <w:rPr>
                <w:sz w:val="1"/>
                <w:szCs w:val="1"/>
                <w:color w:val="auto"/>
              </w:rPr>
            </w:pPr>
          </w:p>
        </w:tc>
      </w:tr>
      <w:tr>
        <w:trPr>
          <w:trHeight w:val="20"/>
        </w:trPr>
        <w:tc>
          <w:tcPr>
            <w:tcW w:w="8740" w:type="dxa"/>
            <w:vAlign w:val="bottom"/>
            <w:gridSpan w:val="3"/>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740" w:type="dxa"/>
            <w:vAlign w:val="bottom"/>
            <w:gridSpan w:val="3"/>
          </w:tcPr>
          <w:p>
            <w:pPr>
              <w:ind w:left="240"/>
              <w:spacing w:after="0"/>
              <w:rPr>
                <w:sz w:val="20"/>
                <w:szCs w:val="20"/>
                <w:color w:val="auto"/>
              </w:rPr>
            </w:pPr>
            <w:r>
              <w:rPr>
                <w:rFonts w:ascii="Times New Roman" w:cs="Times New Roman" w:eastAsia="Times New Roman" w:hAnsi="Times New Roman"/>
                <w:sz w:val="20"/>
                <w:szCs w:val="20"/>
                <w:color w:val="auto"/>
              </w:rPr>
              <w:t>Statements of Changes in Net Assets Available for Benefits</w:t>
            </w: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4">
              <w:r>
                <w:rPr>
                  <w:rFonts w:ascii="Times New Roman" w:cs="Times New Roman" w:eastAsia="Times New Roman" w:hAnsi="Times New Roman"/>
                  <w:sz w:val="20"/>
                  <w:szCs w:val="20"/>
                  <w:color w:val="0000EE"/>
                </w:rPr>
                <w:t>5</w:t>
              </w:r>
            </w:hyperlink>
          </w:p>
        </w:tc>
        <w:tc>
          <w:tcPr>
            <w:tcW w:w="0" w:type="dxa"/>
            <w:vAlign w:val="bottom"/>
          </w:tcPr>
          <w:p>
            <w:pPr>
              <w:spacing w:after="0"/>
              <w:rPr>
                <w:sz w:val="1"/>
                <w:szCs w:val="1"/>
                <w:color w:val="auto"/>
              </w:rPr>
            </w:pPr>
          </w:p>
        </w:tc>
      </w:tr>
      <w:tr>
        <w:trPr>
          <w:trHeight w:val="20"/>
        </w:trPr>
        <w:tc>
          <w:tcPr>
            <w:tcW w:w="8740" w:type="dxa"/>
            <w:vAlign w:val="bottom"/>
            <w:gridSpan w:val="3"/>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740" w:type="dxa"/>
            <w:vAlign w:val="bottom"/>
            <w:gridSpan w:val="3"/>
          </w:tcPr>
          <w:p>
            <w:pPr>
              <w:ind w:left="240"/>
              <w:spacing w:after="0"/>
              <w:rPr>
                <w:sz w:val="20"/>
                <w:szCs w:val="20"/>
                <w:color w:val="auto"/>
              </w:rPr>
            </w:pPr>
            <w:r>
              <w:rPr>
                <w:rFonts w:ascii="Times New Roman" w:cs="Times New Roman" w:eastAsia="Times New Roman" w:hAnsi="Times New Roman"/>
                <w:sz w:val="20"/>
                <w:szCs w:val="20"/>
                <w:color w:val="auto"/>
              </w:rPr>
              <w:t>Notes to Financial Statements</w:t>
            </w: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5">
              <w:r>
                <w:rPr>
                  <w:rFonts w:ascii="Times New Roman" w:cs="Times New Roman" w:eastAsia="Times New Roman" w:hAnsi="Times New Roman"/>
                  <w:sz w:val="20"/>
                  <w:szCs w:val="20"/>
                  <w:color w:val="0000EE"/>
                </w:rPr>
                <w:t>6</w:t>
              </w:r>
            </w:hyperlink>
          </w:p>
        </w:tc>
        <w:tc>
          <w:tcPr>
            <w:tcW w:w="0" w:type="dxa"/>
            <w:vAlign w:val="bottom"/>
          </w:tcPr>
          <w:p>
            <w:pPr>
              <w:spacing w:after="0"/>
              <w:rPr>
                <w:sz w:val="1"/>
                <w:szCs w:val="1"/>
                <w:color w:val="auto"/>
              </w:rPr>
            </w:pPr>
          </w:p>
        </w:tc>
      </w:tr>
      <w:tr>
        <w:trPr>
          <w:trHeight w:val="634"/>
        </w:trPr>
        <w:tc>
          <w:tcPr>
            <w:tcW w:w="874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Supplemental Schedule:</w:t>
            </w:r>
          </w:p>
        </w:tc>
        <w:tc>
          <w:tcPr>
            <w:tcW w:w="2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740" w:type="dxa"/>
            <w:vAlign w:val="bottom"/>
            <w:gridSpan w:val="3"/>
          </w:tcPr>
          <w:p>
            <w:pPr>
              <w:ind w:left="240"/>
              <w:spacing w:after="0"/>
              <w:rPr>
                <w:sz w:val="20"/>
                <w:szCs w:val="20"/>
                <w:color w:val="auto"/>
              </w:rPr>
            </w:pPr>
            <w:r>
              <w:rPr>
                <w:rFonts w:ascii="Times New Roman" w:cs="Times New Roman" w:eastAsia="Times New Roman" w:hAnsi="Times New Roman"/>
                <w:sz w:val="20"/>
                <w:szCs w:val="20"/>
                <w:color w:val="auto"/>
              </w:rPr>
              <w:t>Schedule H, Line 4i - Schedule of Assets (Held at End of Year)</w:t>
            </w: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20">
              <w:r>
                <w:rPr>
                  <w:rFonts w:ascii="Times New Roman" w:cs="Times New Roman" w:eastAsia="Times New Roman" w:hAnsi="Times New Roman"/>
                  <w:sz w:val="20"/>
                  <w:szCs w:val="20"/>
                  <w:color w:val="0000EE"/>
                </w:rPr>
                <w:t>21</w:t>
              </w:r>
            </w:hyperlink>
          </w:p>
        </w:tc>
        <w:tc>
          <w:tcPr>
            <w:tcW w:w="0" w:type="dxa"/>
            <w:vAlign w:val="bottom"/>
          </w:tcPr>
          <w:p>
            <w:pPr>
              <w:spacing w:after="0"/>
              <w:rPr>
                <w:sz w:val="1"/>
                <w:szCs w:val="1"/>
                <w:color w:val="auto"/>
              </w:rPr>
            </w:pPr>
          </w:p>
        </w:tc>
      </w:tr>
      <w:tr>
        <w:trPr>
          <w:trHeight w:val="20"/>
        </w:trPr>
        <w:tc>
          <w:tcPr>
            <w:tcW w:w="8740" w:type="dxa"/>
            <w:vAlign w:val="bottom"/>
            <w:gridSpan w:val="3"/>
            <w:vMerge w:val="restart"/>
          </w:tcPr>
          <w:p>
            <w:pPr>
              <w:spacing w:after="0"/>
              <w:rPr>
                <w:sz w:val="20"/>
                <w:szCs w:val="20"/>
                <w:color w:val="auto"/>
              </w:rPr>
            </w:pPr>
            <w:r>
              <w:rPr>
                <w:rFonts w:ascii="Times New Roman" w:cs="Times New Roman" w:eastAsia="Times New Roman" w:hAnsi="Times New Roman"/>
                <w:sz w:val="20"/>
                <w:szCs w:val="20"/>
                <w:b w:val="1"/>
                <w:bCs w:val="1"/>
                <w:color w:val="auto"/>
              </w:rPr>
              <w:t>Signature</w:t>
            </w:r>
          </w:p>
        </w:tc>
        <w:tc>
          <w:tcPr>
            <w:tcW w:w="2420" w:type="dxa"/>
            <w:vAlign w:val="bottom"/>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8"/>
        </w:trPr>
        <w:tc>
          <w:tcPr>
            <w:tcW w:w="8740" w:type="dxa"/>
            <w:vAlign w:val="bottom"/>
            <w:gridSpan w:val="3"/>
            <w:vMerge w:val="continue"/>
          </w:tcPr>
          <w:p>
            <w:pPr>
              <w:spacing w:after="0"/>
              <w:rPr>
                <w:sz w:val="24"/>
                <w:szCs w:val="24"/>
                <w:color w:val="auto"/>
              </w:rPr>
            </w:pP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23">
              <w:r>
                <w:rPr>
                  <w:rFonts w:ascii="Times New Roman" w:cs="Times New Roman" w:eastAsia="Times New Roman" w:hAnsi="Times New Roman"/>
                  <w:sz w:val="20"/>
                  <w:szCs w:val="20"/>
                  <w:color w:val="0000EE"/>
                </w:rPr>
                <w:t>24</w:t>
              </w:r>
            </w:hyperlink>
          </w:p>
        </w:tc>
        <w:tc>
          <w:tcPr>
            <w:tcW w:w="0" w:type="dxa"/>
            <w:vAlign w:val="bottom"/>
          </w:tcPr>
          <w:p>
            <w:pPr>
              <w:spacing w:after="0"/>
              <w:rPr>
                <w:sz w:val="1"/>
                <w:szCs w:val="1"/>
                <w:color w:val="auto"/>
              </w:rPr>
            </w:pPr>
          </w:p>
        </w:tc>
      </w:tr>
      <w:tr>
        <w:trPr>
          <w:trHeight w:val="20"/>
        </w:trPr>
        <w:tc>
          <w:tcPr>
            <w:tcW w:w="8740" w:type="dxa"/>
            <w:vAlign w:val="bottom"/>
            <w:gridSpan w:val="3"/>
            <w:vMerge w:val="restart"/>
          </w:tcPr>
          <w:p>
            <w:pPr>
              <w:spacing w:after="0"/>
              <w:rPr>
                <w:sz w:val="20"/>
                <w:szCs w:val="20"/>
                <w:color w:val="auto"/>
              </w:rPr>
            </w:pPr>
            <w:r>
              <w:rPr>
                <w:rFonts w:ascii="Times New Roman" w:cs="Times New Roman" w:eastAsia="Times New Roman" w:hAnsi="Times New Roman"/>
                <w:sz w:val="20"/>
                <w:szCs w:val="20"/>
                <w:b w:val="1"/>
                <w:bCs w:val="1"/>
                <w:color w:val="auto"/>
              </w:rPr>
              <w:t>Exhibit Index</w:t>
            </w:r>
          </w:p>
        </w:tc>
        <w:tc>
          <w:tcPr>
            <w:tcW w:w="2420" w:type="dxa"/>
            <w:vAlign w:val="bottom"/>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8"/>
        </w:trPr>
        <w:tc>
          <w:tcPr>
            <w:tcW w:w="8740" w:type="dxa"/>
            <w:vAlign w:val="bottom"/>
            <w:gridSpan w:val="3"/>
            <w:vMerge w:val="continue"/>
          </w:tcPr>
          <w:p>
            <w:pPr>
              <w:spacing w:after="0"/>
              <w:rPr>
                <w:sz w:val="24"/>
                <w:szCs w:val="24"/>
                <w:color w:val="auto"/>
              </w:rPr>
            </w:pPr>
          </w:p>
        </w:tc>
        <w:tc>
          <w:tcPr>
            <w:tcW w:w="2620" w:type="dxa"/>
            <w:vAlign w:val="bottom"/>
            <w:gridSpan w:val="3"/>
          </w:tcPr>
          <w:p>
            <w:pPr>
              <w:jc w:val="right"/>
              <w:spacing w:after="0"/>
              <w:rPr>
                <w:rFonts w:ascii="Times New Roman" w:cs="Times New Roman" w:eastAsia="Times New Roman" w:hAnsi="Times New Roman"/>
                <w:sz w:val="20"/>
                <w:szCs w:val="20"/>
                <w:color w:val="0000EE"/>
              </w:rPr>
            </w:pPr>
            <w:hyperlink w:anchor="page24">
              <w:r>
                <w:rPr>
                  <w:rFonts w:ascii="Times New Roman" w:cs="Times New Roman" w:eastAsia="Times New Roman" w:hAnsi="Times New Roman"/>
                  <w:sz w:val="20"/>
                  <w:szCs w:val="20"/>
                  <w:color w:val="0000EE"/>
                </w:rPr>
                <w:t>25</w:t>
              </w:r>
            </w:hyperlink>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3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 of 26</w:t>
      </w:r>
    </w:p>
    <w:p>
      <w:pPr>
        <w:sectPr>
          <w:pgSz w:w="11900" w:h="16838" w:orient="portrait"/>
          <w:cols w:equalWidth="0" w:num="1">
            <w:col w:w="11380"/>
          </w:cols>
          <w:pgMar w:left="280" w:top="342" w:right="2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5"/>
          <w:szCs w:val="25"/>
          <w:b w:val="1"/>
          <w:bCs w:val="1"/>
          <w:color w:val="auto"/>
        </w:rPr>
        <w:t>Report of Independent Registered Public Accounting Firm</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Benefit Plans Administration Committee</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Principal Life Insurance Company</w:t>
      </w:r>
    </w:p>
    <w:p>
      <w:pPr>
        <w:spacing w:after="0" w:line="223"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22"/>
          <w:szCs w:val="22"/>
          <w:color w:val="auto"/>
        </w:rPr>
        <w:t>We have audited the accompanying statements of net assets available for benefits of The Principal Select Savings Plan for Individual Field (the Plan) as of December 31, 2014 and 2013, and the related statement of changes in net assets available for benefits for the year ended December 31,</w:t>
      </w:r>
    </w:p>
    <w:p>
      <w:pPr>
        <w:jc w:val="both"/>
        <w:ind w:right="20"/>
        <w:spacing w:after="0" w:line="248" w:lineRule="auto"/>
        <w:rPr>
          <w:sz w:val="20"/>
          <w:szCs w:val="20"/>
          <w:color w:val="auto"/>
        </w:rPr>
      </w:pPr>
      <w:r>
        <w:rPr>
          <w:rFonts w:ascii="Times New Roman" w:cs="Times New Roman" w:eastAsia="Times New Roman" w:hAnsi="Times New Roman"/>
          <w:sz w:val="22"/>
          <w:szCs w:val="22"/>
          <w:color w:val="auto"/>
        </w:rPr>
        <w:t>2014. These financial statements are the responsibility of the Plan's management. Our responsibility is to express an opinion on these financial statements based on our audits.</w:t>
      </w:r>
    </w:p>
    <w:p>
      <w:pPr>
        <w:spacing w:after="0" w:line="223"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2"/>
          <w:szCs w:val="22"/>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We were not engaged to perform an audit of the Plan's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Plan's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232"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1"/>
          <w:szCs w:val="21"/>
          <w:color w:val="auto"/>
        </w:rPr>
        <w:t>In our opinion, the financial statements referred to above present fairly, in all material respects, the net assets available for benefits of The Principal Select Savings Plan for Individual Field at December 31, 2014 and 2013, and the changes in its net assets available for benefits for the year ended December 31, 2014, in conformity with U.S. generally accepted accounting principles.</w:t>
      </w:r>
    </w:p>
    <w:p>
      <w:pPr>
        <w:spacing w:after="0" w:line="196"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2"/>
          <w:szCs w:val="22"/>
          <w:color w:val="auto"/>
        </w:rPr>
        <w:t>The accompanying supplemental schedule of assets (held at end of year) at December 31, 2014, for the year then ended, has been subject to audit procedures performed in conjunction with the audit of the Principal Select Savings Plan for Individual Field financial statements. The information in the supplemental schedule is the responsibility of the Plan’s management. Our audit procedures included determining whether the information reconciles to the financial statements or the underlying accounting and other records, as applicable, and performing procedures to test the completeness and accuracy of the information presented in the supplemental schedule. In forming an opinion on the information, we evaluated whether such information, including its form and content, is presented in conformity with the Department of Labor’s Rules and Regulations for Reporting and Disclosure under the Employee Retirement Income Security Act of 1974. In our opinion, the information is fairly stated, in all material respects, in relation to the financial statements as a whole.</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/s/ Ernst &amp; Young LLP</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Des Moines, Iowa</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23, 2015</w:t>
      </w:r>
    </w:p>
    <w:p>
      <w:pPr>
        <w:spacing w:after="0" w:line="2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3 of 26</w:t>
      </w:r>
    </w:p>
    <w:p>
      <w:pPr>
        <w:sectPr>
          <w:pgSz w:w="11900" w:h="16838" w:orient="portrait"/>
          <w:cols w:equalWidth="0" w:num="1">
            <w:col w:w="11420"/>
          </w:cols>
          <w:pgMar w:left="240" w:top="799" w:right="2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Statements of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7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40" w:type="dxa"/>
            <w:vAlign w:val="bottom"/>
            <w:gridSpan w:val="2"/>
          </w:tcPr>
          <w:p>
            <w:pPr>
              <w:jc w:val="right"/>
              <w:spacing w:after="0"/>
              <w:rPr>
                <w:sz w:val="20"/>
                <w:szCs w:val="20"/>
                <w:color w:val="auto"/>
              </w:rPr>
            </w:pPr>
            <w:r>
              <w:rPr>
                <w:rFonts w:ascii="Times New Roman" w:cs="Times New Roman" w:eastAsia="Times New Roman" w:hAnsi="Times New Roman"/>
                <w:sz w:val="22"/>
                <w:szCs w:val="22"/>
                <w:b w:val="1"/>
                <w:bCs w:val="1"/>
                <w:color w:val="auto"/>
              </w:rPr>
              <w:t>December 31,</w:t>
            </w: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420" w:type="dxa"/>
            <w:vAlign w:val="bottom"/>
            <w:tcBorders>
              <w:bottom w:val="single" w:sz="8" w:color="CCEEFF"/>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ind w:right="654"/>
              <w:spacing w:after="0"/>
              <w:rPr>
                <w:sz w:val="20"/>
                <w:szCs w:val="20"/>
                <w:color w:val="auto"/>
              </w:rPr>
            </w:pPr>
            <w:r>
              <w:rPr>
                <w:rFonts w:ascii="Times New Roman" w:cs="Times New Roman" w:eastAsia="Times New Roman" w:hAnsi="Times New Roman"/>
                <w:sz w:val="22"/>
                <w:szCs w:val="22"/>
                <w:b w:val="1"/>
                <w:bCs w:val="1"/>
                <w:color w:val="auto"/>
              </w:rPr>
              <w:t>2014</w:t>
            </w:r>
          </w:p>
        </w:tc>
        <w:tc>
          <w:tcPr>
            <w:tcW w:w="74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ind w:right="672"/>
              <w:spacing w:after="0"/>
              <w:rPr>
                <w:sz w:val="20"/>
                <w:szCs w:val="20"/>
                <w:color w:val="auto"/>
              </w:rPr>
            </w:pPr>
            <w:r>
              <w:rPr>
                <w:rFonts w:ascii="Times New Roman" w:cs="Times New Roman" w:eastAsia="Times New Roman" w:hAnsi="Times New Roman"/>
                <w:sz w:val="22"/>
                <w:szCs w:val="22"/>
                <w:b w:val="1"/>
                <w:bCs w:val="1"/>
                <w:color w:val="auto"/>
              </w:rPr>
              <w:t>2013</w:t>
            </w:r>
          </w:p>
        </w:tc>
        <w:tc>
          <w:tcPr>
            <w:tcW w:w="0" w:type="dxa"/>
            <w:vAlign w:val="bottom"/>
          </w:tcPr>
          <w:p>
            <w:pPr>
              <w:spacing w:after="0"/>
              <w:rPr>
                <w:sz w:val="1"/>
                <w:szCs w:val="1"/>
                <w:color w:val="auto"/>
              </w:rPr>
            </w:pPr>
          </w:p>
        </w:tc>
      </w:tr>
      <w:tr>
        <w:trPr>
          <w:trHeight w:val="284"/>
        </w:trPr>
        <w:tc>
          <w:tcPr>
            <w:tcW w:w="74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b w:val="1"/>
                <w:bCs w:val="1"/>
                <w:color w:val="auto"/>
              </w:rPr>
              <w:t>Assets</w:t>
            </w: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74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Investments at fair value:</w:t>
            </w:r>
          </w:p>
        </w:tc>
        <w:tc>
          <w:tcPr>
            <w:tcW w:w="4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Unallocated investment options:</w:t>
            </w: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742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Guaranteed interest accounts</w:t>
            </w:r>
          </w:p>
        </w:tc>
        <w:tc>
          <w:tcPr>
            <w:tcW w:w="480" w:type="dxa"/>
            <w:vAlign w:val="bottom"/>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5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2,150,729</w:t>
            </w:r>
          </w:p>
        </w:tc>
        <w:tc>
          <w:tcPr>
            <w:tcW w:w="740" w:type="dxa"/>
            <w:vAlign w:val="bottom"/>
          </w:tcPr>
          <w:p>
            <w:pPr>
              <w:jc w:val="right"/>
              <w:ind w:right="412"/>
              <w:spacing w:after="0"/>
              <w:rPr>
                <w:sz w:val="20"/>
                <w:szCs w:val="20"/>
                <w:color w:val="auto"/>
              </w:rPr>
            </w:pPr>
            <w:r>
              <w:rPr>
                <w:rFonts w:ascii="Times New Roman" w:cs="Times New Roman" w:eastAsia="Times New Roman" w:hAnsi="Times New Roman"/>
                <w:sz w:val="22"/>
                <w:szCs w:val="22"/>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2,119,758</w:t>
            </w:r>
          </w:p>
        </w:tc>
        <w:tc>
          <w:tcPr>
            <w:tcW w:w="0" w:type="dxa"/>
            <w:vAlign w:val="bottom"/>
          </w:tcPr>
          <w:p>
            <w:pPr>
              <w:spacing w:after="0"/>
              <w:rPr>
                <w:sz w:val="1"/>
                <w:szCs w:val="1"/>
                <w:color w:val="auto"/>
              </w:rPr>
            </w:pPr>
          </w:p>
        </w:tc>
      </w:tr>
      <w:tr>
        <w:trPr>
          <w:trHeight w:val="302"/>
        </w:trPr>
        <w:tc>
          <w:tcPr>
            <w:tcW w:w="74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2"/>
                <w:szCs w:val="22"/>
                <w:color w:val="auto"/>
              </w:rPr>
              <w:t>Separate accounts</w:t>
            </w: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140,113,526</w:t>
            </w: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130,547,356</w:t>
            </w:r>
          </w:p>
        </w:tc>
        <w:tc>
          <w:tcPr>
            <w:tcW w:w="0" w:type="dxa"/>
            <w:vAlign w:val="bottom"/>
          </w:tcPr>
          <w:p>
            <w:pPr>
              <w:spacing w:after="0"/>
              <w:rPr>
                <w:sz w:val="1"/>
                <w:szCs w:val="1"/>
                <w:color w:val="auto"/>
              </w:rPr>
            </w:pPr>
          </w:p>
        </w:tc>
      </w:tr>
      <w:tr>
        <w:trPr>
          <w:trHeight w:val="292"/>
        </w:trPr>
        <w:tc>
          <w:tcPr>
            <w:tcW w:w="742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Principal Financial Group, Inc. ESOP</w:t>
            </w:r>
          </w:p>
        </w:tc>
        <w:tc>
          <w:tcPr>
            <w:tcW w:w="48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19,279,179</w:t>
            </w:r>
          </w:p>
        </w:tc>
        <w:tc>
          <w:tcPr>
            <w:tcW w:w="74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18,210,353</w:t>
            </w:r>
          </w:p>
        </w:tc>
        <w:tc>
          <w:tcPr>
            <w:tcW w:w="0" w:type="dxa"/>
            <w:vAlign w:val="bottom"/>
          </w:tcPr>
          <w:p>
            <w:pPr>
              <w:spacing w:after="0"/>
              <w:rPr>
                <w:sz w:val="1"/>
                <w:szCs w:val="1"/>
                <w:color w:val="auto"/>
              </w:rPr>
            </w:pPr>
          </w:p>
        </w:tc>
      </w:tr>
      <w:tr>
        <w:trPr>
          <w:trHeight w:val="248"/>
        </w:trPr>
        <w:tc>
          <w:tcPr>
            <w:tcW w:w="7420" w:type="dxa"/>
            <w:vAlign w:val="bottom"/>
            <w:shd w:val="clear" w:color="auto" w:fill="CCEEFF"/>
          </w:tcPr>
          <w:p>
            <w:pPr>
              <w:ind w:left="220"/>
              <w:spacing w:after="0" w:line="248" w:lineRule="exact"/>
              <w:rPr>
                <w:sz w:val="20"/>
                <w:szCs w:val="20"/>
                <w:color w:val="auto"/>
              </w:rPr>
            </w:pPr>
            <w:r>
              <w:rPr>
                <w:rFonts w:ascii="Times New Roman" w:cs="Times New Roman" w:eastAsia="Times New Roman" w:hAnsi="Times New Roman"/>
                <w:sz w:val="22"/>
                <w:szCs w:val="22"/>
                <w:color w:val="auto"/>
              </w:rPr>
              <w:t>Plan interest in Principal Select Savings Stable</w:t>
            </w:r>
          </w:p>
        </w:tc>
        <w:tc>
          <w:tcPr>
            <w:tcW w:w="480" w:type="dxa"/>
            <w:vAlign w:val="bottom"/>
            <w:shd w:val="clear" w:color="auto" w:fill="CCEEFF"/>
          </w:tcPr>
          <w:p>
            <w:pPr>
              <w:spacing w:after="0"/>
              <w:rPr>
                <w:sz w:val="21"/>
                <w:szCs w:val="21"/>
                <w:color w:val="auto"/>
              </w:rPr>
            </w:pPr>
          </w:p>
        </w:tc>
        <w:tc>
          <w:tcPr>
            <w:tcW w:w="15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9,885,667</w:t>
            </w:r>
          </w:p>
        </w:tc>
        <w:tc>
          <w:tcPr>
            <w:tcW w:w="7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8"/>
        </w:trPr>
        <w:tc>
          <w:tcPr>
            <w:tcW w:w="742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22"/>
                <w:szCs w:val="22"/>
                <w:color w:val="auto"/>
              </w:rPr>
              <w:t>Value Master Trust</w:t>
            </w:r>
          </w:p>
        </w:tc>
        <w:tc>
          <w:tcPr>
            <w:tcW w:w="480" w:type="dxa"/>
            <w:vAlign w:val="bottom"/>
            <w:tcBorders>
              <w:bottom w:val="single" w:sz="8" w:color="auto"/>
            </w:tcBorders>
            <w:shd w:val="clear" w:color="auto" w:fill="CCEEFF"/>
          </w:tcPr>
          <w:p>
            <w:pPr>
              <w:spacing w:after="0"/>
              <w:rPr>
                <w:sz w:val="24"/>
                <w:szCs w:val="24"/>
                <w:color w:val="auto"/>
              </w:rPr>
            </w:pPr>
          </w:p>
        </w:tc>
        <w:tc>
          <w:tcPr>
            <w:tcW w:w="1500" w:type="dxa"/>
            <w:vAlign w:val="bottom"/>
            <w:tcBorders>
              <w:bottom w:val="single" w:sz="8" w:color="auto"/>
            </w:tcBorders>
            <w:vMerge w:val="continue"/>
            <w:shd w:val="clear" w:color="auto" w:fill="CCEEFF"/>
          </w:tcPr>
          <w:p>
            <w:pPr>
              <w:spacing w:after="0"/>
              <w:rPr>
                <w:sz w:val="24"/>
                <w:szCs w:val="24"/>
                <w:color w:val="auto"/>
              </w:rPr>
            </w:pPr>
          </w:p>
        </w:tc>
        <w:tc>
          <w:tcPr>
            <w:tcW w:w="74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11,103,385</w:t>
            </w:r>
          </w:p>
        </w:tc>
        <w:tc>
          <w:tcPr>
            <w:tcW w:w="0" w:type="dxa"/>
            <w:vAlign w:val="bottom"/>
          </w:tcPr>
          <w:p>
            <w:pPr>
              <w:spacing w:after="0"/>
              <w:rPr>
                <w:sz w:val="1"/>
                <w:szCs w:val="1"/>
                <w:color w:val="auto"/>
              </w:rPr>
            </w:pPr>
          </w:p>
        </w:tc>
      </w:tr>
      <w:tr>
        <w:trPr>
          <w:trHeight w:val="285"/>
        </w:trPr>
        <w:tc>
          <w:tcPr>
            <w:tcW w:w="74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Total invested assets at fair value</w:t>
            </w:r>
          </w:p>
        </w:tc>
        <w:tc>
          <w:tcPr>
            <w:tcW w:w="48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171,429,101</w:t>
            </w:r>
          </w:p>
        </w:tc>
        <w:tc>
          <w:tcPr>
            <w:tcW w:w="74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161,980,852</w:t>
            </w:r>
          </w:p>
        </w:tc>
        <w:tc>
          <w:tcPr>
            <w:tcW w:w="0" w:type="dxa"/>
            <w:vAlign w:val="bottom"/>
          </w:tcPr>
          <w:p>
            <w:pPr>
              <w:spacing w:after="0"/>
              <w:rPr>
                <w:sz w:val="1"/>
                <w:szCs w:val="1"/>
                <w:color w:val="auto"/>
              </w:rPr>
            </w:pPr>
          </w:p>
        </w:tc>
      </w:tr>
      <w:tr>
        <w:trPr>
          <w:trHeight w:val="302"/>
        </w:trPr>
        <w:tc>
          <w:tcPr>
            <w:tcW w:w="74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74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Receivables:</w:t>
            </w:r>
          </w:p>
        </w:tc>
        <w:tc>
          <w:tcPr>
            <w:tcW w:w="4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Contributions receivable from employer</w:t>
            </w: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230</w:t>
            </w: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130,964</w:t>
            </w:r>
          </w:p>
        </w:tc>
        <w:tc>
          <w:tcPr>
            <w:tcW w:w="0" w:type="dxa"/>
            <w:vAlign w:val="bottom"/>
          </w:tcPr>
          <w:p>
            <w:pPr>
              <w:spacing w:after="0"/>
              <w:rPr>
                <w:sz w:val="1"/>
                <w:szCs w:val="1"/>
                <w:color w:val="auto"/>
              </w:rPr>
            </w:pPr>
          </w:p>
        </w:tc>
      </w:tr>
      <w:tr>
        <w:trPr>
          <w:trHeight w:val="290"/>
        </w:trPr>
        <w:tc>
          <w:tcPr>
            <w:tcW w:w="742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Contributions receivable from participants</w:t>
            </w:r>
          </w:p>
        </w:tc>
        <w:tc>
          <w:tcPr>
            <w:tcW w:w="48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243,755</w:t>
            </w:r>
          </w:p>
        </w:tc>
        <w:tc>
          <w:tcPr>
            <w:tcW w:w="0" w:type="dxa"/>
            <w:vAlign w:val="bottom"/>
          </w:tcPr>
          <w:p>
            <w:pPr>
              <w:spacing w:after="0"/>
              <w:rPr>
                <w:sz w:val="1"/>
                <w:szCs w:val="1"/>
                <w:color w:val="auto"/>
              </w:rPr>
            </w:pPr>
          </w:p>
        </w:tc>
      </w:tr>
      <w:tr>
        <w:trPr>
          <w:trHeight w:val="304"/>
        </w:trPr>
        <w:tc>
          <w:tcPr>
            <w:tcW w:w="74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Notes receivable from participants</w:t>
            </w:r>
          </w:p>
        </w:tc>
        <w:tc>
          <w:tcPr>
            <w:tcW w:w="480" w:type="dxa"/>
            <w:vAlign w:val="bottom"/>
            <w:tcBorders>
              <w:bottom w:val="single" w:sz="8" w:color="auto"/>
            </w:tcBorders>
            <w:shd w:val="clear" w:color="auto" w:fill="CCEEFF"/>
          </w:tcPr>
          <w:p>
            <w:pPr>
              <w:spacing w:after="0"/>
              <w:rPr>
                <w:sz w:val="24"/>
                <w:szCs w:val="24"/>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3,064,032</w:t>
            </w:r>
          </w:p>
        </w:tc>
        <w:tc>
          <w:tcPr>
            <w:tcW w:w="74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2,485,025</w:t>
            </w:r>
          </w:p>
        </w:tc>
        <w:tc>
          <w:tcPr>
            <w:tcW w:w="0" w:type="dxa"/>
            <w:vAlign w:val="bottom"/>
          </w:tcPr>
          <w:p>
            <w:pPr>
              <w:spacing w:after="0"/>
              <w:rPr>
                <w:sz w:val="1"/>
                <w:szCs w:val="1"/>
                <w:color w:val="auto"/>
              </w:rPr>
            </w:pPr>
          </w:p>
        </w:tc>
      </w:tr>
      <w:tr>
        <w:trPr>
          <w:trHeight w:val="285"/>
        </w:trPr>
        <w:tc>
          <w:tcPr>
            <w:tcW w:w="74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22"/>
                <w:szCs w:val="22"/>
                <w:color w:val="auto"/>
              </w:rPr>
              <w:t>Total receivables</w:t>
            </w:r>
          </w:p>
        </w:tc>
        <w:tc>
          <w:tcPr>
            <w:tcW w:w="4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3,064,262</w:t>
            </w:r>
          </w:p>
        </w:tc>
        <w:tc>
          <w:tcPr>
            <w:tcW w:w="74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2,859,744</w:t>
            </w:r>
          </w:p>
        </w:tc>
        <w:tc>
          <w:tcPr>
            <w:tcW w:w="0" w:type="dxa"/>
            <w:vAlign w:val="bottom"/>
          </w:tcPr>
          <w:p>
            <w:pPr>
              <w:spacing w:after="0"/>
              <w:rPr>
                <w:sz w:val="1"/>
                <w:szCs w:val="1"/>
                <w:color w:val="auto"/>
              </w:rPr>
            </w:pPr>
          </w:p>
        </w:tc>
      </w:tr>
      <w:tr>
        <w:trPr>
          <w:trHeight w:val="296"/>
        </w:trPr>
        <w:tc>
          <w:tcPr>
            <w:tcW w:w="74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Net assets reflecting investments at fair value</w:t>
            </w:r>
          </w:p>
        </w:tc>
        <w:tc>
          <w:tcPr>
            <w:tcW w:w="480" w:type="dxa"/>
            <w:vAlign w:val="bottom"/>
            <w:shd w:val="clear" w:color="auto" w:fill="CCEEFF"/>
          </w:tcPr>
          <w:p>
            <w:pPr>
              <w:spacing w:after="0"/>
              <w:rPr>
                <w:sz w:val="24"/>
                <w:szCs w:val="24"/>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174,493,363</w:t>
            </w:r>
          </w:p>
        </w:tc>
        <w:tc>
          <w:tcPr>
            <w:tcW w:w="74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164,840,596</w:t>
            </w:r>
          </w:p>
        </w:tc>
        <w:tc>
          <w:tcPr>
            <w:tcW w:w="0" w:type="dxa"/>
            <w:vAlign w:val="bottom"/>
          </w:tcPr>
          <w:p>
            <w:pPr>
              <w:spacing w:after="0"/>
              <w:rPr>
                <w:sz w:val="1"/>
                <w:szCs w:val="1"/>
                <w:color w:val="auto"/>
              </w:rPr>
            </w:pPr>
          </w:p>
        </w:tc>
      </w:tr>
      <w:tr>
        <w:trPr>
          <w:trHeight w:val="243"/>
        </w:trPr>
        <w:tc>
          <w:tcPr>
            <w:tcW w:w="7420" w:type="dxa"/>
            <w:vAlign w:val="bottom"/>
          </w:tcPr>
          <w:p>
            <w:pPr>
              <w:ind w:left="40"/>
              <w:spacing w:after="0" w:line="243" w:lineRule="exact"/>
              <w:rPr>
                <w:sz w:val="20"/>
                <w:szCs w:val="20"/>
                <w:color w:val="auto"/>
              </w:rPr>
            </w:pPr>
            <w:r>
              <w:rPr>
                <w:rFonts w:ascii="Times New Roman" w:cs="Times New Roman" w:eastAsia="Times New Roman" w:hAnsi="Times New Roman"/>
                <w:sz w:val="22"/>
                <w:szCs w:val="22"/>
                <w:color w:val="auto"/>
              </w:rPr>
              <w:t>Adjustments from fair value to contract value for a fully</w:t>
            </w:r>
          </w:p>
        </w:tc>
        <w:tc>
          <w:tcPr>
            <w:tcW w:w="480" w:type="dxa"/>
            <w:vAlign w:val="bottom"/>
          </w:tcPr>
          <w:p>
            <w:pPr>
              <w:spacing w:after="0"/>
              <w:rPr>
                <w:sz w:val="21"/>
                <w:szCs w:val="21"/>
                <w:color w:val="auto"/>
              </w:rPr>
            </w:pPr>
          </w:p>
        </w:tc>
        <w:tc>
          <w:tcPr>
            <w:tcW w:w="15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rPr>
              <w:t>(2,696)</w:t>
            </w:r>
          </w:p>
        </w:tc>
        <w:tc>
          <w:tcPr>
            <w:tcW w:w="74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1"/>
        </w:trPr>
        <w:tc>
          <w:tcPr>
            <w:tcW w:w="7420" w:type="dxa"/>
            <w:vAlign w:val="bottom"/>
            <w:tcBorders>
              <w:bottom w:val="single" w:sz="8" w:color="CCEEFF"/>
            </w:tcBorders>
          </w:tcPr>
          <w:p>
            <w:pPr>
              <w:ind w:left="200"/>
              <w:spacing w:after="0"/>
              <w:rPr>
                <w:sz w:val="20"/>
                <w:szCs w:val="20"/>
                <w:color w:val="auto"/>
              </w:rPr>
            </w:pPr>
            <w:r>
              <w:rPr>
                <w:rFonts w:ascii="Times New Roman" w:cs="Times New Roman" w:eastAsia="Times New Roman" w:hAnsi="Times New Roman"/>
                <w:sz w:val="22"/>
                <w:szCs w:val="22"/>
                <w:color w:val="auto"/>
              </w:rPr>
              <w:t>benefit-responsive investment contract</w:t>
            </w:r>
          </w:p>
        </w:tc>
        <w:tc>
          <w:tcPr>
            <w:tcW w:w="4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vMerge w:val="continue"/>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66,328</w:t>
            </w:r>
          </w:p>
        </w:tc>
        <w:tc>
          <w:tcPr>
            <w:tcW w:w="0" w:type="dxa"/>
            <w:vAlign w:val="bottom"/>
          </w:tcPr>
          <w:p>
            <w:pPr>
              <w:spacing w:after="0"/>
              <w:rPr>
                <w:sz w:val="1"/>
                <w:szCs w:val="1"/>
                <w:color w:val="auto"/>
              </w:rPr>
            </w:pPr>
          </w:p>
        </w:tc>
      </w:tr>
      <w:tr>
        <w:trPr>
          <w:trHeight w:val="292"/>
        </w:trPr>
        <w:tc>
          <w:tcPr>
            <w:tcW w:w="74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Net assets available for benefits</w:t>
            </w:r>
          </w:p>
        </w:tc>
        <w:tc>
          <w:tcPr>
            <w:tcW w:w="4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174,490,667</w:t>
            </w:r>
          </w:p>
        </w:tc>
        <w:tc>
          <w:tcPr>
            <w:tcW w:w="740" w:type="dxa"/>
            <w:vAlign w:val="bottom"/>
            <w:tcBorders>
              <w:bottom w:val="single" w:sz="8" w:color="auto"/>
            </w:tcBorders>
            <w:shd w:val="clear" w:color="auto" w:fill="CCEEFF"/>
          </w:tcPr>
          <w:p>
            <w:pPr>
              <w:jc w:val="right"/>
              <w:ind w:right="412"/>
              <w:spacing w:after="0"/>
              <w:rPr>
                <w:sz w:val="20"/>
                <w:szCs w:val="20"/>
                <w:color w:val="auto"/>
              </w:rPr>
            </w:pPr>
            <w:r>
              <w:rPr>
                <w:rFonts w:ascii="Times New Roman" w:cs="Times New Roman" w:eastAsia="Times New Roman" w:hAnsi="Times New Roman"/>
                <w:sz w:val="22"/>
                <w:szCs w:val="22"/>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164,906,924</w:t>
            </w:r>
          </w:p>
        </w:tc>
        <w:tc>
          <w:tcPr>
            <w:tcW w:w="0" w:type="dxa"/>
            <w:vAlign w:val="bottom"/>
          </w:tcPr>
          <w:p>
            <w:pPr>
              <w:spacing w:after="0"/>
              <w:rPr>
                <w:sz w:val="1"/>
                <w:szCs w:val="1"/>
                <w:color w:val="auto"/>
              </w:rPr>
            </w:pPr>
          </w:p>
        </w:tc>
      </w:tr>
      <w:tr>
        <w:trPr>
          <w:trHeight w:val="20"/>
        </w:trPr>
        <w:tc>
          <w:tcPr>
            <w:tcW w:w="74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4 of 26</w:t>
      </w:r>
    </w:p>
    <w:p>
      <w:pPr>
        <w:sectPr>
          <w:pgSz w:w="11900" w:h="16838" w:orient="portrait"/>
          <w:cols w:equalWidth="0" w:num="1">
            <w:col w:w="11420"/>
          </w:cols>
          <w:pgMar w:left="240" w:top="576" w:right="2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Statement of Changes in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360" w:type="dxa"/>
            <w:vAlign w:val="bottom"/>
          </w:tcPr>
          <w:p>
            <w:pPr>
              <w:spacing w:after="0"/>
              <w:rPr>
                <w:sz w:val="22"/>
                <w:szCs w:val="22"/>
                <w:color w:val="auto"/>
              </w:rPr>
            </w:pPr>
          </w:p>
        </w:tc>
        <w:tc>
          <w:tcPr>
            <w:tcW w:w="200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auto"/>
              </w:rPr>
              <w:t>For the year ended</w:t>
            </w:r>
          </w:p>
        </w:tc>
      </w:tr>
      <w:tr>
        <w:trPr>
          <w:trHeight w:val="287"/>
        </w:trPr>
        <w:tc>
          <w:tcPr>
            <w:tcW w:w="9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20" w:type="dxa"/>
            <w:vAlign w:val="bottom"/>
          </w:tcPr>
          <w:p>
            <w:pPr>
              <w:jc w:val="right"/>
              <w:ind w:right="252"/>
              <w:spacing w:after="0"/>
              <w:rPr>
                <w:sz w:val="20"/>
                <w:szCs w:val="20"/>
                <w:color w:val="auto"/>
              </w:rPr>
            </w:pPr>
            <w:r>
              <w:rPr>
                <w:rFonts w:ascii="Times New Roman" w:cs="Times New Roman" w:eastAsia="Times New Roman" w:hAnsi="Times New Roman"/>
                <w:sz w:val="22"/>
                <w:szCs w:val="22"/>
                <w:b w:val="1"/>
                <w:bCs w:val="1"/>
                <w:color w:val="auto"/>
              </w:rPr>
              <w:t>December 31,</w:t>
            </w:r>
          </w:p>
        </w:tc>
      </w:tr>
      <w:tr>
        <w:trPr>
          <w:trHeight w:val="306"/>
        </w:trPr>
        <w:tc>
          <w:tcPr>
            <w:tcW w:w="936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right"/>
              <w:ind w:right="672"/>
              <w:spacing w:after="0"/>
              <w:rPr>
                <w:sz w:val="20"/>
                <w:szCs w:val="20"/>
                <w:color w:val="auto"/>
              </w:rPr>
            </w:pPr>
            <w:r>
              <w:rPr>
                <w:rFonts w:ascii="Times New Roman" w:cs="Times New Roman" w:eastAsia="Times New Roman" w:hAnsi="Times New Roman"/>
                <w:sz w:val="22"/>
                <w:szCs w:val="22"/>
                <w:b w:val="1"/>
                <w:bCs w:val="1"/>
                <w:color w:val="auto"/>
              </w:rPr>
              <w:t>2014</w:t>
            </w:r>
          </w:p>
        </w:tc>
      </w:tr>
      <w:tr>
        <w:trPr>
          <w:trHeight w:val="284"/>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b w:val="1"/>
                <w:bCs w:val="1"/>
                <w:color w:val="auto"/>
              </w:rPr>
              <w:t>Additions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90"/>
        </w:trPr>
        <w:tc>
          <w:tcPr>
            <w:tcW w:w="93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Investment income:</w:t>
            </w: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304"/>
        </w:trPr>
        <w:tc>
          <w:tcPr>
            <w:tcW w:w="93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Interest</w:t>
            </w:r>
          </w:p>
        </w:tc>
        <w:tc>
          <w:tcPr>
            <w:tcW w:w="280" w:type="dxa"/>
            <w:vAlign w:val="bottom"/>
            <w:shd w:val="clear" w:color="auto" w:fill="CCEEFF"/>
          </w:tcPr>
          <w:p>
            <w:pPr>
              <w:ind w:left="80"/>
              <w:spacing w:after="0"/>
              <w:rPr>
                <w:sz w:val="20"/>
                <w:szCs w:val="20"/>
                <w:color w:val="auto"/>
              </w:rPr>
            </w:pPr>
            <w:r>
              <w:rPr>
                <w:rFonts w:ascii="Times New Roman" w:cs="Times New Roman" w:eastAsia="Times New Roman" w:hAnsi="Times New Roman"/>
                <w:sz w:val="22"/>
                <w:szCs w:val="22"/>
                <w:color w:val="auto"/>
              </w:rPr>
              <w:t>$</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27,986</w:t>
            </w:r>
          </w:p>
        </w:tc>
      </w:tr>
      <w:tr>
        <w:trPr>
          <w:trHeight w:val="290"/>
        </w:trPr>
        <w:tc>
          <w:tcPr>
            <w:tcW w:w="9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Dividends</w:t>
            </w:r>
          </w:p>
        </w:tc>
        <w:tc>
          <w:tcPr>
            <w:tcW w:w="2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475,232</w:t>
            </w:r>
          </w:p>
        </w:tc>
      </w:tr>
      <w:tr>
        <w:trPr>
          <w:trHeight w:val="304"/>
        </w:trPr>
        <w:tc>
          <w:tcPr>
            <w:tcW w:w="93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Net appreciation of investments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10,741,684</w:t>
            </w:r>
          </w:p>
        </w:tc>
      </w:tr>
      <w:tr>
        <w:trPr>
          <w:trHeight w:val="291"/>
        </w:trPr>
        <w:tc>
          <w:tcPr>
            <w:tcW w:w="936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2"/>
                <w:szCs w:val="22"/>
                <w:color w:val="auto"/>
              </w:rPr>
              <w:t>Interest in Principal Select Savings Stable Value Master Trust</w:t>
            </w: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110,842</w:t>
            </w:r>
          </w:p>
        </w:tc>
      </w:tr>
      <w:tr>
        <w:trPr>
          <w:trHeight w:val="297"/>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Total investment income</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11,355,744</w:t>
            </w:r>
          </w:p>
        </w:tc>
      </w:tr>
      <w:tr>
        <w:trPr>
          <w:trHeight w:val="297"/>
        </w:trPr>
        <w:tc>
          <w:tcPr>
            <w:tcW w:w="9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97"/>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Interest income on notes receivable from participants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119,239</w:t>
            </w:r>
          </w:p>
        </w:tc>
      </w:tr>
      <w:tr>
        <w:trPr>
          <w:trHeight w:val="297"/>
        </w:trPr>
        <w:tc>
          <w:tcPr>
            <w:tcW w:w="9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97"/>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Contributions: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90"/>
        </w:trPr>
        <w:tc>
          <w:tcPr>
            <w:tcW w:w="9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Employer</w:t>
            </w:r>
          </w:p>
        </w:tc>
        <w:tc>
          <w:tcPr>
            <w:tcW w:w="2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3,390,483</w:t>
            </w:r>
          </w:p>
        </w:tc>
      </w:tr>
      <w:tr>
        <w:trPr>
          <w:trHeight w:val="304"/>
        </w:trPr>
        <w:tc>
          <w:tcPr>
            <w:tcW w:w="93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2"/>
                <w:szCs w:val="22"/>
                <w:color w:val="auto"/>
              </w:rPr>
              <w:t>Participants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8,282,857</w:t>
            </w:r>
          </w:p>
        </w:tc>
      </w:tr>
      <w:tr>
        <w:trPr>
          <w:trHeight w:val="291"/>
        </w:trPr>
        <w:tc>
          <w:tcPr>
            <w:tcW w:w="936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2"/>
                <w:szCs w:val="22"/>
                <w:color w:val="auto"/>
              </w:rPr>
              <w:t>Transfers from affiliated and unaffiliated plans, net</w:t>
            </w: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2,304,819</w:t>
            </w:r>
          </w:p>
        </w:tc>
      </w:tr>
      <w:tr>
        <w:trPr>
          <w:trHeight w:val="297"/>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Total contributions</w:t>
            </w:r>
          </w:p>
        </w:tc>
        <w:tc>
          <w:tcPr>
            <w:tcW w:w="280" w:type="dxa"/>
            <w:vAlign w:val="bottom"/>
            <w:tcBorders>
              <w:bottom w:val="single" w:sz="8" w:color="auto"/>
            </w:tcBorders>
            <w:shd w:val="clear" w:color="auto" w:fill="CCEEFF"/>
          </w:tcPr>
          <w:p>
            <w:pPr>
              <w:spacing w:after="0"/>
              <w:rPr>
                <w:sz w:val="24"/>
                <w:szCs w:val="24"/>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13,978,159</w:t>
            </w:r>
          </w:p>
        </w:tc>
      </w:tr>
      <w:tr>
        <w:trPr>
          <w:trHeight w:val="283"/>
        </w:trPr>
        <w:tc>
          <w:tcPr>
            <w:tcW w:w="93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Total additions</w:t>
            </w:r>
          </w:p>
        </w:tc>
        <w:tc>
          <w:tcPr>
            <w:tcW w:w="2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25,453,142</w:t>
            </w:r>
          </w:p>
        </w:tc>
      </w:tr>
      <w:tr>
        <w:trPr>
          <w:trHeight w:val="304"/>
        </w:trPr>
        <w:tc>
          <w:tcPr>
            <w:tcW w:w="93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92"/>
        </w:trPr>
        <w:tc>
          <w:tcPr>
            <w:tcW w:w="9360" w:type="dxa"/>
            <w:vAlign w:val="bottom"/>
          </w:tcPr>
          <w:p>
            <w:pPr>
              <w:ind w:left="40"/>
              <w:spacing w:after="0"/>
              <w:rPr>
                <w:sz w:val="20"/>
                <w:szCs w:val="20"/>
                <w:color w:val="auto"/>
              </w:rPr>
            </w:pPr>
            <w:r>
              <w:rPr>
                <w:rFonts w:ascii="Times New Roman" w:cs="Times New Roman" w:eastAsia="Times New Roman" w:hAnsi="Times New Roman"/>
                <w:sz w:val="22"/>
                <w:szCs w:val="22"/>
                <w:b w:val="1"/>
                <w:bCs w:val="1"/>
                <w:color w:val="auto"/>
              </w:rPr>
              <w:t>Deductions</w:t>
            </w: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302"/>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Benefits paid to participants</w:t>
            </w: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15,836,733</w:t>
            </w:r>
          </w:p>
        </w:tc>
      </w:tr>
      <w:tr>
        <w:trPr>
          <w:trHeight w:val="291"/>
        </w:trPr>
        <w:tc>
          <w:tcPr>
            <w:tcW w:w="936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22"/>
                <w:szCs w:val="22"/>
                <w:color w:val="auto"/>
              </w:rPr>
              <w:t>Administrative expenses</w:t>
            </w: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32,666</w:t>
            </w:r>
          </w:p>
        </w:tc>
      </w:tr>
      <w:tr>
        <w:trPr>
          <w:trHeight w:val="297"/>
        </w:trPr>
        <w:tc>
          <w:tcPr>
            <w:tcW w:w="93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Total deductions</w:t>
            </w:r>
          </w:p>
        </w:tc>
        <w:tc>
          <w:tcPr>
            <w:tcW w:w="280" w:type="dxa"/>
            <w:vAlign w:val="bottom"/>
            <w:tcBorders>
              <w:bottom w:val="single" w:sz="8" w:color="auto"/>
            </w:tcBorders>
            <w:shd w:val="clear" w:color="auto" w:fill="CCEEFF"/>
          </w:tcPr>
          <w:p>
            <w:pPr>
              <w:spacing w:after="0"/>
              <w:rPr>
                <w:sz w:val="24"/>
                <w:szCs w:val="24"/>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15,869,399</w:t>
            </w:r>
          </w:p>
        </w:tc>
      </w:tr>
      <w:tr>
        <w:trPr>
          <w:trHeight w:val="283"/>
        </w:trPr>
        <w:tc>
          <w:tcPr>
            <w:tcW w:w="93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Net increase</w:t>
            </w:r>
          </w:p>
        </w:tc>
        <w:tc>
          <w:tcPr>
            <w:tcW w:w="2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9,583,743</w:t>
            </w:r>
          </w:p>
        </w:tc>
      </w:tr>
      <w:tr>
        <w:trPr>
          <w:trHeight w:val="304"/>
        </w:trPr>
        <w:tc>
          <w:tcPr>
            <w:tcW w:w="93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91"/>
        </w:trPr>
        <w:tc>
          <w:tcPr>
            <w:tcW w:w="936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22"/>
                <w:szCs w:val="22"/>
                <w:color w:val="auto"/>
              </w:rPr>
              <w:t>Net assets available for benefits at beginning of year</w:t>
            </w:r>
          </w:p>
        </w:tc>
        <w:tc>
          <w:tcPr>
            <w:tcW w:w="2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164,906,924</w:t>
            </w:r>
          </w:p>
        </w:tc>
      </w:tr>
      <w:tr>
        <w:trPr>
          <w:trHeight w:val="291"/>
        </w:trPr>
        <w:tc>
          <w:tcPr>
            <w:tcW w:w="9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22"/>
                <w:szCs w:val="22"/>
                <w:color w:val="auto"/>
              </w:rPr>
              <w:t>Net assets available for benefits at end of year</w:t>
            </w:r>
          </w:p>
        </w:tc>
        <w:tc>
          <w:tcPr>
            <w:tcW w:w="280" w:type="dxa"/>
            <w:vAlign w:val="bottom"/>
            <w:tcBorders>
              <w:bottom w:val="single" w:sz="8" w:color="auto"/>
            </w:tcBorders>
            <w:shd w:val="clear" w:color="auto" w:fill="CCEEFF"/>
          </w:tcPr>
          <w:p>
            <w:pPr>
              <w:ind w:left="80"/>
              <w:spacing w:after="0"/>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174,490,667</w:t>
            </w:r>
          </w:p>
        </w:tc>
      </w:tr>
      <w:tr>
        <w:trPr>
          <w:trHeight w:val="20"/>
        </w:trPr>
        <w:tc>
          <w:tcPr>
            <w:tcW w:w="93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29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5 of 26</w:t>
      </w:r>
    </w:p>
    <w:p>
      <w:pPr>
        <w:sectPr>
          <w:pgSz w:w="11900" w:h="16838" w:orient="portrait"/>
          <w:cols w:equalWidth="0" w:num="1">
            <w:col w:w="11420"/>
          </w:cols>
          <w:pgMar w:left="240" w:top="360" w:right="2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w:t>
      </w: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Year Ended December 31, 2014</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right="8340" w:firstLine="8"/>
        <w:spacing w:after="0" w:line="475" w:lineRule="auto"/>
        <w:tabs>
          <w:tab w:leader="none" w:pos="216"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Significant Accounting Policies Basis of Accounting</w:t>
      </w:r>
    </w:p>
    <w:p>
      <w:pPr>
        <w:spacing w:after="0" w:line="2"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accounting records of The Principal Select Savings Plan for Individual Field (the Plan) are maintained on the accrual basis of accounting.</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Valuation of Investments and Income Recognition</w:t>
      </w:r>
    </w:p>
    <w:p>
      <w:pPr>
        <w:spacing w:after="0" w:line="25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The unallocated investment options consist of guaranteed interest accounts under a guaranteed benefit policy (as defined in section 401(b) of the Employee Retirement Income Security Act of 1974, as amended (ERISA)) and separate accounts (as defined in ERISA section 3(17)) of Principal Life Insurance Company (Principal Life). The guaranteed interest accounts and separate accounts are reported at fair value as determined by Principal Life.</w:t>
      </w:r>
    </w:p>
    <w:p>
      <w:pPr>
        <w:spacing w:after="0" w:line="207"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21"/>
          <w:szCs w:val="21"/>
          <w:color w:val="auto"/>
        </w:rPr>
        <w:t>These unallocated investment options are non-benefit-responsive. The guaranteed interest account’s fair value is the amount Plan participants would receive currently if they were to withdraw or transfer funds within the Plan prior to their maturity for an event other than death, disability, termination, or retirement. This fair value represents guaranteed interest account values adjusted to reflect current market interest rates only to the extent such market rates exceed contract crediting rates. This value represents contributions allocated to the guaranteed interest accounts, plus interest at the contractually guaranteed rate, less funds used to pay Plan benefits and Principal Life’s administrative expenses. The separate account assets include, but are not limited to, contributions invested in domestic and international common stocks, high-quality short-term debt securities, real estate, private market bonds and mortgages, and high-yield fixed-income securities that are slightly below investment grade, all of which are valued at fair value.</w:t>
      </w:r>
    </w:p>
    <w:p>
      <w:pPr>
        <w:spacing w:after="0" w:line="203"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The Principal Financial Group, Inc. Employee Stock Ownership Plan (ESOP), which consists of common stock of Principal Financial Group, Inc., the ultimate parent of Principal Life, is reported at fair value based on the quoted closing market price of its stock on the last business day of the Plan year.</w:t>
      </w:r>
    </w:p>
    <w:p>
      <w:pPr>
        <w:spacing w:after="0" w:line="200" w:lineRule="exact"/>
        <w:rPr>
          <w:sz w:val="20"/>
          <w:szCs w:val="20"/>
          <w:color w:val="auto"/>
        </w:rPr>
      </w:pPr>
    </w:p>
    <w:p>
      <w:pPr>
        <w:spacing w:after="0" w:line="26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6 of 26</w:t>
      </w:r>
    </w:p>
    <w:p>
      <w:pPr>
        <w:sectPr>
          <w:pgSz w:w="11900" w:h="16838" w:orient="portrait"/>
          <w:cols w:equalWidth="0" w:num="1">
            <w:col w:w="11420"/>
          </w:cols>
          <w:pgMar w:left="240" w:top="117" w:right="2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1. Significant Accounting Policies (continued)</w:t>
      </w:r>
    </w:p>
    <w:p>
      <w:pPr>
        <w:spacing w:after="0" w:line="25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2"/>
          <w:szCs w:val="22"/>
          <w:color w:val="auto"/>
        </w:rPr>
        <w:t>The Principal Select Savings Stable Value Master Trust (Master Trust) invests in a Short Term Investment Fund (STIF) and the Morley Stable Income Bond Fund (Bond Fund), which is a collective investment trust that invests in investment-grade fixed-income securities. The Bond Fund is maintained by Union Bond &amp; Trust Company, an affiliate of Principal Life. The Master Trust has also entered into a fully benefit-responsive synthetic guaranteed investment contract (synthetic GIC) with Principal Life (the Contract). The STIF, Bond Fund, and Contract together are the holdings of the Stable Value Fund (Fund). The Fund is valued at contract value as reported to the Plan by Morley Financial Services, the investment manager of the Bond Fund and an affiliate of Principal Life.</w:t>
      </w:r>
    </w:p>
    <w:p>
      <w:pPr>
        <w:spacing w:after="0" w:line="20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Because the Contract is fully benefit-responsive, contract value is the relevant measurement attribute for that portion of the net assets available for benefits attributable to the Contract. The contract value represents contributions plus earnings, less participant withdrawals and Contract expenses.</w:t>
      </w:r>
    </w:p>
    <w:p>
      <w:pPr>
        <w:spacing w:after="0" w:line="20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The Contract provides a crediting rate that amortizes portfolio gains and losses over time and accounts for benefit payments to Plan participants at contract value. Under the Contract, Principal Life agrees to pay any deficiency if the investments in the Bond Fund have been exhausted for benefit payments and the contract value is greater than zero. The objective of the Fund is to preserve capital and smooth the returns credited to Plan participants.</w:t>
      </w:r>
    </w:p>
    <w:p>
      <w:pPr>
        <w:spacing w:after="0" w:line="203"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22"/>
          <w:szCs w:val="22"/>
          <w:color w:val="auto"/>
        </w:rPr>
        <w:t xml:space="preserve">As required by Accounting Standards Codification (ASC) 962, </w:t>
      </w:r>
      <w:r>
        <w:rPr>
          <w:rFonts w:ascii="Times New Roman" w:cs="Times New Roman" w:eastAsia="Times New Roman" w:hAnsi="Times New Roman"/>
          <w:sz w:val="22"/>
          <w:szCs w:val="22"/>
          <w:i w:val="1"/>
          <w:iCs w:val="1"/>
          <w:color w:val="auto"/>
        </w:rPr>
        <w:t>Plan Accounting – Defined Contribution Pension Plans</w:t>
      </w:r>
      <w:r>
        <w:rPr>
          <w:rFonts w:ascii="Times New Roman" w:cs="Times New Roman" w:eastAsia="Times New Roman" w:hAnsi="Times New Roman"/>
          <w:sz w:val="22"/>
          <w:szCs w:val="22"/>
          <w:color w:val="auto"/>
        </w:rPr>
        <w:t>, the Statements of Net Assets Available for Benefits present the fair value of the investment in the Master Trust, as well as the adjustment of the investment in the Master Trust from fair value to contract value relating to the synthetic GICs. The Statement of Changes in Net Assets Available for Benefits is prepared on a contract value basis.</w:t>
      </w:r>
    </w:p>
    <w:p>
      <w:pPr>
        <w:spacing w:after="0" w:line="203"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Interest income is recorded as earned. Dividends are recorded on the ex-dividend date. Net appreciation includes the Plan’s gains and losses on investments bought and sold as well as held during the year.</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Notes Receivable From Participants</w:t>
      </w:r>
    </w:p>
    <w:p>
      <w:pPr>
        <w:spacing w:after="0" w:line="251"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notes receivable from participants are reported at their unpaid principal balance plus any accrued but unpaid interest. Interest income on notes receivable from participants is recorded when earned.</w:t>
      </w:r>
    </w:p>
    <w:p>
      <w:pPr>
        <w:spacing w:after="0" w:line="200" w:lineRule="exact"/>
        <w:rPr>
          <w:sz w:val="20"/>
          <w:szCs w:val="20"/>
          <w:color w:val="auto"/>
        </w:rPr>
      </w:pPr>
    </w:p>
    <w:p>
      <w:pPr>
        <w:spacing w:after="0" w:line="24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7 of 26</w:t>
      </w:r>
    </w:p>
    <w:p>
      <w:pPr>
        <w:sectPr>
          <w:pgSz w:w="11900" w:h="16838" w:orient="portrait"/>
          <w:cols w:equalWidth="0" w:num="1">
            <w:col w:w="11420"/>
          </w:cols>
          <w:pgMar w:left="240" w:top="117" w:right="2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7220" w:firstLine="8"/>
        <w:spacing w:after="0" w:line="475" w:lineRule="auto"/>
        <w:tabs>
          <w:tab w:leader="none" w:pos="216"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Significant Accounting Policies (continued) Payment of Benefits</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Benefits are recorded when paid.</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Risks and Uncertainties</w:t>
      </w:r>
    </w:p>
    <w:p>
      <w:pPr>
        <w:spacing w:after="0" w:line="25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The Plan invests in various investment securities. Investment securities are exposed to various risks such as interest rate, market volatility,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Use of Estimates</w:t>
      </w:r>
    </w:p>
    <w:p>
      <w:pPr>
        <w:spacing w:after="0" w:line="25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The preparation of financial statements in conformity with U.S. generally accepted accounting principles (GAAP) requires management to make estimates that affect the amounts reported in the financial statements and accompanying notes and supplemental schedule. Actual results could differ from those estimates.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2. Description of the Plan</w:t>
      </w:r>
    </w:p>
    <w:p>
      <w:pPr>
        <w:spacing w:after="0" w:line="251"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Plan is a defined contribution plan (401(k) plan) that was established January 1, 1985. The Plan is available to substantially all field management and agents holding a Career Agent Contract from Principal Life (the Company).</w:t>
      </w:r>
    </w:p>
    <w:p>
      <w:pPr>
        <w:spacing w:after="0" w:line="18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Information about the Plan, including eligibility, and benefit provisions is contained in the Summary Plan Description. Copies of the Summary Plan Description are available from the Company’s Benefit Administration Department or the Company’s Intranet. The Plan is subject to the provisions of ERISA.</w:t>
      </w:r>
    </w:p>
    <w:p>
      <w:pPr>
        <w:spacing w:after="0" w:line="200"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2"/>
          <w:szCs w:val="22"/>
          <w:color w:val="auto"/>
        </w:rPr>
        <w:t>The Plan Administrator is responsible for the control and administration of the Plan. The Plan Administrator is the Benefit Plans Administration Committee (BPAC). For the purposes of investment and protection of Plan assets, the named fiduciary of the Plan is the Benefit Plans Investment Committee. The Plan is funded through a trust fund which holds group annuity contracts issued by Principal Life. A separate trust holds Principal Financial Group, Inc. common stock that is in the ESOP. The Trustees of the Trust that holds the group annuity contracts are employees of Principal Life. The Trustee of the Trust that holds Principal Financial Group, Inc. common stock that is in the ESOP is Bankers Trust. Principal Life is the recordkeeper of the Plan.</w:t>
      </w:r>
    </w:p>
    <w:p>
      <w:pPr>
        <w:spacing w:after="0" w:line="200" w:lineRule="exact"/>
        <w:rPr>
          <w:sz w:val="20"/>
          <w:szCs w:val="20"/>
          <w:color w:val="auto"/>
        </w:rPr>
      </w:pPr>
    </w:p>
    <w:p>
      <w:pPr>
        <w:spacing w:after="0" w:line="2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8 of 26</w:t>
      </w:r>
    </w:p>
    <w:p>
      <w:pPr>
        <w:sectPr>
          <w:pgSz w:w="11900" w:h="16838" w:orient="portrait"/>
          <w:cols w:equalWidth="0" w:num="1">
            <w:col w:w="11420"/>
          </w:cols>
          <w:pgMar w:left="240" w:top="117" w:right="2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7960" w:firstLine="8"/>
        <w:spacing w:after="0" w:line="475" w:lineRule="auto"/>
        <w:tabs>
          <w:tab w:leader="none" w:pos="216"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Description of the Plan (continued) Contributions</w:t>
      </w:r>
    </w:p>
    <w:p>
      <w:pPr>
        <w:spacing w:after="0" w:line="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On January 1, 2006, the Company made several changes to the retirement program. Participants who were age 47 or older with at least ten years of service on December 31, 2005, could elect to retain the prior benefit provisions under the qualified defined benefit retirement plan and the Plan and forgo receipt of the additional benefits offered by amendments to the Plan. The participants who elected to retain the prior benefit provisions are referred to as “Grandfathered Choice Participants.”</w:t>
      </w:r>
    </w:p>
    <w:p>
      <w:pPr>
        <w:spacing w:after="0" w:line="207"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Matching contributions for participants other than the Grandfathered Choice Participants were increased from 50% to 75% of deferrals, with the maximum matching deferral increasing from 6% to 8% of eligible pay-period compensation.</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Vesting</w:t>
      </w:r>
    </w:p>
    <w:p>
      <w:pPr>
        <w:spacing w:after="0" w:line="25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2"/>
          <w:szCs w:val="22"/>
          <w:color w:val="auto"/>
        </w:rPr>
        <w:t>Participants are eligible for immediate entry into the Plan with vesting at 100% after three years. The funds accumulate along with interest and investment return and are available for withdrawal by participants at retirement, termination, or when certain withdrawal specifications are met. The participants may also obtain loans of their vested accrued benefit, subject to certain limitations described in the document governing (the Plan Document). The federal and state income taxes of the participant are deferred (except in the case of Roth deferrals) on the contributions until the funds are withdrawn from the Plan.</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Forfeitures</w:t>
      </w:r>
    </w:p>
    <w:p>
      <w:pPr>
        <w:spacing w:after="0" w:line="25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1"/>
          <w:szCs w:val="21"/>
          <w:color w:val="auto"/>
        </w:rPr>
        <w:t>Upon termination of employment, participants forfeit their non-vested balances. Forfeited amounts are used to reduce Company contributions. At December 31, 2014 and 2013, forfeited non-vested account balances totaled $21,365 and $19,475, respectively. In 2014 and 2013, employer contributions were reduced by $344,843 and $338,700, respectively, from forfeited non-vested accounts.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Participant Loans</w:t>
      </w:r>
    </w:p>
    <w:p>
      <w:pPr>
        <w:spacing w:after="0" w:line="25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The Plan provides for loans to active participants, which are considered a participant-directed investment of his/her account. The loan is a Plan asset, but only the borrowing participant’s account shares in the interest paid on the loan or bears any expense or loss incurred because of the loan. The rate of interest is 2% higher than the Federal Reserve “Bank Prime Loan” rate at the time of the loan. The rate is set the day a loan is approved. The rate for the loans issued in 2014 and 2013 was 5.25%.</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9 of 26</w:t>
      </w:r>
    </w:p>
    <w:p>
      <w:pPr>
        <w:sectPr>
          <w:pgSz w:w="11900" w:h="16838" w:orient="portrait"/>
          <w:cols w:equalWidth="0" w:num="1">
            <w:col w:w="11420"/>
          </w:cols>
          <w:pgMar w:left="240" w:top="117" w:right="2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7960" w:firstLine="8"/>
        <w:spacing w:after="0" w:line="475" w:lineRule="auto"/>
        <w:tabs>
          <w:tab w:leader="none" w:pos="216" w:val="left"/>
        </w:tabs>
        <w:numPr>
          <w:ilvl w:val="0"/>
          <w:numId w:val="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Description of the Plan (continued) Plan Terminations</w:t>
      </w:r>
    </w:p>
    <w:p>
      <w:pPr>
        <w:spacing w:after="0" w:line="2"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Although it has not expressed any intent to do so, the Company has the right under the Plan to discontinue its contributions at any time and to terminate the Plan subject to the provisions of ERISA. In the event the Plan terminates, affected participants will become fully vested in their accounts.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3. Income Tax Status</w:t>
      </w:r>
    </w:p>
    <w:p>
      <w:pPr>
        <w:spacing w:after="0" w:line="25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2"/>
          <w:szCs w:val="22"/>
          <w:color w:val="auto"/>
        </w:rPr>
        <w:t>The Plan has received a determination letter from the Internal Revenue Service (the IRS) dated July 9, 2012, stating that the Plan is qualified under Section 401(a) of the Internal Revenue Code (the Code) and, therefore, the related trust is exempt from taxation. Subsequent to this determination by the IRS, the Plan was amended and restated. The Plan is required to operate in conformity with the terms of the Plan Document and the Code to maintain its qualification. BPAC and the Company intend to operate the Plan in conformity with the provisions of the Plan Document and the Code. BPAC and the Company acknowledge that inadvertent errors may occur in the operation of the Plan. If such inadvertent errors occur, BPAC and the Company represent that they will take the necessary steps to bring the Plan’s operations into compliance with the Code, including voluntarily and timely correcting such errors in accordance with procedures established by the IRS.</w:t>
      </w:r>
    </w:p>
    <w:p>
      <w:pPr>
        <w:spacing w:after="0" w:line="21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2"/>
          <w:szCs w:val="22"/>
          <w:color w:val="auto"/>
        </w:rPr>
        <w:t>Plan management is required to evaluate uncertain tax positions taken by the Plan. The financial statement effects of an uncertain tax position are recognized when the position is more likely than not, based on the technical merits, to be sustained upon examination by the IRS. BPAC has analyzed the tax positions taken by the Plan and has concluded that as of December 31, 2014, there are no uncertain positions taken or expected to be taken. The Plan has recognized no interest or penalties related to uncertain tax positions.</w:t>
      </w:r>
    </w:p>
    <w:p>
      <w:pPr>
        <w:spacing w:after="0" w:line="208"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Plan is subject to routine audits by taxing jurisdictions. BPAC believes it is no longer subject to income tax examinations for years prior to 2011.</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4. Investments (excluding interest in Master Trust)</w:t>
      </w:r>
    </w:p>
    <w:p>
      <w:pPr>
        <w:spacing w:after="0" w:line="25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2"/>
          <w:szCs w:val="22"/>
          <w:color w:val="auto"/>
        </w:rPr>
        <w:t>Contributions are invested in unallocated guaranteed interest accounts supported by the general account of Principal Life (a pooled account invested primarily in fixed income securities having a range of maturities); in separate accounts of Principal Life, the portfolios of which are primarily invested in domestic and international common stocks, high-quality short-term debt securities, real estate, private market bonds and mortgages, and high-yield fixed-income securities that are slightly below investment grade, as appropriate for each separate account; and the ESOP. Participants elect the investment(s) in which to have their contributions and match invested.</w:t>
      </w:r>
    </w:p>
    <w:p>
      <w:pPr>
        <w:spacing w:after="0" w:line="200" w:lineRule="exact"/>
        <w:rPr>
          <w:sz w:val="20"/>
          <w:szCs w:val="20"/>
          <w:color w:val="auto"/>
        </w:rPr>
      </w:pPr>
    </w:p>
    <w:p>
      <w:pPr>
        <w:spacing w:after="0" w:line="2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10 of 26</w:t>
      </w:r>
    </w:p>
    <w:p>
      <w:pPr>
        <w:sectPr>
          <w:pgSz w:w="11900" w:h="16838" w:orient="portrait"/>
          <w:cols w:equalWidth="0" w:num="1">
            <w:col w:w="11420"/>
          </w:cols>
          <w:pgMar w:left="240" w:top="117" w:right="2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4. Investments (excluding interest in Master Trust) (continued)</w:t>
      </w:r>
    </w:p>
    <w:p>
      <w:pPr>
        <w:spacing w:after="0" w:line="251" w:lineRule="exact"/>
        <w:rPr>
          <w:sz w:val="20"/>
          <w:szCs w:val="20"/>
          <w:color w:val="auto"/>
        </w:rPr>
      </w:pPr>
    </w:p>
    <w:p>
      <w:pPr>
        <w:ind w:right="20"/>
        <w:spacing w:after="0" w:line="271" w:lineRule="auto"/>
        <w:rPr>
          <w:sz w:val="20"/>
          <w:szCs w:val="20"/>
          <w:color w:val="auto"/>
        </w:rPr>
      </w:pPr>
      <w:r>
        <w:rPr>
          <w:rFonts w:ascii="Times New Roman" w:cs="Times New Roman" w:eastAsia="Times New Roman" w:hAnsi="Times New Roman"/>
          <w:sz w:val="22"/>
          <w:szCs w:val="22"/>
          <w:color w:val="auto"/>
        </w:rPr>
        <w:t>The following presents individual investments that represent 5% or more of the Plan’s net assets available for benefits as of the end of the Plan year 2014 and 2013. Principal Life is a party-in-interest with respect to these investments.</w:t>
      </w:r>
    </w:p>
    <w:p>
      <w:pPr>
        <w:spacing w:after="0" w:line="334" w:lineRule="exact"/>
        <w:rPr>
          <w:sz w:val="20"/>
          <w:szCs w:val="20"/>
          <w:color w:val="auto"/>
        </w:rPr>
      </w:pPr>
    </w:p>
    <w:tbl>
      <w:tblPr>
        <w:tblLayout w:type="fixed"/>
        <w:tblInd w:w="340" w:type="dxa"/>
        <w:tblCellMar>
          <w:top w:w="0" w:type="dxa"/>
          <w:left w:w="0" w:type="dxa"/>
          <w:bottom w:w="0" w:type="dxa"/>
          <w:right w:w="0" w:type="dxa"/>
        </w:tblCellMar>
      </w:tblPr>
      <w:tr>
        <w:trPr>
          <w:trHeight w:val="262"/>
        </w:trPr>
        <w:tc>
          <w:tcPr>
            <w:tcW w:w="6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100" w:type="dxa"/>
            <w:vAlign w:val="bottom"/>
            <w:gridSpan w:val="2"/>
          </w:tcPr>
          <w:p>
            <w:pPr>
              <w:jc w:val="right"/>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220" w:type="dxa"/>
            <w:vAlign w:val="bottom"/>
          </w:tcPr>
          <w:p>
            <w:pPr>
              <w:spacing w:after="0"/>
              <w:rPr>
                <w:sz w:val="22"/>
                <w:szCs w:val="22"/>
                <w:color w:val="auto"/>
              </w:rPr>
            </w:pPr>
          </w:p>
        </w:tc>
      </w:tr>
      <w:tr>
        <w:trPr>
          <w:trHeight w:val="284"/>
        </w:trPr>
        <w:tc>
          <w:tcPr>
            <w:tcW w:w="6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20" w:type="dxa"/>
            <w:vAlign w:val="bottom"/>
          </w:tcPr>
          <w:p>
            <w:pPr>
              <w:jc w:val="right"/>
              <w:ind w:right="641"/>
              <w:spacing w:after="0"/>
              <w:rPr>
                <w:sz w:val="20"/>
                <w:szCs w:val="20"/>
                <w:color w:val="auto"/>
              </w:rPr>
            </w:pPr>
            <w:r>
              <w:rPr>
                <w:rFonts w:ascii="Times New Roman" w:cs="Times New Roman" w:eastAsia="Times New Roman" w:hAnsi="Times New Roman"/>
                <w:sz w:val="20"/>
                <w:szCs w:val="20"/>
                <w:b w:val="1"/>
                <w:bCs w:val="1"/>
                <w:color w:val="auto"/>
              </w:rPr>
              <w:t>2014</w:t>
            </w:r>
          </w:p>
        </w:tc>
        <w:tc>
          <w:tcPr>
            <w:tcW w:w="680" w:type="dxa"/>
            <w:vAlign w:val="bottom"/>
          </w:tcPr>
          <w:p>
            <w:pPr>
              <w:spacing w:after="0"/>
              <w:rPr>
                <w:sz w:val="24"/>
                <w:szCs w:val="24"/>
                <w:color w:val="auto"/>
              </w:rPr>
            </w:pPr>
          </w:p>
        </w:tc>
        <w:tc>
          <w:tcPr>
            <w:tcW w:w="1220" w:type="dxa"/>
            <w:vAlign w:val="bottom"/>
          </w:tcPr>
          <w:p>
            <w:pPr>
              <w:jc w:val="right"/>
              <w:ind w:right="641"/>
              <w:spacing w:after="0"/>
              <w:rPr>
                <w:sz w:val="20"/>
                <w:szCs w:val="20"/>
                <w:color w:val="auto"/>
              </w:rPr>
            </w:pPr>
            <w:r>
              <w:rPr>
                <w:rFonts w:ascii="Times New Roman" w:cs="Times New Roman" w:eastAsia="Times New Roman" w:hAnsi="Times New Roman"/>
                <w:sz w:val="20"/>
                <w:szCs w:val="20"/>
                <w:b w:val="1"/>
                <w:bCs w:val="1"/>
                <w:color w:val="auto"/>
              </w:rPr>
              <w:t>2013</w:t>
            </w:r>
          </w:p>
        </w:tc>
      </w:tr>
      <w:tr>
        <w:trPr>
          <w:trHeight w:val="21"/>
        </w:trPr>
        <w:tc>
          <w:tcPr>
            <w:tcW w:w="63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91"/>
        </w:trPr>
        <w:tc>
          <w:tcPr>
            <w:tcW w:w="6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64"/>
        </w:trPr>
        <w:tc>
          <w:tcPr>
            <w:tcW w:w="6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Principal Financial Group, Inc. ESOP</w:t>
            </w:r>
          </w:p>
        </w:tc>
        <w:tc>
          <w:tcPr>
            <w:tcW w:w="460" w:type="dxa"/>
            <w:vAlign w:val="bottom"/>
            <w:tcBorders>
              <w:bottom w:val="single" w:sz="8" w:color="CCEEFF"/>
            </w:tcBorders>
            <w:shd w:val="clear" w:color="auto" w:fill="CCEEFF"/>
          </w:tcPr>
          <w:p>
            <w:pPr>
              <w:jc w:val="right"/>
              <w:ind w:right="181"/>
              <w:spacing w:after="0"/>
              <w:rPr>
                <w:sz w:val="20"/>
                <w:szCs w:val="20"/>
                <w:color w:val="auto"/>
              </w:rPr>
            </w:pPr>
            <w:r>
              <w:rPr>
                <w:rFonts w:ascii="Times New Roman" w:cs="Times New Roman" w:eastAsia="Times New Roman" w:hAnsi="Times New Roman"/>
                <w:sz w:val="20"/>
                <w:szCs w:val="20"/>
                <w:b w:val="1"/>
                <w:bCs w:val="1"/>
                <w:color w:val="auto"/>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20"/>
                <w:szCs w:val="20"/>
                <w:b w:val="1"/>
                <w:bCs w:val="1"/>
                <w:color w:val="auto"/>
              </w:rPr>
              <w:t>19,279,179</w:t>
            </w:r>
          </w:p>
        </w:tc>
        <w:tc>
          <w:tcPr>
            <w:tcW w:w="680" w:type="dxa"/>
            <w:vAlign w:val="bottom"/>
            <w:tcBorders>
              <w:bottom w:val="single" w:sz="8" w:color="CCEEFF"/>
            </w:tcBorders>
            <w:shd w:val="clear" w:color="auto" w:fill="CCEEFF"/>
          </w:tcPr>
          <w:p>
            <w:pPr>
              <w:jc w:val="right"/>
              <w:ind w:right="381"/>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20"/>
                <w:szCs w:val="20"/>
                <w:color w:val="auto"/>
              </w:rPr>
              <w:t>18,210,353</w:t>
            </w:r>
          </w:p>
        </w:tc>
      </w:tr>
      <w:tr>
        <w:trPr>
          <w:trHeight w:val="263"/>
        </w:trPr>
        <w:tc>
          <w:tcPr>
            <w:tcW w:w="63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Mid-Cap Separate Account</w:t>
            </w:r>
          </w:p>
        </w:tc>
        <w:tc>
          <w:tcPr>
            <w:tcW w:w="460" w:type="dxa"/>
            <w:vAlign w:val="bottom"/>
          </w:tcPr>
          <w:p>
            <w:pPr>
              <w:spacing w:after="0"/>
              <w:rPr>
                <w:sz w:val="22"/>
                <w:szCs w:val="22"/>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b w:val="1"/>
                <w:bCs w:val="1"/>
                <w:color w:val="auto"/>
              </w:rPr>
              <w:t>17,303,610</w:t>
            </w:r>
          </w:p>
        </w:tc>
        <w:tc>
          <w:tcPr>
            <w:tcW w:w="68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14,288,963</w:t>
            </w:r>
          </w:p>
        </w:tc>
      </w:tr>
      <w:tr>
        <w:trPr>
          <w:trHeight w:val="21"/>
        </w:trPr>
        <w:tc>
          <w:tcPr>
            <w:tcW w:w="6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264"/>
        </w:trPr>
        <w:tc>
          <w:tcPr>
            <w:tcW w:w="6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Large-Cap Stock Index Separate Account</w:t>
            </w:r>
          </w:p>
        </w:tc>
        <w:tc>
          <w:tcPr>
            <w:tcW w:w="46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20"/>
                <w:szCs w:val="20"/>
                <w:b w:val="1"/>
                <w:bCs w:val="1"/>
                <w:color w:val="auto"/>
              </w:rPr>
              <w:t>16,817,563</w:t>
            </w:r>
          </w:p>
        </w:tc>
        <w:tc>
          <w:tcPr>
            <w:tcW w:w="6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20"/>
                <w:szCs w:val="20"/>
                <w:color w:val="auto"/>
              </w:rPr>
              <w:t>13,880,981</w:t>
            </w:r>
          </w:p>
        </w:tc>
      </w:tr>
      <w:tr>
        <w:trPr>
          <w:trHeight w:val="263"/>
        </w:trPr>
        <w:tc>
          <w:tcPr>
            <w:tcW w:w="63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U.S. Property Separate Account</w:t>
            </w:r>
          </w:p>
        </w:tc>
        <w:tc>
          <w:tcPr>
            <w:tcW w:w="460" w:type="dxa"/>
            <w:vAlign w:val="bottom"/>
          </w:tcPr>
          <w:p>
            <w:pPr>
              <w:spacing w:after="0"/>
              <w:rPr>
                <w:sz w:val="22"/>
                <w:szCs w:val="22"/>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b w:val="1"/>
                <w:bCs w:val="1"/>
                <w:color w:val="auto"/>
              </w:rPr>
              <w:t>14,096,980</w:t>
            </w:r>
          </w:p>
        </w:tc>
        <w:tc>
          <w:tcPr>
            <w:tcW w:w="68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11,714,987</w:t>
            </w:r>
          </w:p>
        </w:tc>
      </w:tr>
      <w:tr>
        <w:trPr>
          <w:trHeight w:val="21"/>
        </w:trPr>
        <w:tc>
          <w:tcPr>
            <w:tcW w:w="6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264"/>
        </w:trPr>
        <w:tc>
          <w:tcPr>
            <w:tcW w:w="6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Diversified International Separate Account</w:t>
            </w:r>
          </w:p>
        </w:tc>
        <w:tc>
          <w:tcPr>
            <w:tcW w:w="46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20"/>
                <w:szCs w:val="20"/>
                <w:b w:val="1"/>
                <w:bCs w:val="1"/>
                <w:color w:val="auto"/>
              </w:rPr>
              <w:t>9,774,405</w:t>
            </w:r>
          </w:p>
        </w:tc>
        <w:tc>
          <w:tcPr>
            <w:tcW w:w="6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20"/>
                <w:szCs w:val="20"/>
                <w:color w:val="auto"/>
              </w:rPr>
              <w:t>10,695,925</w:t>
            </w:r>
          </w:p>
        </w:tc>
      </w:tr>
      <w:tr>
        <w:trPr>
          <w:trHeight w:val="263"/>
        </w:trPr>
        <w:tc>
          <w:tcPr>
            <w:tcW w:w="63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Small-Cap Stock Index Separate Account</w:t>
            </w:r>
          </w:p>
        </w:tc>
        <w:tc>
          <w:tcPr>
            <w:tcW w:w="460" w:type="dxa"/>
            <w:vAlign w:val="bottom"/>
          </w:tcPr>
          <w:p>
            <w:pPr>
              <w:spacing w:after="0"/>
              <w:rPr>
                <w:sz w:val="22"/>
                <w:szCs w:val="22"/>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b w:val="1"/>
                <w:bCs w:val="1"/>
                <w:color w:val="auto"/>
              </w:rPr>
              <w:t>9,007,642</w:t>
            </w:r>
          </w:p>
        </w:tc>
        <w:tc>
          <w:tcPr>
            <w:tcW w:w="68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8,498,066</w:t>
            </w:r>
          </w:p>
        </w:tc>
      </w:tr>
      <w:tr>
        <w:trPr>
          <w:trHeight w:val="21"/>
        </w:trPr>
        <w:tc>
          <w:tcPr>
            <w:tcW w:w="6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263"/>
        </w:trPr>
        <w:tc>
          <w:tcPr>
            <w:tcW w:w="6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International Emerging Markets Separate Account</w:t>
            </w:r>
          </w:p>
        </w:tc>
        <w:tc>
          <w:tcPr>
            <w:tcW w:w="460" w:type="dxa"/>
            <w:vAlign w:val="bottom"/>
            <w:shd w:val="clear" w:color="auto" w:fill="CCEEFF"/>
          </w:tcPr>
          <w:p>
            <w:pPr>
              <w:spacing w:after="0"/>
              <w:rPr>
                <w:sz w:val="22"/>
                <w:szCs w:val="22"/>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b w:val="1"/>
                <w:bCs w:val="1"/>
                <w:color w:val="auto"/>
              </w:rPr>
              <w:t>*</w:t>
            </w:r>
          </w:p>
        </w:tc>
        <w:tc>
          <w:tcPr>
            <w:tcW w:w="68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20"/>
                <w:szCs w:val="20"/>
                <w:color w:val="auto"/>
              </w:rPr>
              <w:t>8,438,705</w:t>
            </w:r>
          </w:p>
        </w:tc>
      </w:tr>
      <w:tr>
        <w:trPr>
          <w:trHeight w:val="21"/>
        </w:trPr>
        <w:tc>
          <w:tcPr>
            <w:tcW w:w="634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1420" w:type="dxa"/>
            <w:vAlign w:val="bottom"/>
            <w:shd w:val="clear" w:color="auto" w:fill="CCEEFF"/>
          </w:tcPr>
          <w:p>
            <w:pPr>
              <w:spacing w:after="0" w:line="20" w:lineRule="exact"/>
              <w:rPr>
                <w:sz w:val="1"/>
                <w:szCs w:val="1"/>
                <w:color w:val="auto"/>
              </w:rPr>
            </w:pPr>
          </w:p>
        </w:tc>
        <w:tc>
          <w:tcPr>
            <w:tcW w:w="680" w:type="dxa"/>
            <w:vAlign w:val="bottom"/>
            <w:shd w:val="clear" w:color="auto" w:fill="CCEEFF"/>
          </w:tcPr>
          <w:p>
            <w:pPr>
              <w:spacing w:after="0" w:line="20" w:lineRule="exact"/>
              <w:rPr>
                <w:sz w:val="1"/>
                <w:szCs w:val="1"/>
                <w:color w:val="auto"/>
              </w:rPr>
            </w:pPr>
          </w:p>
        </w:tc>
        <w:tc>
          <w:tcPr>
            <w:tcW w:w="1220" w:type="dxa"/>
            <w:vAlign w:val="bottom"/>
            <w:shd w:val="clear" w:color="auto" w:fill="CCEEFF"/>
          </w:tcPr>
          <w:p>
            <w:pPr>
              <w:spacing w:after="0" w:line="20" w:lineRule="exact"/>
              <w:rPr>
                <w:sz w:val="1"/>
                <w:szCs w:val="1"/>
                <w:color w:val="auto"/>
              </w:rPr>
            </w:pPr>
          </w:p>
        </w:tc>
      </w:tr>
    </w:tbl>
    <w:p>
      <w:pPr>
        <w:spacing w:after="0" w:line="283"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*Less than 5% of the fair value of net assets available for benefits at respective date.</w:t>
      </w:r>
    </w:p>
    <w:p>
      <w:pPr>
        <w:spacing w:after="0" w:line="247"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During 2014 and 2013, the Plan’s investments that are related to Principal Life appreciated in value by $10,741,684 and $31,512,273, respectively, as follows:</w:t>
      </w:r>
    </w:p>
    <w:p>
      <w:pPr>
        <w:spacing w:after="0" w:line="330" w:lineRule="exact"/>
        <w:rPr>
          <w:sz w:val="20"/>
          <w:szCs w:val="20"/>
          <w:color w:val="auto"/>
        </w:rPr>
      </w:pPr>
    </w:p>
    <w:tbl>
      <w:tblPr>
        <w:tblLayout w:type="fixed"/>
        <w:tblInd w:w="340" w:type="dxa"/>
        <w:tblCellMar>
          <w:top w:w="0" w:type="dxa"/>
          <w:left w:w="0" w:type="dxa"/>
          <w:bottom w:w="0" w:type="dxa"/>
          <w:right w:w="0" w:type="dxa"/>
        </w:tblCellMar>
      </w:tblPr>
      <w:tr>
        <w:trPr>
          <w:trHeight w:val="287"/>
        </w:trPr>
        <w:tc>
          <w:tcPr>
            <w:tcW w:w="6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560" w:type="dxa"/>
            <w:vAlign w:val="bottom"/>
            <w:gridSpan w:val="3"/>
          </w:tcPr>
          <w:p>
            <w:pPr>
              <w:jc w:val="right"/>
              <w:ind w:right="232"/>
              <w:spacing w:after="0"/>
              <w:rPr>
                <w:sz w:val="20"/>
                <w:szCs w:val="20"/>
                <w:color w:val="auto"/>
              </w:rPr>
            </w:pPr>
            <w:r>
              <w:rPr>
                <w:rFonts w:ascii="Times New Roman" w:cs="Times New Roman" w:eastAsia="Times New Roman" w:hAnsi="Times New Roman"/>
                <w:sz w:val="22"/>
                <w:szCs w:val="22"/>
                <w:b w:val="1"/>
                <w:bCs w:val="1"/>
                <w:color w:val="auto"/>
                <w:w w:val="99"/>
              </w:rPr>
              <w:t>For the Year Ended December 31,</w:t>
            </w:r>
          </w:p>
        </w:tc>
      </w:tr>
      <w:tr>
        <w:trPr>
          <w:trHeight w:val="306"/>
        </w:trPr>
        <w:tc>
          <w:tcPr>
            <w:tcW w:w="62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22"/>
                <w:szCs w:val="22"/>
                <w:b w:val="1"/>
                <w:bCs w:val="1"/>
                <w:color w:val="auto"/>
              </w:rPr>
              <w:t>2014</w:t>
            </w:r>
          </w:p>
        </w:tc>
        <w:tc>
          <w:tcPr>
            <w:tcW w:w="4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652"/>
              <w:spacing w:after="0"/>
              <w:rPr>
                <w:sz w:val="20"/>
                <w:szCs w:val="20"/>
                <w:color w:val="auto"/>
              </w:rPr>
            </w:pPr>
            <w:r>
              <w:rPr>
                <w:rFonts w:ascii="Times New Roman" w:cs="Times New Roman" w:eastAsia="Times New Roman" w:hAnsi="Times New Roman"/>
                <w:sz w:val="22"/>
                <w:szCs w:val="22"/>
                <w:b w:val="1"/>
                <w:bCs w:val="1"/>
                <w:color w:val="auto"/>
              </w:rPr>
              <w:t>2013</w:t>
            </w:r>
          </w:p>
        </w:tc>
      </w:tr>
      <w:tr>
        <w:trPr>
          <w:trHeight w:val="297"/>
        </w:trPr>
        <w:tc>
          <w:tcPr>
            <w:tcW w:w="6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297"/>
        </w:trPr>
        <w:tc>
          <w:tcPr>
            <w:tcW w:w="6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Guaranteed interest accounts</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6,344</w:t>
            </w:r>
          </w:p>
        </w:tc>
        <w:tc>
          <w:tcPr>
            <w:tcW w:w="48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color w:val="auto"/>
              </w:rPr>
              <w:t>$</w:t>
            </w: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(44,463 )</w:t>
            </w:r>
          </w:p>
        </w:tc>
      </w:tr>
      <w:tr>
        <w:trPr>
          <w:trHeight w:val="292"/>
        </w:trPr>
        <w:tc>
          <w:tcPr>
            <w:tcW w:w="62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Separate accounts of insurance company</w:t>
            </w:r>
          </w:p>
        </w:tc>
        <w:tc>
          <w:tcPr>
            <w:tcW w:w="28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9,649,285</w:t>
            </w:r>
          </w:p>
        </w:tc>
        <w:tc>
          <w:tcPr>
            <w:tcW w:w="480" w:type="dxa"/>
            <w:vAlign w:val="bottom"/>
          </w:tcPr>
          <w:p>
            <w:pPr>
              <w:spacing w:after="0"/>
              <w:rPr>
                <w:sz w:val="24"/>
                <w:szCs w:val="24"/>
                <w:color w:val="auto"/>
              </w:rPr>
            </w:pPr>
          </w:p>
        </w:tc>
        <w:tc>
          <w:tcPr>
            <w:tcW w:w="1480" w:type="dxa"/>
            <w:vAlign w:val="bottom"/>
          </w:tcPr>
          <w:p>
            <w:pPr>
              <w:jc w:val="right"/>
              <w:ind w:right="52"/>
              <w:spacing w:after="0"/>
              <w:rPr>
                <w:sz w:val="20"/>
                <w:szCs w:val="20"/>
                <w:color w:val="auto"/>
              </w:rPr>
            </w:pPr>
            <w:r>
              <w:rPr>
                <w:rFonts w:ascii="Times New Roman" w:cs="Times New Roman" w:eastAsia="Times New Roman" w:hAnsi="Times New Roman"/>
                <w:sz w:val="22"/>
                <w:szCs w:val="22"/>
                <w:color w:val="auto"/>
              </w:rPr>
              <w:t>23,793,038</w:t>
            </w:r>
          </w:p>
        </w:tc>
      </w:tr>
      <w:tr>
        <w:trPr>
          <w:trHeight w:val="297"/>
        </w:trPr>
        <w:tc>
          <w:tcPr>
            <w:tcW w:w="6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Principal Financial Group, Inc. ESOP</w:t>
            </w:r>
          </w:p>
        </w:tc>
        <w:tc>
          <w:tcPr>
            <w:tcW w:w="280" w:type="dxa"/>
            <w:vAlign w:val="bottom"/>
            <w:tcBorders>
              <w:bottom w:val="single" w:sz="8" w:color="auto"/>
            </w:tcBorders>
            <w:shd w:val="clear" w:color="auto" w:fill="CCEEFF"/>
          </w:tcPr>
          <w:p>
            <w:pPr>
              <w:spacing w:after="0"/>
              <w:rPr>
                <w:sz w:val="24"/>
                <w:szCs w:val="24"/>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1,086,055</w:t>
            </w:r>
          </w:p>
        </w:tc>
        <w:tc>
          <w:tcPr>
            <w:tcW w:w="480" w:type="dxa"/>
            <w:vAlign w:val="bottom"/>
            <w:tcBorders>
              <w:bottom w:val="single" w:sz="8" w:color="auto"/>
            </w:tcBorders>
            <w:shd w:val="clear" w:color="auto" w:fill="CCEEFF"/>
          </w:tcPr>
          <w:p>
            <w:pPr>
              <w:spacing w:after="0"/>
              <w:rPr>
                <w:sz w:val="24"/>
                <w:szCs w:val="24"/>
                <w:color w:val="auto"/>
              </w:rPr>
            </w:pPr>
          </w:p>
        </w:tc>
        <w:tc>
          <w:tcPr>
            <w:tcW w:w="1480" w:type="dxa"/>
            <w:vAlign w:val="bottom"/>
            <w:tcBorders>
              <w:bottom w:val="single" w:sz="8" w:color="auto"/>
            </w:tcBorders>
            <w:shd w:val="clear" w:color="auto" w:fill="CCEEFF"/>
          </w:tcPr>
          <w:p>
            <w:pPr>
              <w:jc w:val="right"/>
              <w:ind w:right="52"/>
              <w:spacing w:after="0"/>
              <w:rPr>
                <w:sz w:val="20"/>
                <w:szCs w:val="20"/>
                <w:color w:val="auto"/>
              </w:rPr>
            </w:pPr>
            <w:r>
              <w:rPr>
                <w:rFonts w:ascii="Times New Roman" w:cs="Times New Roman" w:eastAsia="Times New Roman" w:hAnsi="Times New Roman"/>
                <w:sz w:val="22"/>
                <w:szCs w:val="22"/>
                <w:color w:val="auto"/>
              </w:rPr>
              <w:t>7,763,698</w:t>
            </w:r>
          </w:p>
        </w:tc>
      </w:tr>
      <w:tr>
        <w:trPr>
          <w:trHeight w:val="291"/>
        </w:trPr>
        <w:tc>
          <w:tcPr>
            <w:tcW w:w="6280" w:type="dxa"/>
            <w:vAlign w:val="bottom"/>
          </w:tcPr>
          <w:p>
            <w:pPr>
              <w:spacing w:after="0"/>
              <w:rPr>
                <w:sz w:val="24"/>
                <w:szCs w:val="24"/>
                <w:color w:val="auto"/>
              </w:rPr>
            </w:pP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w:t>
            </w: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10,741,684</w:t>
            </w:r>
          </w:p>
        </w:tc>
        <w:tc>
          <w:tcPr>
            <w:tcW w:w="48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22"/>
                <w:szCs w:val="22"/>
                <w:color w:val="auto"/>
              </w:rPr>
              <w:t>$</w:t>
            </w:r>
          </w:p>
        </w:tc>
        <w:tc>
          <w:tcPr>
            <w:tcW w:w="1480" w:type="dxa"/>
            <w:vAlign w:val="bottom"/>
            <w:tcBorders>
              <w:bottom w:val="single" w:sz="8" w:color="auto"/>
            </w:tcBorders>
          </w:tcPr>
          <w:p>
            <w:pPr>
              <w:jc w:val="right"/>
              <w:ind w:right="52"/>
              <w:spacing w:after="0"/>
              <w:rPr>
                <w:sz w:val="20"/>
                <w:szCs w:val="20"/>
                <w:color w:val="auto"/>
              </w:rPr>
            </w:pPr>
            <w:r>
              <w:rPr>
                <w:rFonts w:ascii="Times New Roman" w:cs="Times New Roman" w:eastAsia="Times New Roman" w:hAnsi="Times New Roman"/>
                <w:sz w:val="22"/>
                <w:szCs w:val="22"/>
                <w:color w:val="auto"/>
              </w:rPr>
              <w:t>31,512,273</w:t>
            </w:r>
          </w:p>
        </w:tc>
      </w:tr>
      <w:tr>
        <w:trPr>
          <w:trHeight w:val="20"/>
        </w:trPr>
        <w:tc>
          <w:tcPr>
            <w:tcW w:w="6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11 of 26</w:t>
      </w:r>
    </w:p>
    <w:p>
      <w:pPr>
        <w:sectPr>
          <w:pgSz w:w="11900" w:h="16838" w:orient="portrait"/>
          <w:cols w:equalWidth="0" w:num="1">
            <w:col w:w="11420"/>
          </w:cols>
          <w:pgMar w:left="240" w:top="117" w:right="2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4560" w:firstLine="8"/>
        <w:spacing w:after="0" w:line="475" w:lineRule="auto"/>
        <w:tabs>
          <w:tab w:leader="none" w:pos="216" w:val="left"/>
        </w:tabs>
        <w:numPr>
          <w:ilvl w:val="0"/>
          <w:numId w:val="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Fair Value of Financial Instruments (excluding interest in Master Trust) Valuation Hierarchy</w:t>
      </w:r>
    </w:p>
    <w:p>
      <w:pPr>
        <w:spacing w:after="0" w:line="2"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Fair value is defined as the price that would be received to sell an asset in an orderly transaction between market participants at the measurement date (an exit price). The fair value hierarchy prioritizes the inputs to valuation techniques used to measure fair value into three levels.</w:t>
      </w:r>
    </w:p>
    <w:p>
      <w:pPr>
        <w:spacing w:after="0" w:line="200" w:lineRule="exact"/>
        <w:rPr>
          <w:sz w:val="20"/>
          <w:szCs w:val="20"/>
          <w:color w:val="auto"/>
        </w:rPr>
      </w:pPr>
    </w:p>
    <w:p>
      <w:pPr>
        <w:ind w:left="660" w:hanging="328"/>
        <w:spacing w:after="0" w:line="271" w:lineRule="auto"/>
        <w:tabs>
          <w:tab w:leader="none" w:pos="66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Level 1 – Fair values are based on unadjusted quoted prices in active markets for identical assets. Our Level 1 assets include the Principal Financial Group, Inc. ESOP.</w:t>
      </w:r>
    </w:p>
    <w:p>
      <w:pPr>
        <w:spacing w:after="0" w:line="184" w:lineRule="exact"/>
        <w:rPr>
          <w:rFonts w:ascii="Times New Roman" w:cs="Times New Roman" w:eastAsia="Times New Roman" w:hAnsi="Times New Roman"/>
          <w:sz w:val="20"/>
          <w:szCs w:val="20"/>
          <w:color w:val="auto"/>
        </w:rPr>
      </w:pPr>
    </w:p>
    <w:p>
      <w:pPr>
        <w:ind w:left="660" w:right="20" w:hanging="328"/>
        <w:spacing w:after="0" w:line="271" w:lineRule="auto"/>
        <w:tabs>
          <w:tab w:leader="none" w:pos="66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Level 2 – Fair values are based on inputs other than quoted prices within Level 1 that are observable for the asset, either directly or indirectly. Our Level 2 assets are separate accounts and are reflected at the net asset value (NAV) price.</w:t>
      </w:r>
    </w:p>
    <w:p>
      <w:pPr>
        <w:spacing w:after="0" w:line="184" w:lineRule="exact"/>
        <w:rPr>
          <w:rFonts w:ascii="Times New Roman" w:cs="Times New Roman" w:eastAsia="Times New Roman" w:hAnsi="Times New Roman"/>
          <w:sz w:val="20"/>
          <w:szCs w:val="20"/>
          <w:color w:val="auto"/>
        </w:rPr>
      </w:pPr>
    </w:p>
    <w:p>
      <w:pPr>
        <w:ind w:left="660" w:hanging="328"/>
        <w:spacing w:after="0" w:line="271" w:lineRule="auto"/>
        <w:tabs>
          <w:tab w:leader="none" w:pos="66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Level 3 – Fair values are based on significant unobservable inputs for the asset. Our Level 3 assets are guaranteed interest accounts.</w:t>
      </w:r>
    </w:p>
    <w:p>
      <w:pPr>
        <w:spacing w:after="0" w:line="185"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Transfers between fair value hierarchy levels are recognized at the beginning of the reporting period. There were no transfers between levels during 2014 and 2013.</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Determination of Fair Value</w:t>
      </w:r>
    </w:p>
    <w:p>
      <w:pPr>
        <w:spacing w:after="0" w:line="25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2"/>
          <w:szCs w:val="22"/>
          <w:color w:val="auto"/>
        </w:rPr>
        <w:t>The following discussion describes the valuation methodologies used for assets measured at fair value on a recurring basis. The techniques utilized in estimating the fair values of financial instruments are reliant on the assumptions used. Care should be exercised in deriving conclusions based on the fair value information of financial instruments presented below.</w:t>
      </w:r>
    </w:p>
    <w:p>
      <w:pPr>
        <w:spacing w:after="0" w:line="20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Fair value estimates are made at a specific point in time, based on available market information and judgments about the financial instrument. Such estimates do not consider the tax impact of the realization of unrealized gains or losses. In addition, the disclosed fair value may not be realized in the immediate settlement of the financial instrument. There were no significant changes to the valuation processes during 2014.</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12 of 26</w:t>
      </w:r>
    </w:p>
    <w:p>
      <w:pPr>
        <w:sectPr>
          <w:pgSz w:w="11900" w:h="16838" w:orient="portrait"/>
          <w:cols w:equalWidth="0" w:num="1">
            <w:col w:w="11420"/>
          </w:cols>
          <w:pgMar w:left="240" w:top="117" w:right="2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5. Fair Value of Financial Instruments (excluding interest in Master Trust) (continued)</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Guaranteed Interest Accounts</w:t>
      </w:r>
    </w:p>
    <w:p>
      <w:pPr>
        <w:spacing w:after="0" w:line="25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2"/>
          <w:szCs w:val="22"/>
          <w:color w:val="auto"/>
        </w:rPr>
        <w:t>The guaranteed interest accounts cannot be sold to a third party; thus, the only option to exit the guaranteed interest accounts is to withdraw the funds prior to maturity. The fair value of the account is the value paid when funds are withdrawn prior to their maturity. The fair value of the guaranteed interest accounts is reflected in Level 3 and the valuation is based on the applicable interest rate. If the applicable interest rate is greater than the interest rate on the account, the fair value is the contract value reduced by a percentage. This percentage is equal to the difference between the applicable interest rate and the interest rate on the account, multiplied by the number of years (including fractional parts of a year) until the maturity date. If the applicable interest rate is equal to or less than the interest rate on the account, the fair value is equal to the contract value.</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Separate Accounts</w:t>
      </w:r>
    </w:p>
    <w:p>
      <w:pPr>
        <w:spacing w:after="0" w:line="25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2"/>
          <w:szCs w:val="22"/>
          <w:color w:val="auto"/>
        </w:rPr>
        <w:t>This category is designed to deliver safety and stability by preserving principal and accumulating earnings. The NAV of each of the separate accounts is calculated in a manner consistent with GAAP for investment companies and is determinative of their fair value and represents the price at which the Plan would be able to initiate a transaction. As of December 31, 2014, all separate accounts are reflected in Level 2. Several of the separate accounts invest in publicly quoted mutual funds or exchange-traded equity securities. Some of the separate accounts also invest in fixed income securities. The fair value of the underlying funds and securities is used to determine the NAV of the separate account, which is not publicly quoted. The fair value of the underlying mutual funds and equity securities are based on quoted prices of identical assets. The fair value of the underlying fixed income securities are based on third-party pricing vendors that utilize observable market information.</w:t>
      </w:r>
    </w:p>
    <w:p>
      <w:pPr>
        <w:spacing w:after="0" w:line="21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2"/>
          <w:szCs w:val="22"/>
          <w:color w:val="auto"/>
        </w:rPr>
        <w:t>One separate account invests in real estate. The fair value of the underlying real estate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fair value of the separate account is based on NAV and is considered a Level 2 asset.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There are currently no redemption restrictions on these investments.</w:t>
      </w:r>
    </w:p>
    <w:p>
      <w:pPr>
        <w:spacing w:after="0" w:line="200" w:lineRule="exact"/>
        <w:rPr>
          <w:sz w:val="20"/>
          <w:szCs w:val="20"/>
          <w:color w:val="auto"/>
        </w:rPr>
      </w:pPr>
    </w:p>
    <w:p>
      <w:pPr>
        <w:spacing w:after="0" w:line="30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13 of 26</w:t>
      </w:r>
    </w:p>
    <w:p>
      <w:pPr>
        <w:sectPr>
          <w:pgSz w:w="11900" w:h="16838" w:orient="portrait"/>
          <w:cols w:equalWidth="0" w:num="1">
            <w:col w:w="11420"/>
          </w:cols>
          <w:pgMar w:left="240" w:top="117" w:right="239" w:bottom="1440" w:gutter="0" w:footer="0" w:header="0"/>
        </w:sectPr>
      </w:pPr>
    </w:p>
    <w:bookmarkStart w:id="13" w:name="page14"/>
    <w:bookmarkEnd w:id="13"/>
    <w:p>
      <w:pPr>
        <w:jc w:val="center"/>
        <w:ind w:right="-19"/>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5. Fair Value of Financial Instruments (excluding interest in Master Trust) (continued)</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Principal Financial Group, Inc. ESOP</w:t>
      </w:r>
    </w:p>
    <w:p>
      <w:pPr>
        <w:spacing w:after="0" w:line="251"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The ESOP is reported at the closing quoted market price of the common stock of Principal Financial Group, Inc. on the last business day of the Plan year and is reflected in Level 1.</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Assets Measured at Fair Value on a Recurring Basis</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Assets measured at fair value on a recurring basis are summarized below.</w:t>
      </w:r>
    </w:p>
    <w:p>
      <w:pPr>
        <w:spacing w:after="0" w:line="177" w:lineRule="exact"/>
        <w:rPr>
          <w:sz w:val="20"/>
          <w:szCs w:val="20"/>
          <w:color w:val="auto"/>
        </w:rPr>
      </w:pPr>
    </w:p>
    <w:tbl>
      <w:tblPr>
        <w:tblLayout w:type="fixed"/>
        <w:tblInd w:w="340" w:type="dxa"/>
        <w:tblCellMar>
          <w:top w:w="0" w:type="dxa"/>
          <w:left w:w="0" w:type="dxa"/>
          <w:bottom w:w="0" w:type="dxa"/>
          <w:right w:w="0" w:type="dxa"/>
        </w:tblCellMar>
      </w:tblPr>
      <w:tr>
        <w:trPr>
          <w:trHeight w:val="212"/>
        </w:trPr>
        <w:tc>
          <w:tcPr>
            <w:tcW w:w="10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60" w:type="dxa"/>
            <w:vAlign w:val="bottom"/>
            <w:gridSpan w:val="4"/>
          </w:tcPr>
          <w:p>
            <w:pPr>
              <w:jc w:val="right"/>
              <w:ind w:right="539"/>
              <w:spacing w:after="0"/>
              <w:rPr>
                <w:sz w:val="20"/>
                <w:szCs w:val="20"/>
                <w:color w:val="auto"/>
              </w:rPr>
            </w:pPr>
            <w:r>
              <w:rPr>
                <w:rFonts w:ascii="Times New Roman" w:cs="Times New Roman" w:eastAsia="Times New Roman" w:hAnsi="Times New Roman"/>
                <w:sz w:val="16"/>
                <w:szCs w:val="16"/>
                <w:b w:val="1"/>
                <w:bCs w:val="1"/>
                <w:color w:val="auto"/>
              </w:rPr>
              <w:t>As of December 31, 2014</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gridSpan w:val="3"/>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10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80" w:type="dxa"/>
            <w:vAlign w:val="bottom"/>
            <w:gridSpan w:val="4"/>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Assets Measured at Fair</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98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Fair Value Hierarchy Level</w:t>
            </w: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80" w:type="dxa"/>
            <w:vAlign w:val="bottom"/>
            <w:gridSpan w:val="4"/>
            <w:vMerge w:val="continue"/>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10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rPr>
              <w:t>Value</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b w:val="1"/>
                <w:bCs w:val="1"/>
                <w:color w:val="auto"/>
              </w:rPr>
              <w:t>Level 1</w:t>
            </w:r>
          </w:p>
        </w:tc>
        <w:tc>
          <w:tcPr>
            <w:tcW w:w="28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ind w:right="279"/>
              <w:spacing w:after="0"/>
              <w:rPr>
                <w:sz w:val="20"/>
                <w:szCs w:val="20"/>
                <w:color w:val="auto"/>
              </w:rPr>
            </w:pPr>
            <w:r>
              <w:rPr>
                <w:rFonts w:ascii="Times New Roman" w:cs="Times New Roman" w:eastAsia="Times New Roman" w:hAnsi="Times New Roman"/>
                <w:sz w:val="16"/>
                <w:szCs w:val="16"/>
                <w:b w:val="1"/>
                <w:bCs w:val="1"/>
                <w:color w:val="auto"/>
              </w:rPr>
              <w:t>Level 2</w:t>
            </w:r>
          </w:p>
        </w:tc>
        <w:tc>
          <w:tcPr>
            <w:tcW w:w="4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gridSpan w:val="2"/>
          </w:tcPr>
          <w:p>
            <w:pPr>
              <w:jc w:val="right"/>
              <w:ind w:right="579"/>
              <w:spacing w:after="0"/>
              <w:rPr>
                <w:sz w:val="20"/>
                <w:szCs w:val="20"/>
                <w:color w:val="auto"/>
              </w:rPr>
            </w:pPr>
            <w:r>
              <w:rPr>
                <w:rFonts w:ascii="Times New Roman" w:cs="Times New Roman" w:eastAsia="Times New Roman" w:hAnsi="Times New Roman"/>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100" w:type="dxa"/>
            <w:vAlign w:val="bottom"/>
          </w:tcPr>
          <w:p>
            <w:pPr>
              <w:spacing w:after="0"/>
              <w:rPr>
                <w:sz w:val="17"/>
                <w:szCs w:val="17"/>
                <w:color w:val="auto"/>
              </w:rPr>
            </w:pPr>
          </w:p>
        </w:tc>
        <w:tc>
          <w:tcPr>
            <w:tcW w:w="30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100" w:type="dxa"/>
            <w:vAlign w:val="bottom"/>
          </w:tcPr>
          <w:p>
            <w:pPr>
              <w:spacing w:after="0"/>
              <w:rPr>
                <w:sz w:val="5"/>
                <w:szCs w:val="5"/>
                <w:color w:val="auto"/>
              </w:rPr>
            </w:pPr>
          </w:p>
        </w:tc>
        <w:tc>
          <w:tcPr>
            <w:tcW w:w="3080" w:type="dxa"/>
            <w:vAlign w:val="bottom"/>
            <w:shd w:val="clear" w:color="auto" w:fill="CCEEFF"/>
          </w:tcPr>
          <w:p>
            <w:pPr>
              <w:spacing w:after="0"/>
              <w:rPr>
                <w:sz w:val="5"/>
                <w:szCs w:val="5"/>
                <w:color w:val="auto"/>
              </w:rPr>
            </w:pPr>
          </w:p>
        </w:tc>
        <w:tc>
          <w:tcPr>
            <w:tcW w:w="20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400" w:type="dxa"/>
            <w:vAlign w:val="bottom"/>
            <w:gridSpan w:val="2"/>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80" w:type="dxa"/>
            <w:vAlign w:val="bottom"/>
            <w:shd w:val="clear" w:color="auto" w:fill="CCEEFF"/>
          </w:tcPr>
          <w:p>
            <w:pPr>
              <w:spacing w:after="0"/>
              <w:rPr>
                <w:sz w:val="5"/>
                <w:szCs w:val="5"/>
                <w:color w:val="auto"/>
              </w:rPr>
            </w:pPr>
          </w:p>
        </w:tc>
        <w:tc>
          <w:tcPr>
            <w:tcW w:w="120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Guaranteed interest accounts</w:t>
            </w:r>
          </w:p>
        </w:tc>
        <w:tc>
          <w:tcPr>
            <w:tcW w:w="54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2,150,729</w:t>
            </w:r>
          </w:p>
        </w:tc>
        <w:tc>
          <w:tcPr>
            <w:tcW w:w="140" w:type="dxa"/>
            <w:vAlign w:val="bottom"/>
          </w:tcPr>
          <w:p>
            <w:pPr>
              <w:spacing w:after="0"/>
              <w:rPr>
                <w:sz w:val="19"/>
                <w:szCs w:val="19"/>
                <w:color w:val="auto"/>
              </w:rPr>
            </w:pPr>
          </w:p>
        </w:tc>
        <w:tc>
          <w:tcPr>
            <w:tcW w:w="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60" w:type="dxa"/>
            <w:vAlign w:val="bottom"/>
          </w:tcPr>
          <w:p>
            <w:pPr>
              <w:spacing w:after="0"/>
              <w:rPr>
                <w:sz w:val="19"/>
                <w:szCs w:val="19"/>
                <w:color w:val="auto"/>
              </w:rPr>
            </w:pPr>
          </w:p>
        </w:tc>
        <w:tc>
          <w:tcPr>
            <w:tcW w:w="40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2,150,729</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00" w:type="dxa"/>
            <w:vAlign w:val="bottom"/>
          </w:tcPr>
          <w:p>
            <w:pPr>
              <w:spacing w:after="0"/>
              <w:rPr>
                <w:sz w:val="21"/>
                <w:szCs w:val="21"/>
                <w:color w:val="auto"/>
              </w:rPr>
            </w:pPr>
          </w:p>
        </w:tc>
        <w:tc>
          <w:tcPr>
            <w:tcW w:w="30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Separate accounts:</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6"/>
                <w:szCs w:val="16"/>
                <w:color w:val="auto"/>
              </w:rPr>
              <w:t>Fixed-income security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8,131,045</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9"/>
                <w:szCs w:val="19"/>
                <w:color w:val="auto"/>
              </w:rPr>
            </w:pPr>
          </w:p>
        </w:tc>
        <w:tc>
          <w:tcPr>
            <w:tcW w:w="1660" w:type="dxa"/>
            <w:vAlign w:val="bottom"/>
            <w:gridSpan w:val="2"/>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8,131,045</w:t>
            </w:r>
          </w:p>
        </w:tc>
        <w:tc>
          <w:tcPr>
            <w:tcW w:w="1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Pr>
          <w:p>
            <w:pPr>
              <w:spacing w:after="0"/>
              <w:rPr>
                <w:sz w:val="20"/>
                <w:szCs w:val="20"/>
                <w:color w:val="auto"/>
              </w:rPr>
            </w:pPr>
          </w:p>
        </w:tc>
        <w:tc>
          <w:tcPr>
            <w:tcW w:w="3080" w:type="dxa"/>
            <w:vAlign w:val="bottom"/>
            <w:tcBorders>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6"/>
                <w:szCs w:val="16"/>
                <w:color w:val="auto"/>
              </w:rPr>
              <w:t>Lifetime balanced asset allocation</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27,749,253</w:t>
            </w: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gridSpan w:val="2"/>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27,749,253</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6"/>
                <w:szCs w:val="16"/>
                <w:color w:val="auto"/>
              </w:rPr>
              <w:t>Large U.S. equity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36,517,333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9"/>
                <w:szCs w:val="19"/>
                <w:color w:val="auto"/>
              </w:rPr>
            </w:pPr>
          </w:p>
        </w:tc>
        <w:tc>
          <w:tcPr>
            <w:tcW w:w="1660" w:type="dxa"/>
            <w:vAlign w:val="bottom"/>
            <w:gridSpan w:val="2"/>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36,517,333</w:t>
            </w:r>
          </w:p>
        </w:tc>
        <w:tc>
          <w:tcPr>
            <w:tcW w:w="1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Pr>
          <w:p>
            <w:pPr>
              <w:spacing w:after="0"/>
              <w:rPr>
                <w:sz w:val="20"/>
                <w:szCs w:val="20"/>
                <w:color w:val="auto"/>
              </w:rPr>
            </w:pPr>
          </w:p>
        </w:tc>
        <w:tc>
          <w:tcPr>
            <w:tcW w:w="3080" w:type="dxa"/>
            <w:vAlign w:val="bottom"/>
            <w:tcBorders>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6"/>
                <w:szCs w:val="16"/>
                <w:color w:val="auto"/>
              </w:rPr>
              <w:t>Small/mid U.S. equity</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33,623,290</w:t>
            </w: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gridSpan w:val="2"/>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33,623,290</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6"/>
                <w:szCs w:val="16"/>
                <w:color w:val="auto"/>
              </w:rPr>
              <w:t>International equity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17,977,299</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9"/>
                <w:szCs w:val="19"/>
                <w:color w:val="auto"/>
              </w:rPr>
            </w:pPr>
          </w:p>
        </w:tc>
        <w:tc>
          <w:tcPr>
            <w:tcW w:w="1660" w:type="dxa"/>
            <w:vAlign w:val="bottom"/>
            <w:gridSpan w:val="2"/>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17,977,299</w:t>
            </w:r>
          </w:p>
        </w:tc>
        <w:tc>
          <w:tcPr>
            <w:tcW w:w="1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Pr>
          <w:p>
            <w:pPr>
              <w:spacing w:after="0"/>
              <w:rPr>
                <w:sz w:val="20"/>
                <w:szCs w:val="20"/>
                <w:color w:val="auto"/>
              </w:rPr>
            </w:pPr>
          </w:p>
        </w:tc>
        <w:tc>
          <w:tcPr>
            <w:tcW w:w="3080" w:type="dxa"/>
            <w:vAlign w:val="bottom"/>
            <w:tcBorders>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6"/>
                <w:szCs w:val="16"/>
                <w:color w:val="auto"/>
              </w:rPr>
              <w:t>U.S. real estate</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14,096,980</w:t>
            </w: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gridSpan w:val="2"/>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14,096,980</w:t>
            </w: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6"/>
                <w:szCs w:val="16"/>
                <w:color w:val="auto"/>
              </w:rPr>
              <w:t>Other</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2,018,326</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Pr>
          <w:p>
            <w:pPr>
              <w:spacing w:after="0"/>
              <w:rPr>
                <w:sz w:val="19"/>
                <w:szCs w:val="19"/>
                <w:color w:val="auto"/>
              </w:rPr>
            </w:pPr>
          </w:p>
        </w:tc>
        <w:tc>
          <w:tcPr>
            <w:tcW w:w="1660" w:type="dxa"/>
            <w:vAlign w:val="bottom"/>
            <w:gridSpan w:val="2"/>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2,018,326</w:t>
            </w:r>
          </w:p>
        </w:tc>
        <w:tc>
          <w:tcPr>
            <w:tcW w:w="1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100" w:type="dxa"/>
            <w:vAlign w:val="bottom"/>
          </w:tcPr>
          <w:p>
            <w:pPr>
              <w:spacing w:after="0"/>
              <w:rPr>
                <w:sz w:val="22"/>
                <w:szCs w:val="22"/>
                <w:color w:val="auto"/>
              </w:rPr>
            </w:pPr>
          </w:p>
        </w:tc>
        <w:tc>
          <w:tcPr>
            <w:tcW w:w="30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Principal Financial Group, Inc. ESOP</w:t>
            </w:r>
          </w:p>
        </w:tc>
        <w:tc>
          <w:tcPr>
            <w:tcW w:w="2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19,279,179</w:t>
            </w:r>
          </w:p>
        </w:tc>
        <w:tc>
          <w:tcPr>
            <w:tcW w:w="1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19,279,179</w:t>
            </w:r>
          </w:p>
        </w:tc>
        <w:tc>
          <w:tcPr>
            <w:tcW w:w="3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96"/>
        </w:trPr>
        <w:tc>
          <w:tcPr>
            <w:tcW w:w="100" w:type="dxa"/>
            <w:vAlign w:val="bottom"/>
          </w:tcPr>
          <w:p>
            <w:pPr>
              <w:spacing w:after="0"/>
              <w:rPr>
                <w:sz w:val="17"/>
                <w:szCs w:val="17"/>
                <w:color w:val="auto"/>
              </w:rPr>
            </w:pPr>
          </w:p>
        </w:tc>
        <w:tc>
          <w:tcPr>
            <w:tcW w:w="30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Total invested assets, excluding Plan</w:t>
            </w:r>
          </w:p>
        </w:tc>
        <w:tc>
          <w:tcPr>
            <w:tcW w:w="200" w:type="dxa"/>
            <w:vAlign w:val="bottom"/>
            <w:vMerge w:val="restart"/>
          </w:tcPr>
          <w:p>
            <w:pPr>
              <w:spacing w:after="0"/>
              <w:rPr>
                <w:sz w:val="17"/>
                <w:szCs w:val="17"/>
                <w:color w:val="auto"/>
              </w:rPr>
            </w:pPr>
          </w:p>
        </w:tc>
        <w:tc>
          <w:tcPr>
            <w:tcW w:w="340" w:type="dxa"/>
            <w:vAlign w:val="bottom"/>
            <w:tcBorders>
              <w:top w:val="single" w:sz="8" w:color="auto"/>
            </w:tcBorders>
            <w:vMerge w:val="restart"/>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tcBorders>
              <w:top w:val="single" w:sz="8" w:color="auto"/>
            </w:tcBorders>
            <w:gridSpan w:val="2"/>
            <w:vMerge w:val="restart"/>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161,543,434</w:t>
            </w:r>
          </w:p>
        </w:tc>
        <w:tc>
          <w:tcPr>
            <w:tcW w:w="14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vMerge w:val="restart"/>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1480" w:type="dxa"/>
            <w:vAlign w:val="bottom"/>
            <w:tcBorders>
              <w:top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19,279,179</w:t>
            </w:r>
          </w:p>
        </w:tc>
        <w:tc>
          <w:tcPr>
            <w:tcW w:w="32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660" w:type="dxa"/>
            <w:vAlign w:val="bottom"/>
            <w:tcBorders>
              <w:top w:val="single" w:sz="8" w:color="auto"/>
            </w:tcBorders>
            <w:gridSpan w:val="2"/>
            <w:vMerge w:val="restart"/>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140,113,526</w:t>
            </w:r>
          </w:p>
        </w:tc>
        <w:tc>
          <w:tcPr>
            <w:tcW w:w="1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1580" w:type="dxa"/>
            <w:vAlign w:val="bottom"/>
            <w:tcBorders>
              <w:top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2,150,729</w:t>
            </w: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3080" w:type="dxa"/>
            <w:vAlign w:val="bottom"/>
          </w:tcPr>
          <w:p>
            <w:pPr>
              <w:ind w:left="360"/>
              <w:spacing w:after="0"/>
              <w:rPr>
                <w:sz w:val="20"/>
                <w:szCs w:val="20"/>
                <w:color w:val="auto"/>
              </w:rPr>
            </w:pPr>
            <w:r>
              <w:rPr>
                <w:rFonts w:ascii="Times New Roman" w:cs="Times New Roman" w:eastAsia="Times New Roman" w:hAnsi="Times New Roman"/>
                <w:sz w:val="16"/>
                <w:szCs w:val="16"/>
                <w:color w:val="auto"/>
              </w:rPr>
              <w:t>interest in Master Trust</w:t>
            </w:r>
          </w:p>
        </w:tc>
        <w:tc>
          <w:tcPr>
            <w:tcW w:w="200" w:type="dxa"/>
            <w:vAlign w:val="bottom"/>
            <w:vMerge w:val="continue"/>
          </w:tcPr>
          <w:p>
            <w:pPr>
              <w:spacing w:after="0"/>
              <w:rPr>
                <w:sz w:val="19"/>
                <w:szCs w:val="19"/>
                <w:color w:val="auto"/>
              </w:rPr>
            </w:pPr>
          </w:p>
        </w:tc>
        <w:tc>
          <w:tcPr>
            <w:tcW w:w="340" w:type="dxa"/>
            <w:vAlign w:val="bottom"/>
            <w:tcBorders>
              <w:bottom w:val="single" w:sz="8" w:color="auto"/>
            </w:tcBorders>
            <w:vMerge w:val="continue"/>
          </w:tcPr>
          <w:p>
            <w:pPr>
              <w:spacing w:after="0"/>
              <w:rPr>
                <w:sz w:val="19"/>
                <w:szCs w:val="19"/>
                <w:color w:val="auto"/>
              </w:rPr>
            </w:pPr>
          </w:p>
        </w:tc>
        <w:tc>
          <w:tcPr>
            <w:tcW w:w="1400" w:type="dxa"/>
            <w:vAlign w:val="bottom"/>
            <w:tcBorders>
              <w:bottom w:val="single" w:sz="8" w:color="auto"/>
            </w:tcBorders>
            <w:gridSpan w:val="2"/>
            <w:vMerge w:val="continue"/>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1480" w:type="dxa"/>
            <w:vAlign w:val="bottom"/>
            <w:tcBorders>
              <w:bottom w:val="single" w:sz="8" w:color="auto"/>
            </w:tcBorders>
            <w:gridSpan w:val="2"/>
            <w:vMerge w:val="continue"/>
          </w:tcPr>
          <w:p>
            <w:pPr>
              <w:spacing w:after="0"/>
              <w:rPr>
                <w:sz w:val="19"/>
                <w:szCs w:val="19"/>
                <w:color w:val="auto"/>
              </w:rPr>
            </w:pPr>
          </w:p>
        </w:tc>
        <w:tc>
          <w:tcPr>
            <w:tcW w:w="320" w:type="dxa"/>
            <w:vAlign w:val="bottom"/>
            <w:tcBorders>
              <w:bottom w:val="single" w:sz="8" w:color="auto"/>
            </w:tcBorders>
            <w:vMerge w:val="continue"/>
          </w:tcPr>
          <w:p>
            <w:pPr>
              <w:spacing w:after="0"/>
              <w:rPr>
                <w:sz w:val="19"/>
                <w:szCs w:val="19"/>
                <w:color w:val="auto"/>
              </w:rPr>
            </w:pPr>
          </w:p>
        </w:tc>
        <w:tc>
          <w:tcPr>
            <w:tcW w:w="1660" w:type="dxa"/>
            <w:vAlign w:val="bottom"/>
            <w:tcBorders>
              <w:bottom w:val="single" w:sz="8" w:color="auto"/>
            </w:tcBorders>
            <w:gridSpan w:val="2"/>
            <w:vMerge w:val="continue"/>
          </w:tcPr>
          <w:p>
            <w:pPr>
              <w:spacing w:after="0"/>
              <w:rPr>
                <w:sz w:val="19"/>
                <w:szCs w:val="19"/>
                <w:color w:val="auto"/>
              </w:rPr>
            </w:pPr>
          </w:p>
        </w:tc>
        <w:tc>
          <w:tcPr>
            <w:tcW w:w="160" w:type="dxa"/>
            <w:vAlign w:val="bottom"/>
            <w:tcBorders>
              <w:bottom w:val="single" w:sz="8" w:color="auto"/>
            </w:tcBorders>
            <w:vMerge w:val="continue"/>
          </w:tcPr>
          <w:p>
            <w:pPr>
              <w:spacing w:after="0"/>
              <w:rPr>
                <w:sz w:val="19"/>
                <w:szCs w:val="19"/>
                <w:color w:val="auto"/>
              </w:rPr>
            </w:pPr>
          </w:p>
        </w:tc>
        <w:tc>
          <w:tcPr>
            <w:tcW w:w="1580" w:type="dxa"/>
            <w:vAlign w:val="bottom"/>
            <w:tcBorders>
              <w:bottom w:val="single" w:sz="8" w:color="auto"/>
            </w:tcBorders>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060" w:type="dxa"/>
            <w:vAlign w:val="bottom"/>
            <w:tcBorders>
              <w:bottom w:val="single" w:sz="8" w:color="auto"/>
            </w:tcBorders>
            <w:gridSpan w:val="4"/>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1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60" w:type="dxa"/>
            <w:vAlign w:val="bottom"/>
            <w:gridSpan w:val="4"/>
          </w:tcPr>
          <w:p>
            <w:pPr>
              <w:jc w:val="right"/>
              <w:ind w:right="859"/>
              <w:spacing w:after="0"/>
              <w:rPr>
                <w:sz w:val="20"/>
                <w:szCs w:val="20"/>
                <w:color w:val="auto"/>
              </w:rPr>
            </w:pPr>
            <w:r>
              <w:rPr>
                <w:rFonts w:ascii="Times New Roman" w:cs="Times New Roman" w:eastAsia="Times New Roman" w:hAnsi="Times New Roman"/>
                <w:sz w:val="16"/>
                <w:szCs w:val="16"/>
                <w:color w:val="auto"/>
              </w:rPr>
              <w:t>As of December 31, 2013</w:t>
            </w: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3"/>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10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7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Assets Measured at Fair</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Fair Value Hierarchy Level</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700" w:type="dxa"/>
            <w:vAlign w:val="bottom"/>
            <w:gridSpan w:val="3"/>
            <w:vMerge w:val="continue"/>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10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jc w:val="right"/>
              <w:ind w:right="579"/>
              <w:spacing w:after="0"/>
              <w:rPr>
                <w:sz w:val="20"/>
                <w:szCs w:val="20"/>
                <w:color w:val="auto"/>
              </w:rPr>
            </w:pPr>
            <w:r>
              <w:rPr>
                <w:rFonts w:ascii="Times New Roman" w:cs="Times New Roman" w:eastAsia="Times New Roman" w:hAnsi="Times New Roman"/>
                <w:sz w:val="16"/>
                <w:szCs w:val="16"/>
                <w:color w:val="auto"/>
              </w:rPr>
              <w:t>Value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ind w:right="539"/>
              <w:spacing w:after="0"/>
              <w:rPr>
                <w:sz w:val="20"/>
                <w:szCs w:val="20"/>
                <w:color w:val="auto"/>
              </w:rPr>
            </w:pPr>
            <w:r>
              <w:rPr>
                <w:rFonts w:ascii="Times New Roman" w:cs="Times New Roman" w:eastAsia="Times New Roman" w:hAnsi="Times New Roman"/>
                <w:sz w:val="16"/>
                <w:szCs w:val="16"/>
                <w:color w:val="auto"/>
              </w:rPr>
              <w:t>Level 1</w:t>
            </w: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jc w:val="right"/>
              <w:ind w:right="619"/>
              <w:spacing w:after="0"/>
              <w:rPr>
                <w:sz w:val="20"/>
                <w:szCs w:val="20"/>
                <w:color w:val="auto"/>
              </w:rPr>
            </w:pPr>
            <w:r>
              <w:rPr>
                <w:rFonts w:ascii="Times New Roman" w:cs="Times New Roman" w:eastAsia="Times New Roman" w:hAnsi="Times New Roman"/>
                <w:sz w:val="16"/>
                <w:szCs w:val="16"/>
                <w:color w:val="auto"/>
              </w:rPr>
              <w:t>Level 2</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959"/>
              <w:spacing w:after="0"/>
              <w:rPr>
                <w:sz w:val="20"/>
                <w:szCs w:val="20"/>
                <w:color w:val="auto"/>
              </w:rPr>
            </w:pPr>
            <w:r>
              <w:rPr>
                <w:rFonts w:ascii="Times New Roman" w:cs="Times New Roman" w:eastAsia="Times New Roman" w:hAnsi="Times New Roman"/>
                <w:sz w:val="16"/>
                <w:szCs w:val="16"/>
                <w:color w:val="auto"/>
              </w:rPr>
              <w:t>Level 3</w:t>
            </w:r>
          </w:p>
        </w:tc>
        <w:tc>
          <w:tcPr>
            <w:tcW w:w="0" w:type="dxa"/>
            <w:vAlign w:val="bottom"/>
          </w:tcPr>
          <w:p>
            <w:pPr>
              <w:spacing w:after="0"/>
              <w:rPr>
                <w:sz w:val="1"/>
                <w:szCs w:val="1"/>
                <w:color w:val="auto"/>
              </w:rPr>
            </w:pPr>
          </w:p>
        </w:tc>
      </w:tr>
      <w:tr>
        <w:trPr>
          <w:trHeight w:val="33"/>
        </w:trPr>
        <w:tc>
          <w:tcPr>
            <w:tcW w:w="3180" w:type="dxa"/>
            <w:vAlign w:val="bottom"/>
            <w:tcBorders>
              <w:bottom w:val="single" w:sz="8" w:color="CCEEFF"/>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31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Assets</w:t>
            </w: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3180" w:type="dxa"/>
            <w:vAlign w:val="bottom"/>
            <w:gridSpan w:val="2"/>
            <w:shd w:val="clear" w:color="auto" w:fill="CCEEFF"/>
          </w:tcPr>
          <w:p>
            <w:pPr>
              <w:spacing w:after="0"/>
              <w:rPr>
                <w:sz w:val="5"/>
                <w:szCs w:val="5"/>
                <w:color w:val="auto"/>
              </w:rPr>
            </w:pPr>
          </w:p>
        </w:tc>
        <w:tc>
          <w:tcPr>
            <w:tcW w:w="540" w:type="dxa"/>
            <w:vAlign w:val="bottom"/>
            <w:gridSpan w:val="2"/>
            <w:shd w:val="clear" w:color="auto" w:fill="CCEEFF"/>
          </w:tcPr>
          <w:p>
            <w:pPr>
              <w:spacing w:after="0"/>
              <w:rPr>
                <w:sz w:val="5"/>
                <w:szCs w:val="5"/>
                <w:color w:val="auto"/>
              </w:rPr>
            </w:pPr>
          </w:p>
        </w:tc>
        <w:tc>
          <w:tcPr>
            <w:tcW w:w="1160" w:type="dxa"/>
            <w:vAlign w:val="bottom"/>
            <w:shd w:val="clear" w:color="auto" w:fill="CCEEFF"/>
          </w:tcPr>
          <w:p>
            <w:pPr>
              <w:spacing w:after="0"/>
              <w:rPr>
                <w:sz w:val="5"/>
                <w:szCs w:val="5"/>
                <w:color w:val="auto"/>
              </w:rPr>
            </w:pPr>
          </w:p>
        </w:tc>
        <w:tc>
          <w:tcPr>
            <w:tcW w:w="380" w:type="dxa"/>
            <w:vAlign w:val="bottom"/>
            <w:gridSpan w:val="2"/>
            <w:shd w:val="clear" w:color="auto" w:fill="CCEEFF"/>
          </w:tcPr>
          <w:p>
            <w:pPr>
              <w:spacing w:after="0"/>
              <w:rPr>
                <w:sz w:val="5"/>
                <w:szCs w:val="5"/>
                <w:color w:val="auto"/>
              </w:rPr>
            </w:pPr>
          </w:p>
        </w:tc>
        <w:tc>
          <w:tcPr>
            <w:tcW w:w="180" w:type="dxa"/>
            <w:vAlign w:val="bottom"/>
            <w:shd w:val="clear" w:color="auto" w:fill="CCEEFF"/>
          </w:tcPr>
          <w:p>
            <w:pPr>
              <w:spacing w:after="0"/>
              <w:rPr>
                <w:sz w:val="5"/>
                <w:szCs w:val="5"/>
                <w:color w:val="auto"/>
              </w:rPr>
            </w:pPr>
          </w:p>
        </w:tc>
        <w:tc>
          <w:tcPr>
            <w:tcW w:w="1200" w:type="dxa"/>
            <w:vAlign w:val="bottom"/>
            <w:shd w:val="clear" w:color="auto" w:fill="CCEEFF"/>
          </w:tcPr>
          <w:p>
            <w:pPr>
              <w:spacing w:after="0"/>
              <w:rPr>
                <w:sz w:val="5"/>
                <w:szCs w:val="5"/>
                <w:color w:val="auto"/>
              </w:rPr>
            </w:pPr>
          </w:p>
        </w:tc>
        <w:tc>
          <w:tcPr>
            <w:tcW w:w="600" w:type="dxa"/>
            <w:vAlign w:val="bottom"/>
            <w:gridSpan w:val="2"/>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31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Guaranteed interest accounts</w:t>
            </w:r>
          </w:p>
        </w:tc>
        <w:tc>
          <w:tcPr>
            <w:tcW w:w="540" w:type="dxa"/>
            <w:vAlign w:val="bottom"/>
            <w:gridSpan w:val="2"/>
          </w:tcPr>
          <w:p>
            <w:pPr>
              <w:jc w:val="right"/>
              <w:ind w:right="23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2,119,758</w:t>
            </w:r>
          </w:p>
        </w:tc>
        <w:tc>
          <w:tcPr>
            <w:tcW w:w="38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w w:val="91"/>
              </w:rPr>
              <w:t>$—</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600" w:type="dxa"/>
            <w:vAlign w:val="bottom"/>
            <w:gridSpan w:val="2"/>
          </w:tcPr>
          <w:p>
            <w:pPr>
              <w:ind w:left="160"/>
              <w:spacing w:after="0"/>
              <w:rPr>
                <w:sz w:val="20"/>
                <w:szCs w:val="20"/>
                <w:color w:val="auto"/>
              </w:rPr>
            </w:pPr>
            <w:r>
              <w:rPr>
                <w:rFonts w:ascii="Times New Roman" w:cs="Times New Roman" w:eastAsia="Times New Roman" w:hAnsi="Times New Roman"/>
                <w:sz w:val="16"/>
                <w:szCs w:val="16"/>
                <w:color w:val="auto"/>
              </w:rPr>
              <w:t>$—</w:t>
            </w:r>
          </w:p>
        </w:tc>
        <w:tc>
          <w:tcPr>
            <w:tcW w:w="1260" w:type="dxa"/>
            <w:vAlign w:val="bottom"/>
          </w:tcPr>
          <w:p>
            <w:pPr>
              <w:spacing w:after="0"/>
              <w:rPr>
                <w:sz w:val="19"/>
                <w:szCs w:val="19"/>
                <w:color w:val="auto"/>
              </w:rPr>
            </w:pPr>
          </w:p>
        </w:tc>
        <w:tc>
          <w:tcPr>
            <w:tcW w:w="400" w:type="dxa"/>
            <w:vAlign w:val="bottom"/>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2,119,758</w:t>
            </w: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31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18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Separate accounts:</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Fixed-income security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7,777,935</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7,777,935</w:t>
            </w: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2"/>
          </w:tcPr>
          <w:p>
            <w:pPr>
              <w:jc w:val="right"/>
              <w:ind w:right="4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Borders>
              <w:bottom w:val="single" w:sz="8" w:color="CCEEFF"/>
            </w:tcBorders>
            <w:shd w:val="clear" w:color="auto" w:fill="CCEEFF"/>
          </w:tcPr>
          <w:p>
            <w:pPr>
              <w:spacing w:after="0"/>
              <w:rPr>
                <w:sz w:val="20"/>
                <w:szCs w:val="20"/>
                <w:color w:val="auto"/>
              </w:rPr>
            </w:pPr>
          </w:p>
        </w:tc>
        <w:tc>
          <w:tcPr>
            <w:tcW w:w="308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6"/>
                <w:szCs w:val="16"/>
                <w:color w:val="auto"/>
              </w:rPr>
              <w:t>Lifetime balanced asset allocation</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21,361,211</w:t>
            </w:r>
          </w:p>
        </w:tc>
        <w:tc>
          <w:tcPr>
            <w:tcW w:w="2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21,361,211</w:t>
            </w:r>
          </w:p>
        </w:tc>
        <w:tc>
          <w:tcPr>
            <w:tcW w:w="4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Large U.S. equity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31,385,799</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31,385,799</w:t>
            </w: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2"/>
          </w:tcPr>
          <w:p>
            <w:pPr>
              <w:jc w:val="right"/>
              <w:ind w:right="4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Borders>
              <w:bottom w:val="single" w:sz="8" w:color="CCEEFF"/>
            </w:tcBorders>
            <w:shd w:val="clear" w:color="auto" w:fill="CCEEFF"/>
          </w:tcPr>
          <w:p>
            <w:pPr>
              <w:spacing w:after="0"/>
              <w:rPr>
                <w:sz w:val="20"/>
                <w:szCs w:val="20"/>
                <w:color w:val="auto"/>
              </w:rPr>
            </w:pPr>
          </w:p>
        </w:tc>
        <w:tc>
          <w:tcPr>
            <w:tcW w:w="308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6"/>
                <w:szCs w:val="16"/>
                <w:color w:val="auto"/>
              </w:rPr>
              <w:t>Small/mid U.S. equity</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37,091,381</w:t>
            </w:r>
          </w:p>
        </w:tc>
        <w:tc>
          <w:tcPr>
            <w:tcW w:w="2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37,091,381</w:t>
            </w:r>
          </w:p>
        </w:tc>
        <w:tc>
          <w:tcPr>
            <w:tcW w:w="4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International equity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19,134,630</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19,134,630</w:t>
            </w: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2"/>
          </w:tcPr>
          <w:p>
            <w:pPr>
              <w:jc w:val="right"/>
              <w:ind w:right="4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1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00" w:type="dxa"/>
            <w:vAlign w:val="bottom"/>
            <w:tcBorders>
              <w:bottom w:val="single" w:sz="8" w:color="CCEEFF"/>
            </w:tcBorders>
            <w:shd w:val="clear" w:color="auto" w:fill="CCEEFF"/>
          </w:tcPr>
          <w:p>
            <w:pPr>
              <w:spacing w:after="0"/>
              <w:rPr>
                <w:sz w:val="20"/>
                <w:szCs w:val="20"/>
                <w:color w:val="auto"/>
              </w:rPr>
            </w:pPr>
          </w:p>
        </w:tc>
        <w:tc>
          <w:tcPr>
            <w:tcW w:w="308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6"/>
                <w:szCs w:val="16"/>
                <w:color w:val="auto"/>
              </w:rPr>
              <w:t>U.S. real estate</w:t>
            </w:r>
          </w:p>
        </w:tc>
        <w:tc>
          <w:tcPr>
            <w:tcW w:w="2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11,714,987</w:t>
            </w:r>
          </w:p>
        </w:tc>
        <w:tc>
          <w:tcPr>
            <w:tcW w:w="2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11,714,987</w:t>
            </w:r>
          </w:p>
        </w:tc>
        <w:tc>
          <w:tcPr>
            <w:tcW w:w="4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00" w:type="dxa"/>
            <w:vAlign w:val="bottom"/>
          </w:tcPr>
          <w:p>
            <w:pPr>
              <w:spacing w:after="0"/>
              <w:rPr>
                <w:sz w:val="19"/>
                <w:szCs w:val="19"/>
                <w:color w:val="auto"/>
              </w:rPr>
            </w:pPr>
          </w:p>
        </w:tc>
        <w:tc>
          <w:tcPr>
            <w:tcW w:w="30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Other</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2,081,413</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jc w:val="right"/>
              <w:ind w:right="59"/>
              <w:spacing w:after="0"/>
              <w:rPr>
                <w:sz w:val="20"/>
                <w:szCs w:val="20"/>
                <w:color w:val="auto"/>
              </w:rPr>
            </w:pPr>
            <w:r>
              <w:rPr>
                <w:rFonts w:ascii="Times New Roman" w:cs="Times New Roman" w:eastAsia="Times New Roman" w:hAnsi="Times New Roman"/>
                <w:sz w:val="16"/>
                <w:szCs w:val="16"/>
                <w:color w:val="auto"/>
              </w:rPr>
              <w:t>2,081,413</w:t>
            </w: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2"/>
          </w:tcPr>
          <w:p>
            <w:pPr>
              <w:jc w:val="right"/>
              <w:ind w:right="4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31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18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Principal Financial Group, Inc. ESOP</w:t>
            </w:r>
          </w:p>
        </w:tc>
        <w:tc>
          <w:tcPr>
            <w:tcW w:w="2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18,210,353</w:t>
            </w:r>
          </w:p>
        </w:tc>
        <w:tc>
          <w:tcPr>
            <w:tcW w:w="2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18,210,353</w:t>
            </w:r>
          </w:p>
        </w:tc>
        <w:tc>
          <w:tcPr>
            <w:tcW w:w="28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318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 invested assets, excluding Plan</w:t>
            </w:r>
          </w:p>
        </w:tc>
        <w:tc>
          <w:tcPr>
            <w:tcW w:w="540" w:type="dxa"/>
            <w:vAlign w:val="bottom"/>
            <w:tcBorders>
              <w:top w:val="single" w:sz="8" w:color="auto"/>
            </w:tcBorders>
            <w:gridSpan w:val="2"/>
            <w:vMerge w:val="restart"/>
          </w:tcPr>
          <w:p>
            <w:pPr>
              <w:jc w:val="right"/>
              <w:ind w:right="23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Borders>
              <w:top w:val="single" w:sz="8" w:color="auto"/>
            </w:tcBorders>
            <w:vMerge w:val="restart"/>
          </w:tcPr>
          <w:p>
            <w:pPr>
              <w:jc w:val="right"/>
              <w:ind w:right="19"/>
              <w:spacing w:after="0"/>
              <w:rPr>
                <w:sz w:val="20"/>
                <w:szCs w:val="20"/>
                <w:color w:val="auto"/>
              </w:rPr>
            </w:pPr>
            <w:r>
              <w:rPr>
                <w:rFonts w:ascii="Times New Roman" w:cs="Times New Roman" w:eastAsia="Times New Roman" w:hAnsi="Times New Roman"/>
                <w:sz w:val="16"/>
                <w:szCs w:val="16"/>
                <w:color w:val="auto"/>
              </w:rPr>
              <w:t>150,877,467</w:t>
            </w:r>
          </w:p>
        </w:tc>
        <w:tc>
          <w:tcPr>
            <w:tcW w:w="240" w:type="dxa"/>
            <w:vAlign w:val="bottom"/>
            <w:tcBorders>
              <w:top w:val="single" w:sz="8" w:color="auto"/>
            </w:tcBorders>
            <w:vMerge w:val="restart"/>
          </w:tcPr>
          <w:p>
            <w:pPr>
              <w:ind w:left="140"/>
              <w:spacing w:after="0"/>
              <w:rPr>
                <w:sz w:val="20"/>
                <w:szCs w:val="20"/>
                <w:color w:val="auto"/>
              </w:rPr>
            </w:pPr>
            <w:r>
              <w:rPr>
                <w:rFonts w:ascii="Times New Roman" w:cs="Times New Roman" w:eastAsia="Times New Roman" w:hAnsi="Times New Roman"/>
                <w:sz w:val="16"/>
                <w:szCs w:val="16"/>
                <w:color w:val="auto"/>
                <w:w w:val="99"/>
              </w:rPr>
              <w:t>$</w:t>
            </w:r>
          </w:p>
        </w:tc>
        <w:tc>
          <w:tcPr>
            <w:tcW w:w="14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6"/>
                <w:szCs w:val="16"/>
                <w:color w:val="auto"/>
              </w:rPr>
              <w:t>18,210,353</w:t>
            </w:r>
          </w:p>
        </w:tc>
        <w:tc>
          <w:tcPr>
            <w:tcW w:w="280" w:type="dxa"/>
            <w:vAlign w:val="bottom"/>
            <w:tcBorders>
              <w:top w:val="single" w:sz="8" w:color="auto"/>
            </w:tcBorders>
            <w:vMerge w:val="restart"/>
          </w:tcPr>
          <w:p>
            <w:pPr>
              <w:ind w:left="160"/>
              <w:spacing w:after="0"/>
              <w:rPr>
                <w:sz w:val="20"/>
                <w:szCs w:val="20"/>
                <w:color w:val="auto"/>
              </w:rPr>
            </w:pPr>
            <w:r>
              <w:rPr>
                <w:rFonts w:ascii="Times New Roman" w:cs="Times New Roman" w:eastAsia="Times New Roman" w:hAnsi="Times New Roman"/>
                <w:sz w:val="16"/>
                <w:szCs w:val="16"/>
                <w:color w:val="auto"/>
              </w:rPr>
              <w:t>$</w:t>
            </w:r>
          </w:p>
        </w:tc>
        <w:tc>
          <w:tcPr>
            <w:tcW w:w="32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vMerge w:val="restart"/>
          </w:tcPr>
          <w:p>
            <w:pPr>
              <w:jc w:val="right"/>
              <w:ind w:right="59"/>
              <w:spacing w:after="0"/>
              <w:rPr>
                <w:sz w:val="20"/>
                <w:szCs w:val="20"/>
                <w:color w:val="auto"/>
              </w:rPr>
            </w:pPr>
            <w:r>
              <w:rPr>
                <w:rFonts w:ascii="Times New Roman" w:cs="Times New Roman" w:eastAsia="Times New Roman" w:hAnsi="Times New Roman"/>
                <w:sz w:val="16"/>
                <w:szCs w:val="16"/>
                <w:color w:val="auto"/>
              </w:rPr>
              <w:t>130,547,356</w:t>
            </w:r>
          </w:p>
        </w:tc>
        <w:tc>
          <w:tcPr>
            <w:tcW w:w="400" w:type="dxa"/>
            <w:vAlign w:val="bottom"/>
            <w:tcBorders>
              <w:top w:val="single" w:sz="8" w:color="auto"/>
            </w:tcBorders>
            <w:vMerge w:val="restart"/>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vMerge w:val="restart"/>
          </w:tcPr>
          <w:p>
            <w:pPr>
              <w:jc w:val="right"/>
              <w:ind w:right="19"/>
              <w:spacing w:after="0"/>
              <w:rPr>
                <w:sz w:val="20"/>
                <w:szCs w:val="20"/>
                <w:color w:val="auto"/>
              </w:rPr>
            </w:pPr>
            <w:r>
              <w:rPr>
                <w:rFonts w:ascii="Times New Roman" w:cs="Times New Roman" w:eastAsia="Times New Roman" w:hAnsi="Times New Roman"/>
                <w:sz w:val="16"/>
                <w:szCs w:val="16"/>
                <w:color w:val="auto"/>
              </w:rPr>
              <w:t>2,119,758</w:t>
            </w:r>
          </w:p>
        </w:tc>
        <w:tc>
          <w:tcPr>
            <w:tcW w:w="4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30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interest in Master Trust</w:t>
            </w:r>
          </w:p>
        </w:tc>
        <w:tc>
          <w:tcPr>
            <w:tcW w:w="540" w:type="dxa"/>
            <w:vAlign w:val="bottom"/>
            <w:tcBorders>
              <w:bottom w:val="single" w:sz="8" w:color="auto"/>
            </w:tcBorders>
            <w:gridSpan w:val="2"/>
            <w:vMerge w:val="continue"/>
          </w:tcPr>
          <w:p>
            <w:pPr>
              <w:spacing w:after="0"/>
              <w:rPr>
                <w:sz w:val="19"/>
                <w:szCs w:val="19"/>
                <w:color w:val="auto"/>
              </w:rPr>
            </w:pPr>
          </w:p>
        </w:tc>
        <w:tc>
          <w:tcPr>
            <w:tcW w:w="1160" w:type="dxa"/>
            <w:vAlign w:val="bottom"/>
            <w:tcBorders>
              <w:bottom w:val="single" w:sz="8" w:color="auto"/>
            </w:tcBorders>
            <w:vMerge w:val="continue"/>
          </w:tcPr>
          <w:p>
            <w:pPr>
              <w:spacing w:after="0"/>
              <w:rPr>
                <w:sz w:val="19"/>
                <w:szCs w:val="19"/>
                <w:color w:val="auto"/>
              </w:rPr>
            </w:pPr>
          </w:p>
        </w:tc>
        <w:tc>
          <w:tcPr>
            <w:tcW w:w="24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vMerge w:val="continue"/>
          </w:tcPr>
          <w:p>
            <w:pPr>
              <w:spacing w:after="0"/>
              <w:rPr>
                <w:sz w:val="19"/>
                <w:szCs w:val="19"/>
                <w:color w:val="auto"/>
              </w:rPr>
            </w:pPr>
          </w:p>
        </w:tc>
        <w:tc>
          <w:tcPr>
            <w:tcW w:w="280" w:type="dxa"/>
            <w:vAlign w:val="bottom"/>
            <w:tcBorders>
              <w:bottom w:val="single" w:sz="8" w:color="auto"/>
            </w:tcBorders>
            <w:vMerge w:val="continue"/>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vMerge w:val="continue"/>
          </w:tcPr>
          <w:p>
            <w:pPr>
              <w:spacing w:after="0"/>
              <w:rPr>
                <w:sz w:val="19"/>
                <w:szCs w:val="19"/>
                <w:color w:val="auto"/>
              </w:rPr>
            </w:pPr>
          </w:p>
        </w:tc>
        <w:tc>
          <w:tcPr>
            <w:tcW w:w="400" w:type="dxa"/>
            <w:vAlign w:val="bottom"/>
            <w:tcBorders>
              <w:bottom w:val="single" w:sz="8" w:color="auto"/>
            </w:tcBorders>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17" w:right="239" w:bottom="1440" w:gutter="0" w:footer="0" w:header="0"/>
        </w:sectPr>
      </w:pPr>
    </w:p>
    <w:p>
      <w:pPr>
        <w:spacing w:after="0" w:line="47" w:lineRule="exact"/>
        <w:rPr>
          <w:sz w:val="20"/>
          <w:szCs w:val="20"/>
          <w:color w:val="auto"/>
        </w:rPr>
      </w:pPr>
    </w:p>
    <w:p>
      <w:pPr>
        <w:ind w:left="10320"/>
        <w:spacing w:after="0"/>
        <w:rPr>
          <w:sz w:val="20"/>
          <w:szCs w:val="20"/>
          <w:color w:val="auto"/>
        </w:rPr>
      </w:pPr>
      <w:r>
        <w:rPr>
          <w:rFonts w:ascii="Times New Roman" w:cs="Times New Roman" w:eastAsia="Times New Roman" w:hAnsi="Times New Roman"/>
          <w:sz w:val="19"/>
          <w:szCs w:val="19"/>
          <w:color w:val="auto"/>
        </w:rPr>
        <w:t>Page 14 of 26</w:t>
      </w:r>
    </w:p>
    <w:p>
      <w:pPr>
        <w:sectPr>
          <w:pgSz w:w="11900" w:h="16838" w:orient="portrait"/>
          <w:cols w:equalWidth="0" w:num="1">
            <w:col w:w="11420"/>
          </w:cols>
          <w:pgMar w:left="240" w:top="117" w:right="239" w:bottom="1440" w:gutter="0" w:footer="0" w:header="0"/>
          <w:type w:val="continuous"/>
        </w:sectPr>
      </w:pPr>
    </w:p>
    <w:bookmarkStart w:id="14" w:name="page15"/>
    <w:bookmarkEnd w:id="14"/>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3440" w:firstLine="8"/>
        <w:spacing w:after="0" w:line="475" w:lineRule="auto"/>
        <w:tabs>
          <w:tab w:leader="none" w:pos="216" w:val="left"/>
        </w:tabs>
        <w:numPr>
          <w:ilvl w:val="0"/>
          <w:numId w:val="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Fair Value of Financial Instruments (excluding interest in Master Trust) (continued) Changes in Level 3 Fair Value Measurements</w:t>
      </w:r>
    </w:p>
    <w:p>
      <w:pPr>
        <w:spacing w:after="0" w:line="2"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The reconciliation for all assets and liabilities measured at fair value on a recurring basis using significant unobservable inputs (Level 3) for the years ended December 31, 2014 and 2013, are as follows:</w:t>
      </w:r>
    </w:p>
    <w:p>
      <w:pPr>
        <w:spacing w:after="0" w:line="394" w:lineRule="exact"/>
        <w:rPr>
          <w:sz w:val="20"/>
          <w:szCs w:val="20"/>
          <w:color w:val="auto"/>
        </w:rPr>
      </w:pPr>
    </w:p>
    <w:tbl>
      <w:tblPr>
        <w:tblLayout w:type="fixed"/>
        <w:tblInd w:w="340" w:type="dxa"/>
        <w:tblCellMar>
          <w:top w:w="0" w:type="dxa"/>
          <w:left w:w="0" w:type="dxa"/>
          <w:bottom w:w="0" w:type="dxa"/>
          <w:right w:w="0" w:type="dxa"/>
        </w:tblCellMar>
      </w:tblPr>
      <w:tr>
        <w:trPr>
          <w:trHeight w:val="204"/>
        </w:trPr>
        <w:tc>
          <w:tcPr>
            <w:tcW w:w="1640" w:type="dxa"/>
            <w:vAlign w:val="bottom"/>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840" w:type="dxa"/>
            <w:vAlign w:val="bottom"/>
            <w:tcBorders>
              <w:bottom w:val="single" w:sz="8" w:color="auto"/>
            </w:tcBorders>
            <w:gridSpan w:val="4"/>
          </w:tcPr>
          <w:p>
            <w:pPr>
              <w:jc w:val="right"/>
              <w:ind w:right="183"/>
              <w:spacing w:after="0"/>
              <w:rPr>
                <w:sz w:val="20"/>
                <w:szCs w:val="20"/>
                <w:color w:val="auto"/>
              </w:rPr>
            </w:pPr>
            <w:r>
              <w:rPr>
                <w:rFonts w:ascii="Times New Roman" w:cs="Times New Roman" w:eastAsia="Times New Roman" w:hAnsi="Times New Roman"/>
                <w:sz w:val="15"/>
                <w:szCs w:val="15"/>
                <w:b w:val="1"/>
                <w:bCs w:val="1"/>
                <w:color w:val="auto"/>
              </w:rPr>
              <w:t>For the year ended December 31, 2014</w:t>
            </w:r>
          </w:p>
        </w:tc>
        <w:tc>
          <w:tcPr>
            <w:tcW w:w="5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0"/>
        </w:trPr>
        <w:tc>
          <w:tcPr>
            <w:tcW w:w="1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jc w:val="center"/>
              <w:ind w:right="23"/>
              <w:spacing w:after="0"/>
              <w:rPr>
                <w:sz w:val="20"/>
                <w:szCs w:val="20"/>
                <w:color w:val="auto"/>
              </w:rPr>
            </w:pPr>
            <w:r>
              <w:rPr>
                <w:rFonts w:ascii="Times New Roman" w:cs="Times New Roman" w:eastAsia="Times New Roman" w:hAnsi="Times New Roman"/>
                <w:sz w:val="15"/>
                <w:szCs w:val="15"/>
                <w:b w:val="1"/>
                <w:bCs w:val="1"/>
                <w:color w:val="auto"/>
              </w:rPr>
              <w:t>Changes in</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rPr>
              <w:t>Unrealized Gains</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rPr>
              <w:t>(Losses) Included</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rPr>
              <w:t>in Statements of</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43"/>
              <w:spacing w:after="0" w:line="162" w:lineRule="exact"/>
              <w:rPr>
                <w:sz w:val="20"/>
                <w:szCs w:val="20"/>
                <w:color w:val="auto"/>
              </w:rPr>
            </w:pPr>
            <w:r>
              <w:rPr>
                <w:rFonts w:ascii="Times New Roman" w:cs="Times New Roman" w:eastAsia="Times New Roman" w:hAnsi="Times New Roman"/>
                <w:sz w:val="15"/>
                <w:szCs w:val="15"/>
                <w:b w:val="1"/>
                <w:bCs w:val="1"/>
                <w:color w:val="auto"/>
              </w:rPr>
              <w:t>Changes in Net</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rPr>
              <w:t>Assets Available</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43"/>
              <w:spacing w:after="0" w:line="162" w:lineRule="exact"/>
              <w:rPr>
                <w:sz w:val="20"/>
                <w:szCs w:val="20"/>
                <w:color w:val="auto"/>
              </w:rPr>
            </w:pPr>
            <w:r>
              <w:rPr>
                <w:rFonts w:ascii="Times New Roman" w:cs="Times New Roman" w:eastAsia="Times New Roman" w:hAnsi="Times New Roman"/>
                <w:sz w:val="15"/>
                <w:szCs w:val="15"/>
                <w:b w:val="1"/>
                <w:bCs w:val="1"/>
                <w:color w:val="auto"/>
              </w:rPr>
              <w:t>for Benefits</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1660" w:type="dxa"/>
            <w:vAlign w:val="bottom"/>
            <w:gridSpan w:val="3"/>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rPr>
              <w:t>Beginning Asset Balance</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jc w:val="center"/>
              <w:ind w:right="163"/>
              <w:spacing w:after="0" w:line="162" w:lineRule="exact"/>
              <w:rPr>
                <w:sz w:val="20"/>
                <w:szCs w:val="20"/>
                <w:color w:val="auto"/>
              </w:rPr>
            </w:pPr>
            <w:r>
              <w:rPr>
                <w:rFonts w:ascii="Times New Roman" w:cs="Times New Roman" w:eastAsia="Times New Roman" w:hAnsi="Times New Roman"/>
                <w:sz w:val="15"/>
                <w:szCs w:val="15"/>
                <w:b w:val="1"/>
                <w:bCs w:val="1"/>
                <w:color w:val="auto"/>
              </w:rPr>
              <w:t>Ending Asset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43"/>
              <w:spacing w:after="0" w:line="162" w:lineRule="exact"/>
              <w:rPr>
                <w:sz w:val="20"/>
                <w:szCs w:val="20"/>
                <w:color w:val="auto"/>
              </w:rPr>
            </w:pPr>
            <w:r>
              <w:rPr>
                <w:rFonts w:ascii="Times New Roman" w:cs="Times New Roman" w:eastAsia="Times New Roman" w:hAnsi="Times New Roman"/>
                <w:sz w:val="15"/>
                <w:szCs w:val="15"/>
                <w:b w:val="1"/>
                <w:bCs w:val="1"/>
                <w:color w:val="auto"/>
              </w:rPr>
              <w:t>Relating to</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jc w:val="right"/>
              <w:ind w:right="623"/>
              <w:spacing w:after="0" w:line="162" w:lineRule="exact"/>
              <w:rPr>
                <w:sz w:val="20"/>
                <w:szCs w:val="20"/>
                <w:color w:val="auto"/>
              </w:rPr>
            </w:pPr>
            <w:r>
              <w:rPr>
                <w:rFonts w:ascii="Times New Roman" w:cs="Times New Roman" w:eastAsia="Times New Roman" w:hAnsi="Times New Roman"/>
                <w:sz w:val="15"/>
                <w:szCs w:val="15"/>
                <w:b w:val="1"/>
                <w:bCs w:val="1"/>
                <w:color w:val="auto"/>
              </w:rPr>
              <w:t>as of</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1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b w:val="1"/>
                <w:bCs w:val="1"/>
                <w:color w:val="auto"/>
                <w:w w:val="98"/>
              </w:rPr>
              <w:t>Transfers in</w:t>
            </w:r>
          </w:p>
        </w:tc>
        <w:tc>
          <w:tcPr>
            <w:tcW w:w="240" w:type="dxa"/>
            <w:vAlign w:val="bottom"/>
          </w:tcPr>
          <w:p>
            <w:pPr>
              <w:spacing w:after="0"/>
              <w:rPr>
                <w:sz w:val="14"/>
                <w:szCs w:val="14"/>
                <w:color w:val="auto"/>
              </w:rPr>
            </w:pPr>
          </w:p>
        </w:tc>
        <w:tc>
          <w:tcPr>
            <w:tcW w:w="1180" w:type="dxa"/>
            <w:vAlign w:val="bottom"/>
          </w:tcPr>
          <w:p>
            <w:pPr>
              <w:jc w:val="center"/>
              <w:ind w:right="163"/>
              <w:spacing w:after="0" w:line="162" w:lineRule="exact"/>
              <w:rPr>
                <w:sz w:val="20"/>
                <w:szCs w:val="20"/>
                <w:color w:val="auto"/>
              </w:rPr>
            </w:pPr>
            <w:r>
              <w:rPr>
                <w:rFonts w:ascii="Times New Roman" w:cs="Times New Roman" w:eastAsia="Times New Roman" w:hAnsi="Times New Roman"/>
                <w:sz w:val="15"/>
                <w:szCs w:val="15"/>
                <w:b w:val="1"/>
                <w:bCs w:val="1"/>
                <w:color w:val="auto"/>
              </w:rPr>
              <w:t>Balance as of</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23"/>
              <w:spacing w:after="0" w:line="162" w:lineRule="exact"/>
              <w:rPr>
                <w:sz w:val="20"/>
                <w:szCs w:val="20"/>
                <w:color w:val="auto"/>
              </w:rPr>
            </w:pPr>
            <w:r>
              <w:rPr>
                <w:rFonts w:ascii="Times New Roman" w:cs="Times New Roman" w:eastAsia="Times New Roman" w:hAnsi="Times New Roman"/>
                <w:sz w:val="15"/>
                <w:szCs w:val="15"/>
                <w:b w:val="1"/>
                <w:bCs w:val="1"/>
                <w:color w:val="auto"/>
              </w:rPr>
              <w:t>Positions Still</w:t>
            </w:r>
          </w:p>
        </w:tc>
        <w:tc>
          <w:tcPr>
            <w:tcW w:w="0" w:type="dxa"/>
            <w:vAlign w:val="bottom"/>
          </w:tcPr>
          <w:p>
            <w:pPr>
              <w:spacing w:after="0"/>
              <w:rPr>
                <w:sz w:val="1"/>
                <w:szCs w:val="1"/>
                <w:color w:val="auto"/>
              </w:rPr>
            </w:pPr>
          </w:p>
        </w:tc>
      </w:tr>
      <w:tr>
        <w:trPr>
          <w:trHeight w:val="206"/>
        </w:trPr>
        <w:tc>
          <w:tcPr>
            <w:tcW w:w="1640" w:type="dxa"/>
            <w:vAlign w:val="bottom"/>
            <w:tcBorders>
              <w:bottom w:val="single" w:sz="8" w:color="CCEEFF"/>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center"/>
              <w:ind w:right="163"/>
              <w:spacing w:after="0"/>
              <w:rPr>
                <w:sz w:val="20"/>
                <w:szCs w:val="20"/>
                <w:color w:val="auto"/>
              </w:rPr>
            </w:pPr>
            <w:r>
              <w:rPr>
                <w:rFonts w:ascii="Times New Roman" w:cs="Times New Roman" w:eastAsia="Times New Roman" w:hAnsi="Times New Roman"/>
                <w:sz w:val="15"/>
                <w:szCs w:val="15"/>
                <w:b w:val="1"/>
                <w:bCs w:val="1"/>
                <w:color w:val="auto"/>
              </w:rPr>
              <w:t>January 1, 2014</w:t>
            </w: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23"/>
              <w:spacing w:after="0"/>
              <w:rPr>
                <w:sz w:val="20"/>
                <w:szCs w:val="20"/>
                <w:color w:val="auto"/>
              </w:rPr>
            </w:pPr>
            <w:r>
              <w:rPr>
                <w:rFonts w:ascii="Times New Roman" w:cs="Times New Roman" w:eastAsia="Times New Roman" w:hAnsi="Times New Roman"/>
                <w:sz w:val="15"/>
                <w:szCs w:val="15"/>
                <w:b w:val="1"/>
                <w:bCs w:val="1"/>
                <w:color w:val="auto"/>
              </w:rPr>
              <w:t>Interest*</w:t>
            </w: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123"/>
              <w:spacing w:after="0"/>
              <w:rPr>
                <w:sz w:val="20"/>
                <w:szCs w:val="20"/>
                <w:color w:val="auto"/>
              </w:rPr>
            </w:pPr>
            <w:r>
              <w:rPr>
                <w:rFonts w:ascii="Times New Roman" w:cs="Times New Roman" w:eastAsia="Times New Roman" w:hAnsi="Times New Roman"/>
                <w:sz w:val="15"/>
                <w:szCs w:val="15"/>
                <w:b w:val="1"/>
                <w:bCs w:val="1"/>
                <w:color w:val="auto"/>
              </w:rPr>
              <w:t>Purchases **</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63"/>
              <w:spacing w:after="0"/>
              <w:rPr>
                <w:sz w:val="20"/>
                <w:szCs w:val="20"/>
                <w:color w:val="auto"/>
              </w:rPr>
            </w:pPr>
            <w:r>
              <w:rPr>
                <w:rFonts w:ascii="Times New Roman" w:cs="Times New Roman" w:eastAsia="Times New Roman" w:hAnsi="Times New Roman"/>
                <w:sz w:val="15"/>
                <w:szCs w:val="15"/>
                <w:b w:val="1"/>
                <w:bCs w:val="1"/>
                <w:color w:val="auto"/>
              </w:rPr>
              <w:t>Sales**</w:t>
            </w:r>
          </w:p>
        </w:tc>
        <w:tc>
          <w:tcPr>
            <w:tcW w:w="11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5"/>
                <w:szCs w:val="15"/>
                <w:b w:val="1"/>
                <w:bCs w:val="1"/>
                <w:color w:val="auto"/>
              </w:rPr>
              <w:t>(Out) of Level 3</w:t>
            </w:r>
          </w:p>
        </w:tc>
        <w:tc>
          <w:tcPr>
            <w:tcW w:w="14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5"/>
                <w:szCs w:val="15"/>
                <w:b w:val="1"/>
                <w:bCs w:val="1"/>
                <w:color w:val="auto"/>
              </w:rPr>
              <w:t>December 31, 2014</w:t>
            </w: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center"/>
              <w:ind w:right="43"/>
              <w:spacing w:after="0"/>
              <w:rPr>
                <w:sz w:val="20"/>
                <w:szCs w:val="20"/>
                <w:color w:val="auto"/>
              </w:rPr>
            </w:pPr>
            <w:r>
              <w:rPr>
                <w:rFonts w:ascii="Times New Roman" w:cs="Times New Roman" w:eastAsia="Times New Roman" w:hAnsi="Times New Roman"/>
                <w:sz w:val="15"/>
                <w:szCs w:val="15"/>
                <w:b w:val="1"/>
                <w:bCs w:val="1"/>
                <w:color w:val="auto"/>
              </w:rPr>
              <w:t>Held</w:t>
            </w:r>
          </w:p>
        </w:tc>
        <w:tc>
          <w:tcPr>
            <w:tcW w:w="0" w:type="dxa"/>
            <w:vAlign w:val="bottom"/>
          </w:tcPr>
          <w:p>
            <w:pPr>
              <w:spacing w:after="0"/>
              <w:rPr>
                <w:sz w:val="1"/>
                <w:szCs w:val="1"/>
                <w:color w:val="auto"/>
              </w:rPr>
            </w:pPr>
          </w:p>
        </w:tc>
      </w:tr>
      <w:tr>
        <w:trPr>
          <w:trHeight w:val="192"/>
        </w:trPr>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b w:val="1"/>
                <w:bCs w:val="1"/>
                <w:color w:val="auto"/>
              </w:rPr>
              <w:t>Assets</w:t>
            </w:r>
          </w:p>
        </w:tc>
        <w:tc>
          <w:tcPr>
            <w:tcW w:w="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164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14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6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16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Guaranteed interest</w:t>
            </w:r>
          </w:p>
        </w:tc>
        <w:tc>
          <w:tcPr>
            <w:tcW w:w="240" w:type="dxa"/>
            <w:vAlign w:val="bottom"/>
            <w:gridSpan w:val="2"/>
            <w:vMerge w:val="restart"/>
          </w:tcPr>
          <w:p>
            <w:pPr>
              <w:jc w:val="right"/>
              <w:ind w:right="63"/>
              <w:spacing w:after="0"/>
              <w:rPr>
                <w:sz w:val="20"/>
                <w:szCs w:val="20"/>
                <w:color w:val="auto"/>
              </w:rPr>
            </w:pPr>
            <w:r>
              <w:rPr>
                <w:rFonts w:ascii="Times New Roman" w:cs="Times New Roman" w:eastAsia="Times New Roman" w:hAnsi="Times New Roman"/>
                <w:sz w:val="15"/>
                <w:szCs w:val="15"/>
                <w:b w:val="1"/>
                <w:bCs w:val="1"/>
                <w:color w:val="auto"/>
              </w:rPr>
              <w:t>$</w:t>
            </w:r>
          </w:p>
        </w:tc>
        <w:tc>
          <w:tcPr>
            <w:tcW w:w="1420" w:type="dxa"/>
            <w:vAlign w:val="bottom"/>
            <w:vMerge w:val="restart"/>
          </w:tcPr>
          <w:p>
            <w:pPr>
              <w:jc w:val="right"/>
              <w:ind w:right="43"/>
              <w:spacing w:after="0"/>
              <w:rPr>
                <w:sz w:val="20"/>
                <w:szCs w:val="20"/>
                <w:color w:val="auto"/>
              </w:rPr>
            </w:pPr>
            <w:r>
              <w:rPr>
                <w:rFonts w:ascii="Times New Roman" w:cs="Times New Roman" w:eastAsia="Times New Roman" w:hAnsi="Times New Roman"/>
                <w:sz w:val="15"/>
                <w:szCs w:val="15"/>
                <w:b w:val="1"/>
                <w:bCs w:val="1"/>
                <w:color w:val="auto"/>
              </w:rPr>
              <w:t>2,119,758</w:t>
            </w:r>
          </w:p>
        </w:tc>
        <w:tc>
          <w:tcPr>
            <w:tcW w:w="20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34,329</w:t>
            </w:r>
          </w:p>
        </w:tc>
        <w:tc>
          <w:tcPr>
            <w:tcW w:w="120" w:type="dxa"/>
            <w:vAlign w:val="bottom"/>
          </w:tcPr>
          <w:p>
            <w:pPr>
              <w:spacing w:after="0"/>
              <w:rPr>
                <w:sz w:val="14"/>
                <w:szCs w:val="14"/>
                <w:color w:val="auto"/>
              </w:rPr>
            </w:pPr>
          </w:p>
        </w:tc>
        <w:tc>
          <w:tcPr>
            <w:tcW w:w="18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473,952</w:t>
            </w:r>
          </w:p>
        </w:tc>
        <w:tc>
          <w:tcPr>
            <w:tcW w:w="260" w:type="dxa"/>
            <w:vAlign w:val="bottom"/>
            <w:vMerge w:val="restart"/>
          </w:tcPr>
          <w:p>
            <w:pPr>
              <w:jc w:val="right"/>
              <w:ind w:right="63"/>
              <w:spacing w:after="0"/>
              <w:rPr>
                <w:sz w:val="20"/>
                <w:szCs w:val="20"/>
                <w:color w:val="auto"/>
              </w:rPr>
            </w:pPr>
            <w:r>
              <w:rPr>
                <w:rFonts w:ascii="Times New Roman" w:cs="Times New Roman" w:eastAsia="Times New Roman" w:hAnsi="Times New Roman"/>
                <w:sz w:val="15"/>
                <w:szCs w:val="15"/>
                <w:b w:val="1"/>
                <w:bCs w:val="1"/>
                <w:color w:val="auto"/>
              </w:rPr>
              <w:t>$</w:t>
            </w: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(477,310)</w:t>
            </w:r>
          </w:p>
        </w:tc>
        <w:tc>
          <w:tcPr>
            <w:tcW w:w="600" w:type="dxa"/>
            <w:vAlign w:val="bottom"/>
            <w:vMerge w:val="restart"/>
          </w:tcPr>
          <w:p>
            <w:pPr>
              <w:jc w:val="right"/>
              <w:ind w:right="343"/>
              <w:spacing w:after="0"/>
              <w:rPr>
                <w:sz w:val="20"/>
                <w:szCs w:val="20"/>
                <w:color w:val="auto"/>
              </w:rPr>
            </w:pPr>
            <w:r>
              <w:rPr>
                <w:rFonts w:ascii="Times New Roman" w:cs="Times New Roman" w:eastAsia="Times New Roman" w:hAnsi="Times New Roman"/>
                <w:sz w:val="15"/>
                <w:szCs w:val="15"/>
                <w:b w:val="1"/>
                <w:bCs w:val="1"/>
                <w:color w:val="auto"/>
              </w:rPr>
              <w:t>$</w:t>
            </w:r>
          </w:p>
        </w:tc>
        <w:tc>
          <w:tcPr>
            <w:tcW w:w="520" w:type="dxa"/>
            <w:vAlign w:val="bottom"/>
            <w:vMerge w:val="restart"/>
          </w:tcPr>
          <w:p>
            <w:pPr>
              <w:ind w:left="260"/>
              <w:spacing w:after="0"/>
              <w:rPr>
                <w:sz w:val="20"/>
                <w:szCs w:val="20"/>
                <w:color w:val="auto"/>
              </w:rPr>
            </w:pPr>
            <w:r>
              <w:rPr>
                <w:rFonts w:ascii="Times New Roman" w:cs="Times New Roman" w:eastAsia="Times New Roman" w:hAnsi="Times New Roman"/>
                <w:sz w:val="15"/>
                <w:szCs w:val="15"/>
                <w:b w:val="1"/>
                <w:bCs w:val="1"/>
                <w:color w:val="auto"/>
              </w:rPr>
              <w:t>—</w:t>
            </w:r>
          </w:p>
        </w:tc>
        <w:tc>
          <w:tcPr>
            <w:tcW w:w="240" w:type="dxa"/>
            <w:vAlign w:val="bottom"/>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180" w:type="dxa"/>
            <w:vAlign w:val="bottom"/>
            <w:vMerge w:val="restart"/>
          </w:tcPr>
          <w:p>
            <w:pPr>
              <w:jc w:val="right"/>
              <w:ind w:right="3"/>
              <w:spacing w:after="0"/>
              <w:rPr>
                <w:sz w:val="20"/>
                <w:szCs w:val="20"/>
                <w:color w:val="auto"/>
              </w:rPr>
            </w:pPr>
            <w:r>
              <w:rPr>
                <w:rFonts w:ascii="Times New Roman" w:cs="Times New Roman" w:eastAsia="Times New Roman" w:hAnsi="Times New Roman"/>
                <w:sz w:val="15"/>
                <w:szCs w:val="15"/>
                <w:b w:val="1"/>
                <w:bCs w:val="1"/>
                <w:color w:val="auto"/>
              </w:rPr>
              <w:t>2,150,729</w:t>
            </w:r>
          </w:p>
        </w:tc>
        <w:tc>
          <w:tcPr>
            <w:tcW w:w="1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120" w:type="dxa"/>
            <w:vAlign w:val="bottom"/>
            <w:vMerge w:val="restart"/>
          </w:tcPr>
          <w:p>
            <w:pPr>
              <w:jc w:val="right"/>
              <w:ind w:right="3"/>
              <w:spacing w:after="0"/>
              <w:rPr>
                <w:sz w:val="20"/>
                <w:szCs w:val="20"/>
                <w:color w:val="auto"/>
              </w:rPr>
            </w:pPr>
            <w:r>
              <w:rPr>
                <w:rFonts w:ascii="Times New Roman" w:cs="Times New Roman" w:eastAsia="Times New Roman" w:hAnsi="Times New Roman"/>
                <w:sz w:val="15"/>
                <w:szCs w:val="15"/>
                <w:b w:val="1"/>
                <w:bCs w:val="1"/>
                <w:color w:val="auto"/>
              </w:rPr>
              <w:t>6,344</w:t>
            </w:r>
          </w:p>
        </w:tc>
        <w:tc>
          <w:tcPr>
            <w:tcW w:w="0" w:type="dxa"/>
            <w:vAlign w:val="bottom"/>
          </w:tcPr>
          <w:p>
            <w:pPr>
              <w:spacing w:after="0"/>
              <w:rPr>
                <w:sz w:val="1"/>
                <w:szCs w:val="1"/>
                <w:color w:val="auto"/>
              </w:rPr>
            </w:pPr>
          </w:p>
        </w:tc>
      </w:tr>
      <w:tr>
        <w:trPr>
          <w:trHeight w:val="202"/>
        </w:trPr>
        <w:tc>
          <w:tcPr>
            <w:tcW w:w="164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15"/>
                <w:szCs w:val="15"/>
                <w:color w:val="auto"/>
              </w:rPr>
              <w:t>accounts</w:t>
            </w:r>
          </w:p>
        </w:tc>
        <w:tc>
          <w:tcPr>
            <w:tcW w:w="240" w:type="dxa"/>
            <w:vAlign w:val="bottom"/>
            <w:tcBorders>
              <w:bottom w:val="single" w:sz="8" w:color="auto"/>
            </w:tcBorders>
            <w:gridSpan w:val="2"/>
            <w:vMerge w:val="continue"/>
          </w:tcPr>
          <w:p>
            <w:pPr>
              <w:spacing w:after="0"/>
              <w:rPr>
                <w:sz w:val="17"/>
                <w:szCs w:val="17"/>
                <w:color w:val="auto"/>
              </w:rPr>
            </w:pPr>
          </w:p>
        </w:tc>
        <w:tc>
          <w:tcPr>
            <w:tcW w:w="1420" w:type="dxa"/>
            <w:vAlign w:val="bottom"/>
            <w:tcBorders>
              <w:bottom w:val="single" w:sz="8" w:color="auto"/>
            </w:tcBorders>
            <w:vMerge w:val="continue"/>
          </w:tcPr>
          <w:p>
            <w:pPr>
              <w:spacing w:after="0"/>
              <w:rPr>
                <w:sz w:val="17"/>
                <w:szCs w:val="17"/>
                <w:color w:val="auto"/>
              </w:rPr>
            </w:pPr>
          </w:p>
        </w:tc>
        <w:tc>
          <w:tcPr>
            <w:tcW w:w="200" w:type="dxa"/>
            <w:vAlign w:val="bottom"/>
            <w:tcBorders>
              <w:bottom w:val="single" w:sz="8" w:color="auto"/>
            </w:tcBorders>
            <w:vMerge w:val="continue"/>
          </w:tcPr>
          <w:p>
            <w:pPr>
              <w:spacing w:after="0"/>
              <w:rPr>
                <w:sz w:val="17"/>
                <w:szCs w:val="17"/>
                <w:color w:val="auto"/>
              </w:rPr>
            </w:pPr>
          </w:p>
        </w:tc>
        <w:tc>
          <w:tcPr>
            <w:tcW w:w="82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vMerge w:val="continue"/>
          </w:tcPr>
          <w:p>
            <w:pPr>
              <w:spacing w:after="0"/>
              <w:rPr>
                <w:sz w:val="17"/>
                <w:szCs w:val="17"/>
                <w:color w:val="auto"/>
              </w:rPr>
            </w:pPr>
          </w:p>
        </w:tc>
        <w:tc>
          <w:tcPr>
            <w:tcW w:w="1060" w:type="dxa"/>
            <w:vAlign w:val="bottom"/>
            <w:tcBorders>
              <w:bottom w:val="single" w:sz="8" w:color="auto"/>
            </w:tcBorders>
            <w:vMerge w:val="continue"/>
          </w:tcPr>
          <w:p>
            <w:pPr>
              <w:spacing w:after="0"/>
              <w:rPr>
                <w:sz w:val="17"/>
                <w:szCs w:val="17"/>
                <w:color w:val="auto"/>
              </w:rPr>
            </w:pPr>
          </w:p>
        </w:tc>
        <w:tc>
          <w:tcPr>
            <w:tcW w:w="260" w:type="dxa"/>
            <w:vAlign w:val="bottom"/>
            <w:tcBorders>
              <w:bottom w:val="single" w:sz="8" w:color="auto"/>
            </w:tcBorders>
            <w:vMerge w:val="continue"/>
          </w:tcPr>
          <w:p>
            <w:pPr>
              <w:spacing w:after="0"/>
              <w:rPr>
                <w:sz w:val="17"/>
                <w:szCs w:val="17"/>
                <w:color w:val="auto"/>
              </w:rPr>
            </w:pPr>
          </w:p>
        </w:tc>
        <w:tc>
          <w:tcPr>
            <w:tcW w:w="920" w:type="dxa"/>
            <w:vAlign w:val="bottom"/>
            <w:tcBorders>
              <w:bottom w:val="single" w:sz="8" w:color="auto"/>
            </w:tcBorders>
            <w:vMerge w:val="continue"/>
          </w:tcPr>
          <w:p>
            <w:pPr>
              <w:spacing w:after="0"/>
              <w:rPr>
                <w:sz w:val="17"/>
                <w:szCs w:val="17"/>
                <w:color w:val="auto"/>
              </w:rPr>
            </w:pPr>
          </w:p>
        </w:tc>
        <w:tc>
          <w:tcPr>
            <w:tcW w:w="600" w:type="dxa"/>
            <w:vAlign w:val="bottom"/>
            <w:tcBorders>
              <w:bottom w:val="single" w:sz="8" w:color="auto"/>
            </w:tcBorders>
            <w:vMerge w:val="continue"/>
          </w:tcPr>
          <w:p>
            <w:pPr>
              <w:spacing w:after="0"/>
              <w:rPr>
                <w:sz w:val="17"/>
                <w:szCs w:val="17"/>
                <w:color w:val="auto"/>
              </w:rPr>
            </w:pPr>
          </w:p>
        </w:tc>
        <w:tc>
          <w:tcPr>
            <w:tcW w:w="520" w:type="dxa"/>
            <w:vAlign w:val="bottom"/>
            <w:tcBorders>
              <w:bottom w:val="single" w:sz="8" w:color="auto"/>
            </w:tcBorders>
            <w:vMerge w:val="continue"/>
          </w:tcPr>
          <w:p>
            <w:pPr>
              <w:spacing w:after="0"/>
              <w:rPr>
                <w:sz w:val="17"/>
                <w:szCs w:val="17"/>
                <w:color w:val="auto"/>
              </w:rPr>
            </w:pPr>
          </w:p>
        </w:tc>
        <w:tc>
          <w:tcPr>
            <w:tcW w:w="240" w:type="dxa"/>
            <w:vAlign w:val="bottom"/>
            <w:tcBorders>
              <w:bottom w:val="single" w:sz="8" w:color="auto"/>
            </w:tcBorders>
            <w:vMerge w:val="continue"/>
          </w:tcPr>
          <w:p>
            <w:pPr>
              <w:spacing w:after="0"/>
              <w:rPr>
                <w:sz w:val="17"/>
                <w:szCs w:val="17"/>
                <w:color w:val="auto"/>
              </w:rPr>
            </w:pPr>
          </w:p>
        </w:tc>
        <w:tc>
          <w:tcPr>
            <w:tcW w:w="118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auto"/>
            </w:tcBorders>
            <w:gridSpan w:val="2"/>
            <w:vMerge w:val="continue"/>
          </w:tcPr>
          <w:p>
            <w:pPr>
              <w:spacing w:after="0"/>
              <w:rPr>
                <w:sz w:val="17"/>
                <w:szCs w:val="17"/>
                <w:color w:val="auto"/>
              </w:rPr>
            </w:pPr>
          </w:p>
        </w:tc>
        <w:tc>
          <w:tcPr>
            <w:tcW w:w="11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Total</w:t>
            </w:r>
          </w:p>
        </w:tc>
        <w:tc>
          <w:tcPr>
            <w:tcW w:w="240" w:type="dxa"/>
            <w:vAlign w:val="bottom"/>
            <w:tcBorders>
              <w:bottom w:val="single" w:sz="8" w:color="auto"/>
            </w:tcBorders>
            <w:gridSpan w:val="2"/>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b w:val="1"/>
                <w:bCs w:val="1"/>
                <w:color w:val="auto"/>
              </w:rPr>
              <w:t>$</w:t>
            </w:r>
          </w:p>
        </w:tc>
        <w:tc>
          <w:tcPr>
            <w:tcW w:w="1420" w:type="dxa"/>
            <w:vAlign w:val="bottom"/>
            <w:tcBorders>
              <w:bottom w:val="single" w:sz="8" w:color="auto"/>
            </w:tcBorders>
            <w:shd w:val="clear" w:color="auto" w:fill="CCEEFF"/>
          </w:tcPr>
          <w:p>
            <w:pPr>
              <w:jc w:val="right"/>
              <w:ind w:right="43"/>
              <w:spacing w:after="0"/>
              <w:rPr>
                <w:sz w:val="20"/>
                <w:szCs w:val="20"/>
                <w:color w:val="auto"/>
              </w:rPr>
            </w:pPr>
            <w:r>
              <w:rPr>
                <w:rFonts w:ascii="Times New Roman" w:cs="Times New Roman" w:eastAsia="Times New Roman" w:hAnsi="Times New Roman"/>
                <w:sz w:val="15"/>
                <w:szCs w:val="15"/>
                <w:b w:val="1"/>
                <w:bCs w:val="1"/>
                <w:color w:val="auto"/>
              </w:rPr>
              <w:t>2,119,758</w:t>
            </w: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34,329</w:t>
            </w:r>
          </w:p>
        </w:tc>
        <w:tc>
          <w:tcPr>
            <w:tcW w:w="12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473,952</w:t>
            </w:r>
          </w:p>
        </w:tc>
        <w:tc>
          <w:tcPr>
            <w:tcW w:w="260" w:type="dxa"/>
            <w:vAlign w:val="bottom"/>
            <w:tcBorders>
              <w:bottom w:val="single" w:sz="8" w:color="auto"/>
            </w:tcBorders>
            <w:shd w:val="clear" w:color="auto" w:fill="CCEEFF"/>
          </w:tcPr>
          <w:p>
            <w:pPr>
              <w:jc w:val="right"/>
              <w:ind w:right="63"/>
              <w:spacing w:after="0"/>
              <w:rPr>
                <w:sz w:val="20"/>
                <w:szCs w:val="20"/>
                <w:color w:val="auto"/>
              </w:rPr>
            </w:pPr>
            <w:r>
              <w:rPr>
                <w:rFonts w:ascii="Times New Roman" w:cs="Times New Roman" w:eastAsia="Times New Roman" w:hAnsi="Times New Roman"/>
                <w:sz w:val="15"/>
                <w:szCs w:val="15"/>
                <w:b w:val="1"/>
                <w:bCs w:val="1"/>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(477,310)</w:t>
            </w:r>
          </w:p>
        </w:tc>
        <w:tc>
          <w:tcPr>
            <w:tcW w:w="600" w:type="dxa"/>
            <w:vAlign w:val="bottom"/>
            <w:tcBorders>
              <w:bottom w:val="single" w:sz="8" w:color="auto"/>
            </w:tcBorders>
            <w:shd w:val="clear" w:color="auto" w:fill="CCEEFF"/>
          </w:tcPr>
          <w:p>
            <w:pPr>
              <w:jc w:val="right"/>
              <w:ind w:right="343"/>
              <w:spacing w:after="0"/>
              <w:rPr>
                <w:sz w:val="20"/>
                <w:szCs w:val="20"/>
                <w:color w:val="auto"/>
              </w:rPr>
            </w:pPr>
            <w:r>
              <w:rPr>
                <w:rFonts w:ascii="Times New Roman" w:cs="Times New Roman" w:eastAsia="Times New Roman" w:hAnsi="Times New Roman"/>
                <w:sz w:val="15"/>
                <w:szCs w:val="15"/>
                <w:b w:val="1"/>
                <w:bCs w:val="1"/>
                <w:color w:val="auto"/>
              </w:rPr>
              <w:t>$</w:t>
            </w:r>
          </w:p>
        </w:tc>
        <w:tc>
          <w:tcPr>
            <w:tcW w:w="520" w:type="dxa"/>
            <w:vAlign w:val="bottom"/>
            <w:tcBorders>
              <w:bottom w:val="single" w:sz="8" w:color="auto"/>
            </w:tcBorders>
            <w:shd w:val="clear" w:color="auto" w:fill="CCEEFF"/>
          </w:tcPr>
          <w:p>
            <w:pPr>
              <w:ind w:left="260"/>
              <w:spacing w:after="0"/>
              <w:rPr>
                <w:sz w:val="20"/>
                <w:szCs w:val="20"/>
                <w:color w:val="auto"/>
              </w:rPr>
            </w:pPr>
            <w:r>
              <w:rPr>
                <w:rFonts w:ascii="Times New Roman" w:cs="Times New Roman" w:eastAsia="Times New Roman" w:hAnsi="Times New Roman"/>
                <w:sz w:val="15"/>
                <w:szCs w:val="15"/>
                <w:b w:val="1"/>
                <w:bCs w:val="1"/>
                <w:color w:val="auto"/>
              </w:rPr>
              <w:t>—</w:t>
            </w:r>
          </w:p>
        </w:tc>
        <w:tc>
          <w:tcPr>
            <w:tcW w:w="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180" w:type="dxa"/>
            <w:vAlign w:val="bottom"/>
            <w:tcBorders>
              <w:bottom w:val="single" w:sz="8" w:color="auto"/>
            </w:tcBorders>
            <w:shd w:val="clear" w:color="auto" w:fill="CCEEFF"/>
          </w:tcPr>
          <w:p>
            <w:pPr>
              <w:jc w:val="right"/>
              <w:ind w:right="3"/>
              <w:spacing w:after="0"/>
              <w:rPr>
                <w:sz w:val="20"/>
                <w:szCs w:val="20"/>
                <w:color w:val="auto"/>
              </w:rPr>
            </w:pPr>
            <w:r>
              <w:rPr>
                <w:rFonts w:ascii="Times New Roman" w:cs="Times New Roman" w:eastAsia="Times New Roman" w:hAnsi="Times New Roman"/>
                <w:sz w:val="15"/>
                <w:szCs w:val="15"/>
                <w:b w:val="1"/>
                <w:bCs w:val="1"/>
                <w:color w:val="auto"/>
              </w:rPr>
              <w:t>2,150,729</w:t>
            </w: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5"/>
                <w:szCs w:val="15"/>
                <w:b w:val="1"/>
                <w:bCs w:val="1"/>
                <w:color w:val="auto"/>
              </w:rPr>
              <w:t>$</w:t>
            </w:r>
          </w:p>
        </w:tc>
        <w:tc>
          <w:tcPr>
            <w:tcW w:w="1120" w:type="dxa"/>
            <w:vAlign w:val="bottom"/>
            <w:tcBorders>
              <w:bottom w:val="single" w:sz="8" w:color="auto"/>
            </w:tcBorders>
            <w:shd w:val="clear" w:color="auto" w:fill="CCEEFF"/>
          </w:tcPr>
          <w:p>
            <w:pPr>
              <w:jc w:val="right"/>
              <w:ind w:right="3"/>
              <w:spacing w:after="0"/>
              <w:rPr>
                <w:sz w:val="20"/>
                <w:szCs w:val="20"/>
                <w:color w:val="auto"/>
              </w:rPr>
            </w:pPr>
            <w:r>
              <w:rPr>
                <w:rFonts w:ascii="Times New Roman" w:cs="Times New Roman" w:eastAsia="Times New Roman" w:hAnsi="Times New Roman"/>
                <w:sz w:val="15"/>
                <w:szCs w:val="15"/>
                <w:b w:val="1"/>
                <w:bCs w:val="1"/>
                <w:color w:val="auto"/>
              </w:rPr>
              <w:t>6,344</w:t>
            </w:r>
          </w:p>
        </w:tc>
        <w:tc>
          <w:tcPr>
            <w:tcW w:w="0" w:type="dxa"/>
            <w:vAlign w:val="bottom"/>
          </w:tcPr>
          <w:p>
            <w:pPr>
              <w:spacing w:after="0"/>
              <w:rPr>
                <w:sz w:val="1"/>
                <w:szCs w:val="1"/>
                <w:color w:val="auto"/>
              </w:rPr>
            </w:pPr>
          </w:p>
        </w:tc>
      </w:tr>
      <w:tr>
        <w:trPr>
          <w:trHeight w:val="20"/>
        </w:trPr>
        <w:tc>
          <w:tcPr>
            <w:tcW w:w="16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840" w:type="dxa"/>
            <w:vAlign w:val="bottom"/>
            <w:tcBorders>
              <w:bottom w:val="single" w:sz="8" w:color="auto"/>
            </w:tcBorders>
            <w:gridSpan w:val="4"/>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02"/>
        </w:trPr>
        <w:tc>
          <w:tcPr>
            <w:tcW w:w="1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gridSpan w:val="4"/>
          </w:tcPr>
          <w:p>
            <w:pPr>
              <w:jc w:val="right"/>
              <w:ind w:right="263"/>
              <w:spacing w:after="0"/>
              <w:rPr>
                <w:sz w:val="20"/>
                <w:szCs w:val="20"/>
                <w:color w:val="auto"/>
              </w:rPr>
            </w:pPr>
            <w:r>
              <w:rPr>
                <w:rFonts w:ascii="Times New Roman" w:cs="Times New Roman" w:eastAsia="Times New Roman" w:hAnsi="Times New Roman"/>
                <w:sz w:val="15"/>
                <w:szCs w:val="15"/>
                <w:color w:val="auto"/>
              </w:rPr>
              <w:t>For the year ended December 31, 2013</w:t>
            </w:r>
          </w:p>
        </w:tc>
        <w:tc>
          <w:tcPr>
            <w:tcW w:w="5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1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jc w:val="center"/>
              <w:ind w:right="3"/>
              <w:spacing w:after="0"/>
              <w:rPr>
                <w:sz w:val="20"/>
                <w:szCs w:val="20"/>
                <w:color w:val="auto"/>
              </w:rPr>
            </w:pPr>
            <w:r>
              <w:rPr>
                <w:rFonts w:ascii="Times New Roman" w:cs="Times New Roman" w:eastAsia="Times New Roman" w:hAnsi="Times New Roman"/>
                <w:sz w:val="15"/>
                <w:szCs w:val="15"/>
                <w:color w:val="auto"/>
              </w:rPr>
              <w:t>Changes in</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color w:val="auto"/>
              </w:rPr>
              <w:t>Unrealized Gains</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color w:val="auto"/>
              </w:rPr>
              <w:t>(Losses) Included</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3"/>
              <w:spacing w:after="0" w:line="162" w:lineRule="exact"/>
              <w:rPr>
                <w:sz w:val="20"/>
                <w:szCs w:val="20"/>
                <w:color w:val="auto"/>
              </w:rPr>
            </w:pPr>
            <w:r>
              <w:rPr>
                <w:rFonts w:ascii="Times New Roman" w:cs="Times New Roman" w:eastAsia="Times New Roman" w:hAnsi="Times New Roman"/>
                <w:sz w:val="15"/>
                <w:szCs w:val="15"/>
                <w:color w:val="auto"/>
              </w:rPr>
              <w:t>in Statements of</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23"/>
              <w:spacing w:after="0" w:line="162" w:lineRule="exact"/>
              <w:rPr>
                <w:sz w:val="20"/>
                <w:szCs w:val="20"/>
                <w:color w:val="auto"/>
              </w:rPr>
            </w:pPr>
            <w:r>
              <w:rPr>
                <w:rFonts w:ascii="Times New Roman" w:cs="Times New Roman" w:eastAsia="Times New Roman" w:hAnsi="Times New Roman"/>
                <w:sz w:val="15"/>
                <w:szCs w:val="15"/>
                <w:color w:val="auto"/>
              </w:rPr>
              <w:t>Changes in Net</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23"/>
              <w:spacing w:after="0" w:line="162" w:lineRule="exact"/>
              <w:rPr>
                <w:sz w:val="20"/>
                <w:szCs w:val="20"/>
                <w:color w:val="auto"/>
              </w:rPr>
            </w:pPr>
            <w:r>
              <w:rPr>
                <w:rFonts w:ascii="Times New Roman" w:cs="Times New Roman" w:eastAsia="Times New Roman" w:hAnsi="Times New Roman"/>
                <w:sz w:val="15"/>
                <w:szCs w:val="15"/>
                <w:color w:val="auto"/>
              </w:rPr>
              <w:t>Assets Available</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3"/>
              <w:spacing w:after="0" w:line="162" w:lineRule="exact"/>
              <w:rPr>
                <w:sz w:val="20"/>
                <w:szCs w:val="20"/>
                <w:color w:val="auto"/>
              </w:rPr>
            </w:pPr>
            <w:r>
              <w:rPr>
                <w:rFonts w:ascii="Times New Roman" w:cs="Times New Roman" w:eastAsia="Times New Roman" w:hAnsi="Times New Roman"/>
                <w:sz w:val="15"/>
                <w:szCs w:val="15"/>
                <w:color w:val="auto"/>
              </w:rPr>
              <w:t>for Benefits</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jc w:val="center"/>
              <w:ind w:right="123"/>
              <w:spacing w:after="0" w:line="162" w:lineRule="exact"/>
              <w:rPr>
                <w:sz w:val="20"/>
                <w:szCs w:val="20"/>
                <w:color w:val="auto"/>
              </w:rPr>
            </w:pPr>
            <w:r>
              <w:rPr>
                <w:rFonts w:ascii="Times New Roman" w:cs="Times New Roman" w:eastAsia="Times New Roman" w:hAnsi="Times New Roman"/>
                <w:sz w:val="15"/>
                <w:szCs w:val="15"/>
                <w:color w:val="auto"/>
              </w:rPr>
              <w:t>Beginning Asset</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color w:val="auto"/>
              </w:rPr>
              <w:t>Ending Asset Balance</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3"/>
              <w:spacing w:after="0" w:line="162" w:lineRule="exact"/>
              <w:rPr>
                <w:sz w:val="20"/>
                <w:szCs w:val="20"/>
                <w:color w:val="auto"/>
              </w:rPr>
            </w:pPr>
            <w:r>
              <w:rPr>
                <w:rFonts w:ascii="Times New Roman" w:cs="Times New Roman" w:eastAsia="Times New Roman" w:hAnsi="Times New Roman"/>
                <w:sz w:val="15"/>
                <w:szCs w:val="15"/>
                <w:color w:val="auto"/>
              </w:rPr>
              <w:t>Relating to</w:t>
            </w:r>
          </w:p>
        </w:tc>
        <w:tc>
          <w:tcPr>
            <w:tcW w:w="0" w:type="dxa"/>
            <w:vAlign w:val="bottom"/>
          </w:tcPr>
          <w:p>
            <w:pPr>
              <w:spacing w:after="0"/>
              <w:rPr>
                <w:sz w:val="1"/>
                <w:szCs w:val="1"/>
                <w:color w:val="auto"/>
              </w:rPr>
            </w:pPr>
          </w:p>
        </w:tc>
      </w:tr>
      <w:tr>
        <w:trPr>
          <w:trHeight w:val="162"/>
        </w:trPr>
        <w:tc>
          <w:tcPr>
            <w:tcW w:w="1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jc w:val="center"/>
              <w:ind w:right="163"/>
              <w:spacing w:after="0" w:line="162" w:lineRule="exact"/>
              <w:rPr>
                <w:sz w:val="20"/>
                <w:szCs w:val="20"/>
                <w:color w:val="auto"/>
              </w:rPr>
            </w:pPr>
            <w:r>
              <w:rPr>
                <w:rFonts w:ascii="Times New Roman" w:cs="Times New Roman" w:eastAsia="Times New Roman" w:hAnsi="Times New Roman"/>
                <w:sz w:val="15"/>
                <w:szCs w:val="15"/>
                <w:color w:val="auto"/>
              </w:rPr>
              <w:t>Balance as of</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1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color w:val="auto"/>
              </w:rPr>
              <w:t>Transfers in</w:t>
            </w:r>
          </w:p>
        </w:tc>
        <w:tc>
          <w:tcPr>
            <w:tcW w:w="1420" w:type="dxa"/>
            <w:vAlign w:val="bottom"/>
            <w:gridSpan w:val="2"/>
          </w:tcPr>
          <w:p>
            <w:pPr>
              <w:jc w:val="center"/>
              <w:spacing w:after="0" w:line="162" w:lineRule="exact"/>
              <w:rPr>
                <w:sz w:val="20"/>
                <w:szCs w:val="20"/>
                <w:color w:val="auto"/>
              </w:rPr>
            </w:pPr>
            <w:r>
              <w:rPr>
                <w:rFonts w:ascii="Times New Roman" w:cs="Times New Roman" w:eastAsia="Times New Roman" w:hAnsi="Times New Roman"/>
                <w:sz w:val="15"/>
                <w:szCs w:val="15"/>
                <w:color w:val="auto"/>
              </w:rPr>
              <w:t>as of December 31,</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jc w:val="center"/>
              <w:ind w:right="23"/>
              <w:spacing w:after="0" w:line="162" w:lineRule="exact"/>
              <w:rPr>
                <w:sz w:val="20"/>
                <w:szCs w:val="20"/>
                <w:color w:val="auto"/>
              </w:rPr>
            </w:pPr>
            <w:r>
              <w:rPr>
                <w:rFonts w:ascii="Times New Roman" w:cs="Times New Roman" w:eastAsia="Times New Roman" w:hAnsi="Times New Roman"/>
                <w:sz w:val="15"/>
                <w:szCs w:val="15"/>
                <w:color w:val="auto"/>
              </w:rPr>
              <w:t>Positions Still</w:t>
            </w:r>
          </w:p>
        </w:tc>
        <w:tc>
          <w:tcPr>
            <w:tcW w:w="0" w:type="dxa"/>
            <w:vAlign w:val="bottom"/>
          </w:tcPr>
          <w:p>
            <w:pPr>
              <w:spacing w:after="0"/>
              <w:rPr>
                <w:sz w:val="1"/>
                <w:szCs w:val="1"/>
                <w:color w:val="auto"/>
              </w:rPr>
            </w:pPr>
          </w:p>
        </w:tc>
      </w:tr>
      <w:tr>
        <w:trPr>
          <w:trHeight w:val="202"/>
        </w:trPr>
        <w:tc>
          <w:tcPr>
            <w:tcW w:w="164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center"/>
              <w:ind w:right="123"/>
              <w:spacing w:after="0"/>
              <w:rPr>
                <w:sz w:val="20"/>
                <w:szCs w:val="20"/>
                <w:color w:val="auto"/>
              </w:rPr>
            </w:pPr>
            <w:r>
              <w:rPr>
                <w:rFonts w:ascii="Times New Roman" w:cs="Times New Roman" w:eastAsia="Times New Roman" w:hAnsi="Times New Roman"/>
                <w:sz w:val="15"/>
                <w:szCs w:val="15"/>
                <w:color w:val="auto"/>
              </w:rPr>
              <w:t>January 1, 2013</w:t>
            </w: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43"/>
              <w:spacing w:after="0"/>
              <w:rPr>
                <w:sz w:val="20"/>
                <w:szCs w:val="20"/>
                <w:color w:val="auto"/>
              </w:rPr>
            </w:pPr>
            <w:r>
              <w:rPr>
                <w:rFonts w:ascii="Times New Roman" w:cs="Times New Roman" w:eastAsia="Times New Roman" w:hAnsi="Times New Roman"/>
                <w:sz w:val="15"/>
                <w:szCs w:val="15"/>
                <w:color w:val="auto"/>
              </w:rPr>
              <w:t>Interest*</w:t>
            </w:r>
          </w:p>
        </w:tc>
        <w:tc>
          <w:tcPr>
            <w:tcW w:w="1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123"/>
              <w:spacing w:after="0"/>
              <w:rPr>
                <w:sz w:val="20"/>
                <w:szCs w:val="20"/>
                <w:color w:val="auto"/>
              </w:rPr>
            </w:pPr>
            <w:r>
              <w:rPr>
                <w:rFonts w:ascii="Times New Roman" w:cs="Times New Roman" w:eastAsia="Times New Roman" w:hAnsi="Times New Roman"/>
                <w:sz w:val="15"/>
                <w:szCs w:val="15"/>
                <w:color w:val="auto"/>
              </w:rPr>
              <w:t>Purchases **</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43"/>
              <w:spacing w:after="0"/>
              <w:rPr>
                <w:sz w:val="20"/>
                <w:szCs w:val="20"/>
                <w:color w:val="auto"/>
              </w:rPr>
            </w:pPr>
            <w:r>
              <w:rPr>
                <w:rFonts w:ascii="Times New Roman" w:cs="Times New Roman" w:eastAsia="Times New Roman" w:hAnsi="Times New Roman"/>
                <w:sz w:val="15"/>
                <w:szCs w:val="15"/>
                <w:color w:val="auto"/>
              </w:rPr>
              <w:t>Sales**</w:t>
            </w:r>
          </w:p>
        </w:tc>
        <w:tc>
          <w:tcPr>
            <w:tcW w:w="11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5"/>
                <w:szCs w:val="15"/>
                <w:color w:val="auto"/>
              </w:rPr>
              <w:t>(Out) of Level 3</w:t>
            </w:r>
          </w:p>
        </w:tc>
        <w:tc>
          <w:tcPr>
            <w:tcW w:w="2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center"/>
              <w:ind w:right="123"/>
              <w:spacing w:after="0"/>
              <w:rPr>
                <w:sz w:val="20"/>
                <w:szCs w:val="20"/>
                <w:color w:val="auto"/>
              </w:rPr>
            </w:pPr>
            <w:r>
              <w:rPr>
                <w:rFonts w:ascii="Times New Roman" w:cs="Times New Roman" w:eastAsia="Times New Roman" w:hAnsi="Times New Roman"/>
                <w:sz w:val="15"/>
                <w:szCs w:val="15"/>
                <w:color w:val="auto"/>
                <w:w w:val="99"/>
              </w:rPr>
              <w:t>2013</w:t>
            </w: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center"/>
              <w:ind w:right="23"/>
              <w:spacing w:after="0"/>
              <w:rPr>
                <w:sz w:val="20"/>
                <w:szCs w:val="20"/>
                <w:color w:val="auto"/>
              </w:rPr>
            </w:pPr>
            <w:r>
              <w:rPr>
                <w:rFonts w:ascii="Times New Roman" w:cs="Times New Roman" w:eastAsia="Times New Roman" w:hAnsi="Times New Roman"/>
                <w:sz w:val="15"/>
                <w:szCs w:val="15"/>
                <w:color w:val="auto"/>
              </w:rPr>
              <w:t>Held</w:t>
            </w:r>
          </w:p>
        </w:tc>
        <w:tc>
          <w:tcPr>
            <w:tcW w:w="0" w:type="dxa"/>
            <w:vAlign w:val="bottom"/>
          </w:tcPr>
          <w:p>
            <w:pPr>
              <w:spacing w:after="0"/>
              <w:rPr>
                <w:sz w:val="1"/>
                <w:szCs w:val="1"/>
                <w:color w:val="auto"/>
              </w:rPr>
            </w:pPr>
          </w:p>
        </w:tc>
      </w:tr>
      <w:tr>
        <w:trPr>
          <w:trHeight w:val="192"/>
        </w:trPr>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Assets</w:t>
            </w:r>
          </w:p>
        </w:tc>
        <w:tc>
          <w:tcPr>
            <w:tcW w:w="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1640" w:type="dxa"/>
            <w:vAlign w:val="bottom"/>
            <w:shd w:val="clear" w:color="auto" w:fill="CCEEFF"/>
          </w:tcPr>
          <w:p>
            <w:pPr>
              <w:spacing w:after="0"/>
              <w:rPr>
                <w:sz w:val="6"/>
                <w:szCs w:val="6"/>
                <w:color w:val="auto"/>
              </w:rPr>
            </w:pPr>
          </w:p>
        </w:tc>
        <w:tc>
          <w:tcPr>
            <w:tcW w:w="6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14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8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6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16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Guaranteed interest</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164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15"/>
                <w:szCs w:val="15"/>
                <w:color w:val="auto"/>
              </w:rPr>
              <w:t>accounts</w:t>
            </w:r>
          </w:p>
        </w:tc>
        <w:tc>
          <w:tcPr>
            <w:tcW w:w="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20" w:type="dxa"/>
            <w:vAlign w:val="bottom"/>
            <w:tcBorders>
              <w:bottom w:val="single" w:sz="8" w:color="auto"/>
            </w:tcBorders>
          </w:tcPr>
          <w:p>
            <w:pPr>
              <w:jc w:val="right"/>
              <w:ind w:right="83"/>
              <w:spacing w:after="0"/>
              <w:rPr>
                <w:sz w:val="20"/>
                <w:szCs w:val="20"/>
                <w:color w:val="auto"/>
              </w:rPr>
            </w:pPr>
            <w:r>
              <w:rPr>
                <w:rFonts w:ascii="Times New Roman" w:cs="Times New Roman" w:eastAsia="Times New Roman" w:hAnsi="Times New Roman"/>
                <w:sz w:val="15"/>
                <w:szCs w:val="15"/>
                <w:color w:val="auto"/>
              </w:rPr>
              <w:t>2,221,903</w:t>
            </w:r>
          </w:p>
        </w:tc>
        <w:tc>
          <w:tcPr>
            <w:tcW w:w="20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(14,524</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319,377</w:t>
            </w:r>
          </w:p>
        </w:tc>
        <w:tc>
          <w:tcPr>
            <w:tcW w:w="260" w:type="dxa"/>
            <w:vAlign w:val="bottom"/>
            <w:tcBorders>
              <w:bottom w:val="single" w:sz="8" w:color="auto"/>
            </w:tcBorders>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(406,998)</w:t>
            </w:r>
          </w:p>
        </w:tc>
        <w:tc>
          <w:tcPr>
            <w:tcW w:w="600" w:type="dxa"/>
            <w:vAlign w:val="bottom"/>
            <w:tcBorders>
              <w:bottom w:val="single" w:sz="8" w:color="auto"/>
            </w:tcBorders>
          </w:tcPr>
          <w:p>
            <w:pPr>
              <w:jc w:val="right"/>
              <w:ind w:right="323"/>
              <w:spacing w:after="0"/>
              <w:rPr>
                <w:sz w:val="20"/>
                <w:szCs w:val="20"/>
                <w:color w:val="auto"/>
              </w:rPr>
            </w:pPr>
            <w:r>
              <w:rPr>
                <w:rFonts w:ascii="Times New Roman" w:cs="Times New Roman" w:eastAsia="Times New Roman" w:hAnsi="Times New Roman"/>
                <w:sz w:val="15"/>
                <w:szCs w:val="15"/>
                <w:color w:val="auto"/>
              </w:rPr>
              <w:t>$</w:t>
            </w:r>
          </w:p>
        </w:tc>
        <w:tc>
          <w:tcPr>
            <w:tcW w:w="52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5"/>
                <w:szCs w:val="15"/>
                <w:color w:val="auto"/>
              </w:rPr>
              <w:t>—</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18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2,119,758</w:t>
            </w:r>
          </w:p>
        </w:tc>
        <w:tc>
          <w:tcPr>
            <w:tcW w:w="1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(44,463)</w:t>
            </w:r>
          </w:p>
        </w:tc>
        <w:tc>
          <w:tcPr>
            <w:tcW w:w="0" w:type="dxa"/>
            <w:vAlign w:val="bottom"/>
          </w:tcPr>
          <w:p>
            <w:pPr>
              <w:spacing w:after="0"/>
              <w:rPr>
                <w:sz w:val="1"/>
                <w:szCs w:val="1"/>
                <w:color w:val="auto"/>
              </w:rPr>
            </w:pPr>
          </w:p>
        </w:tc>
      </w:tr>
      <w:tr>
        <w:trPr>
          <w:trHeight w:val="210"/>
        </w:trPr>
        <w:tc>
          <w:tcPr>
            <w:tcW w:w="1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Total</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20" w:type="dxa"/>
            <w:vAlign w:val="bottom"/>
            <w:shd w:val="clear" w:color="auto" w:fill="CCEEFF"/>
          </w:tcPr>
          <w:p>
            <w:pPr>
              <w:jc w:val="right"/>
              <w:ind w:right="83"/>
              <w:spacing w:after="0"/>
              <w:rPr>
                <w:sz w:val="20"/>
                <w:szCs w:val="20"/>
                <w:color w:val="auto"/>
              </w:rPr>
            </w:pPr>
            <w:r>
              <w:rPr>
                <w:rFonts w:ascii="Times New Roman" w:cs="Times New Roman" w:eastAsia="Times New Roman" w:hAnsi="Times New Roman"/>
                <w:sz w:val="15"/>
                <w:szCs w:val="15"/>
                <w:color w:val="auto"/>
              </w:rPr>
              <w:t>2,221,903</w:t>
            </w:r>
          </w:p>
        </w:tc>
        <w:tc>
          <w:tcPr>
            <w:tcW w:w="200" w:type="dxa"/>
            <w:vAlign w:val="bottom"/>
            <w:shd w:val="clear" w:color="auto" w:fill="CCEEFF"/>
          </w:tcPr>
          <w:p>
            <w:pPr>
              <w:jc w:val="right"/>
              <w:ind w:right="3"/>
              <w:spacing w:after="0"/>
              <w:rPr>
                <w:sz w:val="20"/>
                <w:szCs w:val="20"/>
                <w:color w:val="auto"/>
              </w:rPr>
            </w:pPr>
            <w:r>
              <w:rPr>
                <w:rFonts w:ascii="Times New Roman" w:cs="Times New Roman" w:eastAsia="Times New Roman" w:hAnsi="Times New Roman"/>
                <w:sz w:val="15"/>
                <w:szCs w:val="15"/>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(14,524</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319,377</w:t>
            </w:r>
          </w:p>
        </w:tc>
        <w:tc>
          <w:tcPr>
            <w:tcW w:w="260" w:type="dxa"/>
            <w:vAlign w:val="bottom"/>
            <w:shd w:val="clear" w:color="auto" w:fill="CCEEFF"/>
          </w:tcPr>
          <w:p>
            <w:pPr>
              <w:jc w:val="right"/>
              <w:ind w:right="23"/>
              <w:spacing w:after="0"/>
              <w:rPr>
                <w:sz w:val="20"/>
                <w:szCs w:val="20"/>
                <w:color w:val="auto"/>
              </w:rPr>
            </w:pPr>
            <w:r>
              <w:rPr>
                <w:rFonts w:ascii="Times New Roman" w:cs="Times New Roman" w:eastAsia="Times New Roman" w:hAnsi="Times New Roman"/>
                <w:sz w:val="15"/>
                <w:szCs w:val="15"/>
                <w:color w:val="auto"/>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(406,998)</w:t>
            </w:r>
          </w:p>
        </w:tc>
        <w:tc>
          <w:tcPr>
            <w:tcW w:w="600" w:type="dxa"/>
            <w:vAlign w:val="bottom"/>
            <w:shd w:val="clear" w:color="auto" w:fill="CCEEFF"/>
          </w:tcPr>
          <w:p>
            <w:pPr>
              <w:jc w:val="right"/>
              <w:ind w:right="323"/>
              <w:spacing w:after="0"/>
              <w:rPr>
                <w:sz w:val="20"/>
                <w:szCs w:val="20"/>
                <w:color w:val="auto"/>
              </w:rPr>
            </w:pPr>
            <w:r>
              <w:rPr>
                <w:rFonts w:ascii="Times New Roman" w:cs="Times New Roman" w:eastAsia="Times New Roman" w:hAnsi="Times New Roman"/>
                <w:sz w:val="15"/>
                <w:szCs w:val="15"/>
                <w:color w:val="auto"/>
              </w:rPr>
              <w:t>$</w:t>
            </w:r>
          </w:p>
        </w:tc>
        <w:tc>
          <w:tcPr>
            <w:tcW w:w="5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5"/>
                <w:szCs w:val="15"/>
                <w:color w:val="auto"/>
              </w:rPr>
              <w:t>—</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180" w:type="dxa"/>
            <w:vAlign w:val="bottom"/>
            <w:shd w:val="clear" w:color="auto" w:fill="CCEEFF"/>
          </w:tcPr>
          <w:p>
            <w:pPr>
              <w:jc w:val="right"/>
              <w:ind w:right="3"/>
              <w:spacing w:after="0"/>
              <w:rPr>
                <w:sz w:val="20"/>
                <w:szCs w:val="20"/>
                <w:color w:val="auto"/>
              </w:rPr>
            </w:pPr>
            <w:r>
              <w:rPr>
                <w:rFonts w:ascii="Times New Roman" w:cs="Times New Roman" w:eastAsia="Times New Roman" w:hAnsi="Times New Roman"/>
                <w:sz w:val="15"/>
                <w:szCs w:val="15"/>
                <w:color w:val="auto"/>
              </w:rPr>
              <w:t>2,119,758</w:t>
            </w:r>
          </w:p>
        </w:tc>
        <w:tc>
          <w:tcPr>
            <w:tcW w:w="1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(44,463)</w:t>
            </w:r>
          </w:p>
        </w:tc>
        <w:tc>
          <w:tcPr>
            <w:tcW w:w="0" w:type="dxa"/>
            <w:vAlign w:val="bottom"/>
          </w:tcPr>
          <w:p>
            <w:pPr>
              <w:spacing w:after="0"/>
              <w:rPr>
                <w:sz w:val="1"/>
                <w:szCs w:val="1"/>
                <w:color w:val="auto"/>
              </w:rPr>
            </w:pPr>
          </w:p>
        </w:tc>
      </w:tr>
      <w:tr>
        <w:trPr>
          <w:trHeight w:val="20"/>
        </w:trPr>
        <w:tc>
          <w:tcPr>
            <w:tcW w:w="16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9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4"/>
          <w:szCs w:val="14"/>
          <w:color w:val="auto"/>
        </w:rPr>
        <w:t>*Includes interest and unrealized gains or losses.</w:t>
      </w:r>
    </w:p>
    <w:p>
      <w:pPr>
        <w:spacing w:after="0" w:line="1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4"/>
          <w:szCs w:val="14"/>
          <w:color w:val="auto"/>
        </w:rPr>
        <w:t>**Includes contributions, transfers from affiliated and unaffiliated plans, transfers to other investments via participant election, benefits paid to participants, and administrative expenses.</w:t>
      </w:r>
    </w:p>
    <w:p>
      <w:pPr>
        <w:spacing w:after="0" w:line="25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15 of 26</w:t>
      </w:r>
    </w:p>
    <w:p>
      <w:pPr>
        <w:sectPr>
          <w:pgSz w:w="11900" w:h="16838" w:orient="portrait"/>
          <w:cols w:equalWidth="0" w:num="1">
            <w:col w:w="11420"/>
          </w:cols>
          <w:pgMar w:left="240" w:top="117" w:right="239" w:bottom="1440"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3440" w:firstLine="8"/>
        <w:spacing w:after="0" w:line="475" w:lineRule="auto"/>
        <w:tabs>
          <w:tab w:leader="none" w:pos="216" w:val="left"/>
        </w:tabs>
        <w:numPr>
          <w:ilvl w:val="0"/>
          <w:numId w:val="1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Fair Value of Financial Instruments (excluding interest in Master Trust) (continued) Quantitative Information about Level 3 Fair Value Measurements</w:t>
      </w:r>
    </w:p>
    <w:p>
      <w:pPr>
        <w:spacing w:after="0" w:line="2"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The following table provides quantitative information about the significant unobservable inputs used for recurring fair value measurements categorized within Level 3.</w:t>
      </w:r>
    </w:p>
    <w:p>
      <w:pPr>
        <w:spacing w:after="0" w:line="359" w:lineRule="exact"/>
        <w:rPr>
          <w:sz w:val="20"/>
          <w:szCs w:val="20"/>
          <w:color w:val="auto"/>
        </w:rPr>
      </w:pPr>
    </w:p>
    <w:tbl>
      <w:tblPr>
        <w:tblLayout w:type="fixed"/>
        <w:tblInd w:w="360" w:type="dxa"/>
        <w:tblCellMar>
          <w:top w:w="0" w:type="dxa"/>
          <w:left w:w="0" w:type="dxa"/>
          <w:bottom w:w="0" w:type="dxa"/>
          <w:right w:w="0" w:type="dxa"/>
        </w:tblCellMar>
      </w:tblPr>
      <w:tr>
        <w:trPr>
          <w:trHeight w:val="212"/>
        </w:trPr>
        <w:tc>
          <w:tcPr>
            <w:tcW w:w="3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540" w:type="dxa"/>
            <w:vAlign w:val="bottom"/>
            <w:gridSpan w:val="2"/>
          </w:tcPr>
          <w:p>
            <w:pPr>
              <w:jc w:val="right"/>
              <w:ind w:right="1099"/>
              <w:spacing w:after="0"/>
              <w:rPr>
                <w:sz w:val="20"/>
                <w:szCs w:val="20"/>
                <w:color w:val="auto"/>
              </w:rPr>
            </w:pPr>
            <w:r>
              <w:rPr>
                <w:rFonts w:ascii="Times New Roman" w:cs="Times New Roman" w:eastAsia="Times New Roman" w:hAnsi="Times New Roman"/>
                <w:sz w:val="16"/>
                <w:szCs w:val="16"/>
                <w:b w:val="1"/>
                <w:bCs w:val="1"/>
                <w:color w:val="auto"/>
              </w:rPr>
              <w:t>As of December 31, 2014</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3100" w:type="dxa"/>
            <w:vAlign w:val="bottom"/>
          </w:tcPr>
          <w:p>
            <w:pPr>
              <w:spacing w:after="0"/>
              <w:rPr>
                <w:sz w:val="2"/>
                <w:szCs w:val="2"/>
                <w:color w:val="auto"/>
              </w:rPr>
            </w:pPr>
          </w:p>
        </w:tc>
        <w:tc>
          <w:tcPr>
            <w:tcW w:w="2140" w:type="dxa"/>
            <w:vAlign w:val="bottom"/>
            <w:tcBorders>
              <w:bottom w:val="single" w:sz="8" w:color="auto"/>
            </w:tcBorders>
            <w:gridSpan w:val="2"/>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7"/>
        </w:trPr>
        <w:tc>
          <w:tcPr>
            <w:tcW w:w="3100" w:type="dxa"/>
            <w:vAlign w:val="bottom"/>
          </w:tcPr>
          <w:p>
            <w:pPr>
              <w:spacing w:after="0"/>
              <w:rPr>
                <w:sz w:val="18"/>
                <w:szCs w:val="18"/>
                <w:color w:val="auto"/>
              </w:rPr>
            </w:pPr>
          </w:p>
        </w:tc>
        <w:tc>
          <w:tcPr>
            <w:tcW w:w="2140" w:type="dxa"/>
            <w:vAlign w:val="bottom"/>
            <w:gridSpan w:val="2"/>
          </w:tcPr>
          <w:p>
            <w:pPr>
              <w:jc w:val="center"/>
              <w:ind w:right="21"/>
              <w:spacing w:after="0"/>
              <w:rPr>
                <w:sz w:val="20"/>
                <w:szCs w:val="20"/>
                <w:color w:val="auto"/>
              </w:rPr>
            </w:pPr>
            <w:r>
              <w:rPr>
                <w:rFonts w:ascii="Times New Roman" w:cs="Times New Roman" w:eastAsia="Times New Roman" w:hAnsi="Times New Roman"/>
                <w:sz w:val="16"/>
                <w:szCs w:val="16"/>
                <w:b w:val="1"/>
                <w:bCs w:val="1"/>
                <w:color w:val="auto"/>
              </w:rPr>
              <w:t>Assets Measured at Fair</w:t>
            </w:r>
          </w:p>
        </w:tc>
        <w:tc>
          <w:tcPr>
            <w:tcW w:w="14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Valuation</w:t>
            </w:r>
          </w:p>
        </w:tc>
        <w:tc>
          <w:tcPr>
            <w:tcW w:w="2080" w:type="dxa"/>
            <w:vAlign w:val="bottom"/>
          </w:tcPr>
          <w:p>
            <w:pPr>
              <w:jc w:val="right"/>
              <w:ind w:right="259"/>
              <w:spacing w:after="0"/>
              <w:rPr>
                <w:sz w:val="20"/>
                <w:szCs w:val="20"/>
                <w:color w:val="auto"/>
              </w:rPr>
            </w:pPr>
            <w:r>
              <w:rPr>
                <w:rFonts w:ascii="Times New Roman" w:cs="Times New Roman" w:eastAsia="Times New Roman" w:hAnsi="Times New Roman"/>
                <w:sz w:val="16"/>
                <w:szCs w:val="16"/>
                <w:b w:val="1"/>
                <w:bCs w:val="1"/>
                <w:color w:val="auto"/>
              </w:rPr>
              <w:t>Unobservable Input</w:t>
            </w:r>
          </w:p>
        </w:tc>
        <w:tc>
          <w:tcPr>
            <w:tcW w:w="1460" w:type="dxa"/>
            <w:vAlign w:val="bottom"/>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rPr>
              <w:t>Input/Range of</w:t>
            </w:r>
          </w:p>
        </w:tc>
        <w:tc>
          <w:tcPr>
            <w:tcW w:w="0" w:type="dxa"/>
            <w:vAlign w:val="bottom"/>
          </w:tcPr>
          <w:p>
            <w:pPr>
              <w:spacing w:after="0"/>
              <w:rPr>
                <w:sz w:val="1"/>
                <w:szCs w:val="1"/>
                <w:color w:val="auto"/>
              </w:rPr>
            </w:pPr>
          </w:p>
        </w:tc>
      </w:tr>
      <w:tr>
        <w:trPr>
          <w:trHeight w:val="212"/>
        </w:trPr>
        <w:tc>
          <w:tcPr>
            <w:tcW w:w="3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jc w:val="center"/>
              <w:ind w:right="541"/>
              <w:spacing w:after="0"/>
              <w:rPr>
                <w:sz w:val="20"/>
                <w:szCs w:val="20"/>
                <w:color w:val="auto"/>
              </w:rPr>
            </w:pPr>
            <w:r>
              <w:rPr>
                <w:rFonts w:ascii="Times New Roman" w:cs="Times New Roman" w:eastAsia="Times New Roman" w:hAnsi="Times New Roman"/>
                <w:sz w:val="16"/>
                <w:szCs w:val="16"/>
                <w:b w:val="1"/>
                <w:bCs w:val="1"/>
                <w:color w:val="auto"/>
                <w:w w:val="99"/>
              </w:rPr>
              <w:t>Value</w:t>
            </w:r>
          </w:p>
        </w:tc>
        <w:tc>
          <w:tcPr>
            <w:tcW w:w="14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Technique(s)</w:t>
            </w:r>
          </w:p>
        </w:tc>
        <w:tc>
          <w:tcPr>
            <w:tcW w:w="2080" w:type="dxa"/>
            <w:vAlign w:val="bottom"/>
          </w:tcPr>
          <w:p>
            <w:pPr>
              <w:jc w:val="right"/>
              <w:ind w:right="539"/>
              <w:spacing w:after="0"/>
              <w:rPr>
                <w:sz w:val="20"/>
                <w:szCs w:val="20"/>
                <w:color w:val="auto"/>
              </w:rPr>
            </w:pPr>
            <w:r>
              <w:rPr>
                <w:rFonts w:ascii="Times New Roman" w:cs="Times New Roman" w:eastAsia="Times New Roman" w:hAnsi="Times New Roman"/>
                <w:sz w:val="16"/>
                <w:szCs w:val="16"/>
                <w:b w:val="1"/>
                <w:bCs w:val="1"/>
                <w:color w:val="auto"/>
              </w:rPr>
              <w:t>Description</w:t>
            </w:r>
          </w:p>
        </w:tc>
        <w:tc>
          <w:tcPr>
            <w:tcW w:w="1460" w:type="dxa"/>
            <w:vAlign w:val="bottom"/>
          </w:tcPr>
          <w:p>
            <w:pPr>
              <w:jc w:val="right"/>
              <w:ind w:right="439"/>
              <w:spacing w:after="0"/>
              <w:rPr>
                <w:sz w:val="20"/>
                <w:szCs w:val="20"/>
                <w:color w:val="auto"/>
              </w:rPr>
            </w:pPr>
            <w:r>
              <w:rPr>
                <w:rFonts w:ascii="Times New Roman" w:cs="Times New Roman" w:eastAsia="Times New Roman" w:hAnsi="Times New Roman"/>
                <w:sz w:val="16"/>
                <w:szCs w:val="16"/>
                <w:b w:val="1"/>
                <w:bCs w:val="1"/>
                <w:color w:val="auto"/>
              </w:rPr>
              <w:t>Inputs</w:t>
            </w:r>
          </w:p>
        </w:tc>
        <w:tc>
          <w:tcPr>
            <w:tcW w:w="0" w:type="dxa"/>
            <w:vAlign w:val="bottom"/>
          </w:tcPr>
          <w:p>
            <w:pPr>
              <w:spacing w:after="0"/>
              <w:rPr>
                <w:sz w:val="1"/>
                <w:szCs w:val="1"/>
                <w:color w:val="auto"/>
              </w:rPr>
            </w:pPr>
          </w:p>
        </w:tc>
      </w:tr>
      <w:tr>
        <w:trPr>
          <w:trHeight w:val="33"/>
        </w:trPr>
        <w:tc>
          <w:tcPr>
            <w:tcW w:w="310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5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3100" w:type="dxa"/>
            <w:vAlign w:val="bottom"/>
            <w:vMerge w:val="continue"/>
          </w:tcPr>
          <w:p>
            <w:pPr>
              <w:spacing w:after="0"/>
              <w:rPr>
                <w:sz w:val="17"/>
                <w:szCs w:val="17"/>
                <w:color w:val="auto"/>
              </w:rPr>
            </w:pPr>
          </w:p>
        </w:tc>
        <w:tc>
          <w:tcPr>
            <w:tcW w:w="5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9"/>
        </w:trPr>
        <w:tc>
          <w:tcPr>
            <w:tcW w:w="3100" w:type="dxa"/>
            <w:vAlign w:val="bottom"/>
          </w:tcPr>
          <w:p>
            <w:pPr>
              <w:spacing w:after="0"/>
              <w:rPr>
                <w:sz w:val="20"/>
                <w:szCs w:val="20"/>
                <w:color w:val="auto"/>
              </w:rPr>
            </w:pPr>
            <w:r>
              <w:rPr>
                <w:rFonts w:ascii="Times New Roman" w:cs="Times New Roman" w:eastAsia="Times New Roman" w:hAnsi="Times New Roman"/>
                <w:sz w:val="16"/>
                <w:szCs w:val="16"/>
                <w:color w:val="auto"/>
              </w:rPr>
              <w:t>Guaranteed interest accounts</w:t>
            </w:r>
          </w:p>
        </w:tc>
        <w:tc>
          <w:tcPr>
            <w:tcW w:w="520" w:type="dxa"/>
            <w:vAlign w:val="bottom"/>
          </w:tcPr>
          <w:p>
            <w:pPr>
              <w:jc w:val="right"/>
              <w:ind w:right="221"/>
              <w:spacing w:after="0"/>
              <w:rPr>
                <w:sz w:val="20"/>
                <w:szCs w:val="20"/>
                <w:color w:val="auto"/>
              </w:rPr>
            </w:pPr>
            <w:r>
              <w:rPr>
                <w:rFonts w:ascii="Times New Roman" w:cs="Times New Roman" w:eastAsia="Times New Roman" w:hAnsi="Times New Roman"/>
                <w:sz w:val="15"/>
                <w:szCs w:val="15"/>
                <w:b w:val="1"/>
                <w:bCs w:val="1"/>
                <w:color w:val="auto"/>
              </w:rPr>
              <w:t>$</w:t>
            </w:r>
          </w:p>
        </w:tc>
        <w:tc>
          <w:tcPr>
            <w:tcW w:w="1620" w:type="dxa"/>
            <w:vAlign w:val="bottom"/>
          </w:tcPr>
          <w:p>
            <w:pPr>
              <w:jc w:val="right"/>
              <w:ind w:right="221"/>
              <w:spacing w:after="0"/>
              <w:rPr>
                <w:sz w:val="20"/>
                <w:szCs w:val="20"/>
                <w:color w:val="auto"/>
              </w:rPr>
            </w:pPr>
            <w:r>
              <w:rPr>
                <w:rFonts w:ascii="Times New Roman" w:cs="Times New Roman" w:eastAsia="Times New Roman" w:hAnsi="Times New Roman"/>
                <w:sz w:val="15"/>
                <w:szCs w:val="15"/>
                <w:b w:val="1"/>
                <w:bCs w:val="1"/>
                <w:color w:val="auto"/>
              </w:rPr>
              <w:t>2,150,729</w:t>
            </w:r>
          </w:p>
        </w:tc>
        <w:tc>
          <w:tcPr>
            <w:tcW w:w="3540" w:type="dxa"/>
            <w:vAlign w:val="bottom"/>
            <w:gridSpan w:val="2"/>
          </w:tcPr>
          <w:p>
            <w:pPr>
              <w:jc w:val="right"/>
              <w:ind w:right="119"/>
              <w:spacing w:after="0"/>
              <w:rPr>
                <w:sz w:val="20"/>
                <w:szCs w:val="20"/>
                <w:color w:val="auto"/>
              </w:rPr>
            </w:pPr>
            <w:r>
              <w:rPr>
                <w:rFonts w:ascii="Times New Roman" w:cs="Times New Roman" w:eastAsia="Times New Roman" w:hAnsi="Times New Roman"/>
                <w:sz w:val="16"/>
                <w:szCs w:val="16"/>
                <w:color w:val="auto"/>
              </w:rPr>
              <w:t>See note (1)   Interest Rate on Account</w:t>
            </w:r>
          </w:p>
        </w:tc>
        <w:tc>
          <w:tcPr>
            <w:tcW w:w="14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0.05% – 4.34%</w:t>
            </w:r>
          </w:p>
        </w:tc>
        <w:tc>
          <w:tcPr>
            <w:tcW w:w="0" w:type="dxa"/>
            <w:vAlign w:val="bottom"/>
          </w:tcPr>
          <w:p>
            <w:pPr>
              <w:spacing w:after="0"/>
              <w:rPr>
                <w:sz w:val="1"/>
                <w:szCs w:val="1"/>
                <w:color w:val="auto"/>
              </w:rPr>
            </w:pPr>
          </w:p>
        </w:tc>
      </w:tr>
      <w:tr>
        <w:trPr>
          <w:trHeight w:val="245"/>
        </w:trPr>
        <w:tc>
          <w:tcPr>
            <w:tcW w:w="3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20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Applicable Interest Rate</w:t>
            </w:r>
          </w:p>
        </w:tc>
        <w:tc>
          <w:tcPr>
            <w:tcW w:w="14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0.72% – 2.31%</w:t>
            </w:r>
          </w:p>
        </w:tc>
        <w:tc>
          <w:tcPr>
            <w:tcW w:w="0" w:type="dxa"/>
            <w:vAlign w:val="bottom"/>
          </w:tcPr>
          <w:p>
            <w:pPr>
              <w:spacing w:after="0"/>
              <w:rPr>
                <w:sz w:val="1"/>
                <w:szCs w:val="1"/>
                <w:color w:val="auto"/>
              </w:rPr>
            </w:pPr>
          </w:p>
        </w:tc>
      </w:tr>
      <w:tr>
        <w:trPr>
          <w:trHeight w:val="249"/>
        </w:trPr>
        <w:tc>
          <w:tcPr>
            <w:tcW w:w="3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208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12/31/2014 –</w:t>
            </w:r>
          </w:p>
        </w:tc>
        <w:tc>
          <w:tcPr>
            <w:tcW w:w="0" w:type="dxa"/>
            <w:vAlign w:val="bottom"/>
          </w:tcPr>
          <w:p>
            <w:pPr>
              <w:spacing w:after="0"/>
              <w:rPr>
                <w:sz w:val="1"/>
                <w:szCs w:val="1"/>
                <w:color w:val="auto"/>
              </w:rPr>
            </w:pPr>
          </w:p>
        </w:tc>
      </w:tr>
      <w:tr>
        <w:trPr>
          <w:trHeight w:val="210"/>
        </w:trPr>
        <w:tc>
          <w:tcPr>
            <w:tcW w:w="3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Maturity Date</w:t>
            </w:r>
          </w:p>
        </w:tc>
        <w:tc>
          <w:tcPr>
            <w:tcW w:w="14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12/31/2020</w:t>
            </w:r>
          </w:p>
        </w:tc>
        <w:tc>
          <w:tcPr>
            <w:tcW w:w="0" w:type="dxa"/>
            <w:vAlign w:val="bottom"/>
          </w:tcPr>
          <w:p>
            <w:pPr>
              <w:spacing w:after="0"/>
              <w:rPr>
                <w:sz w:val="1"/>
                <w:szCs w:val="1"/>
                <w:color w:val="auto"/>
              </w:rPr>
            </w:pPr>
          </w:p>
        </w:tc>
      </w:tr>
    </w:tbl>
    <w:p>
      <w:pPr>
        <w:spacing w:after="0" w:line="289" w:lineRule="exact"/>
        <w:rPr>
          <w:sz w:val="20"/>
          <w:szCs w:val="20"/>
          <w:color w:val="auto"/>
        </w:rPr>
      </w:pPr>
    </w:p>
    <w:p>
      <w:pPr>
        <w:ind w:left="660" w:hanging="328"/>
        <w:spacing w:after="0"/>
        <w:tabs>
          <w:tab w:leader="none" w:pos="660" w:val="left"/>
        </w:tabs>
        <w:numPr>
          <w:ilvl w:val="1"/>
          <w:numId w:val="1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If the applicable interest rate is equal to or less than the interest rate on the account, the fair market value is equal to the contract value.</w:t>
      </w:r>
    </w:p>
    <w:p>
      <w:pPr>
        <w:spacing w:after="0" w:line="194" w:lineRule="exact"/>
        <w:rPr>
          <w:rFonts w:ascii="Times New Roman" w:cs="Times New Roman" w:eastAsia="Times New Roman" w:hAnsi="Times New Roman"/>
          <w:sz w:val="16"/>
          <w:szCs w:val="16"/>
          <w:color w:val="auto"/>
        </w:rPr>
      </w:pPr>
    </w:p>
    <w:p>
      <w:pPr>
        <w:jc w:val="both"/>
        <w:ind w:left="660"/>
        <w:spacing w:after="0" w:line="263"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If the applicable interest rate is greater than the interest rate on the account, the fair market value is the contract value reduced by a percentage. This percentage is equal to the difference between the applicable interest rate and the interest rate on the account, multiplied by the number of years (including fractional parts of a year) until the maturity date.</w:t>
      </w:r>
    </w:p>
    <w:p>
      <w:pPr>
        <w:spacing w:after="0" w:line="133" w:lineRule="exact"/>
        <w:rPr>
          <w:rFonts w:ascii="Times New Roman" w:cs="Times New Roman" w:eastAsia="Times New Roman" w:hAnsi="Times New Roman"/>
          <w:sz w:val="16"/>
          <w:szCs w:val="16"/>
          <w:color w:val="auto"/>
        </w:rPr>
      </w:pPr>
    </w:p>
    <w:p>
      <w:pPr>
        <w:ind w:left="220" w:hanging="212"/>
        <w:spacing w:after="0"/>
        <w:tabs>
          <w:tab w:leader="none" w:pos="220" w:val="left"/>
        </w:tabs>
        <w:numPr>
          <w:ilvl w:val="0"/>
          <w:numId w:val="1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Interest in Principal Select Savings Stable Value Master Trust</w:t>
      </w:r>
    </w:p>
    <w:p>
      <w:pPr>
        <w:spacing w:after="0" w:line="25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2"/>
          <w:szCs w:val="22"/>
          <w:color w:val="auto"/>
        </w:rPr>
        <w:t>A portion of the Plan’s investments are in the Master Trust, which was established for the investment of assets of the Plan and the Company’s other defined contribution plan, The Principal Select Savings Plan for Employees. Each participating retirement plan has an undivided interest in the Master Trust. The value of the Plan’s interest in the Master Trust is based on the STIF balance, Bond Fund balance, principal balance of the Contract, plus accrued interest at the stated contract rate, less payments received and contract changes by Principal Life. At December 31, 2014 and 2013, the Plan’s interest in the net assets of the Master Trust was approximately 12% and 13%, respectively. Investment income and administrative expenses relating to the Master Trust are allocated to the individual plans based upon the Plan’s interest in the Master Trust.</w:t>
      </w:r>
    </w:p>
    <w:p>
      <w:pPr>
        <w:spacing w:after="0" w:line="209"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crediting interest rate is based on a formula agreed upon with Principal Life, but it may not be less than 0%. Such interest rates are reviewed on a monthly basis for resetting.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16 of 26</w:t>
      </w:r>
    </w:p>
    <w:p>
      <w:pPr>
        <w:sectPr>
          <w:pgSz w:w="11900" w:h="16838" w:orient="portrait"/>
          <w:cols w:equalWidth="0" w:num="1">
            <w:col w:w="11420"/>
          </w:cols>
          <w:pgMar w:left="240" w:top="117" w:right="239" w:bottom="1440"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6. Interest in Principal Select Savings Stable Value Master Trust (continued)</w:t>
      </w:r>
    </w:p>
    <w:p>
      <w:pPr>
        <w:spacing w:after="0" w:line="25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2"/>
          <w:szCs w:val="22"/>
          <w:color w:val="auto"/>
        </w:rPr>
        <w:t>Certain events limit the ability of the Plan to transact at contract value with Principal Life when material events withdrawals are greater than 25% of the Contract as of the start of each Contract year. These events include (1) certain termination of employment of a group of participants (including through layoffs or early retirement incentive programs instituted by the Company), (2) a certain spin-off or sale of the Company’s business entity or location, (3) certain adoptions of amendments to the Plan, any change in practice, or any change in participant withdrawal rights under the Plan. BPAC does not believe that the occurrence of any such material event, which would limit the Plan’s ability to transact at contract value, is probable.</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annual average yields earned by the guaranteed investment contract are as follows:</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95"/>
        </w:trPr>
        <w:tc>
          <w:tcPr>
            <w:tcW w:w="340" w:type="dxa"/>
            <w:vAlign w:val="bottom"/>
          </w:tcPr>
          <w:p>
            <w:pPr>
              <w:spacing w:after="0"/>
              <w:rPr>
                <w:sz w:val="24"/>
                <w:szCs w:val="24"/>
                <w:color w:val="auto"/>
              </w:rPr>
            </w:pPr>
          </w:p>
        </w:tc>
        <w:tc>
          <w:tcPr>
            <w:tcW w:w="6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Average yields:</w:t>
            </w: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632"/>
              <w:spacing w:after="0"/>
              <w:rPr>
                <w:sz w:val="20"/>
                <w:szCs w:val="20"/>
                <w:color w:val="auto"/>
              </w:rPr>
            </w:pPr>
            <w:r>
              <w:rPr>
                <w:rFonts w:ascii="Times New Roman" w:cs="Times New Roman" w:eastAsia="Times New Roman" w:hAnsi="Times New Roman"/>
                <w:sz w:val="22"/>
                <w:szCs w:val="22"/>
                <w:b w:val="1"/>
                <w:bCs w:val="1"/>
                <w:color w:val="auto"/>
              </w:rPr>
              <w:t>2014</w:t>
            </w: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22"/>
                <w:szCs w:val="22"/>
                <w:b w:val="1"/>
                <w:bCs w:val="1"/>
                <w:color w:val="auto"/>
              </w:rPr>
              <w:t>2013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79"/>
        </w:trPr>
        <w:tc>
          <w:tcPr>
            <w:tcW w:w="340" w:type="dxa"/>
            <w:vAlign w:val="bottom"/>
          </w:tcPr>
          <w:p>
            <w:pPr>
              <w:spacing w:after="0"/>
              <w:rPr>
                <w:sz w:val="24"/>
                <w:szCs w:val="24"/>
                <w:color w:val="auto"/>
              </w:rPr>
            </w:pPr>
          </w:p>
        </w:tc>
        <w:tc>
          <w:tcPr>
            <w:tcW w:w="64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Based on actual earnings</w:t>
            </w:r>
          </w:p>
        </w:tc>
        <w:tc>
          <w:tcPr>
            <w:tcW w:w="460" w:type="dxa"/>
            <w:vAlign w:val="bottom"/>
          </w:tcPr>
          <w:p>
            <w:pPr>
              <w:spacing w:after="0"/>
              <w:rPr>
                <w:sz w:val="24"/>
                <w:szCs w:val="24"/>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1.05 %</w:t>
            </w:r>
          </w:p>
        </w:tc>
        <w:tc>
          <w:tcPr>
            <w:tcW w:w="6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0.82 %</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4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Based on interest rate credited to participants</w:t>
            </w:r>
          </w:p>
        </w:tc>
        <w:tc>
          <w:tcPr>
            <w:tcW w:w="460" w:type="dxa"/>
            <w:vAlign w:val="bottom"/>
          </w:tcPr>
          <w:p>
            <w:pPr>
              <w:spacing w:after="0"/>
              <w:rPr>
                <w:sz w:val="24"/>
                <w:szCs w:val="24"/>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1.06 %</w:t>
            </w:r>
          </w:p>
        </w:tc>
        <w:tc>
          <w:tcPr>
            <w:tcW w:w="6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0.84 %</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676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The net assets, including investments, of the Master Trust are as follows:</w:t>
            </w:r>
          </w:p>
        </w:tc>
        <w:tc>
          <w:tcPr>
            <w:tcW w:w="4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34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140" w:type="dxa"/>
            <w:vAlign w:val="bottom"/>
            <w:gridSpan w:val="2"/>
          </w:tcPr>
          <w:p>
            <w:pPr>
              <w:jc w:val="right"/>
              <w:spacing w:after="0"/>
              <w:rPr>
                <w:sz w:val="20"/>
                <w:szCs w:val="20"/>
                <w:color w:val="auto"/>
              </w:rPr>
            </w:pPr>
            <w:r>
              <w:rPr>
                <w:rFonts w:ascii="Times New Roman" w:cs="Times New Roman" w:eastAsia="Times New Roman" w:hAnsi="Times New Roman"/>
                <w:sz w:val="22"/>
                <w:szCs w:val="22"/>
                <w:b w:val="1"/>
                <w:bCs w:val="1"/>
                <w:color w:val="auto"/>
              </w:rPr>
              <w:t>December 31,</w:t>
            </w: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4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672"/>
              <w:spacing w:after="0"/>
              <w:rPr>
                <w:sz w:val="20"/>
                <w:szCs w:val="20"/>
                <w:color w:val="auto"/>
              </w:rPr>
            </w:pPr>
            <w:r>
              <w:rPr>
                <w:rFonts w:ascii="Times New Roman" w:cs="Times New Roman" w:eastAsia="Times New Roman" w:hAnsi="Times New Roman"/>
                <w:sz w:val="22"/>
                <w:szCs w:val="22"/>
                <w:b w:val="1"/>
                <w:bCs w:val="1"/>
                <w:color w:val="auto"/>
              </w:rPr>
              <w:t>2014</w:t>
            </w: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22"/>
                <w:szCs w:val="22"/>
                <w:b w:val="1"/>
                <w:bCs w:val="1"/>
                <w:color w:val="auto"/>
              </w:rPr>
              <w:t>2013</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STIF</w:t>
            </w:r>
          </w:p>
        </w:tc>
        <w:tc>
          <w:tcPr>
            <w:tcW w:w="460" w:type="dxa"/>
            <w:vAlign w:val="bottom"/>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8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4,750,918</w:t>
            </w:r>
          </w:p>
        </w:tc>
        <w:tc>
          <w:tcPr>
            <w:tcW w:w="66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3,529,858</w:t>
            </w:r>
          </w:p>
        </w:tc>
        <w:tc>
          <w:tcPr>
            <w:tcW w:w="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340" w:type="dxa"/>
            <w:vAlign w:val="bottom"/>
          </w:tcPr>
          <w:p>
            <w:pPr>
              <w:spacing w:after="0"/>
              <w:rPr>
                <w:sz w:val="24"/>
                <w:szCs w:val="24"/>
                <w:color w:val="auto"/>
              </w:rPr>
            </w:pPr>
          </w:p>
        </w:tc>
        <w:tc>
          <w:tcPr>
            <w:tcW w:w="64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2"/>
                <w:szCs w:val="22"/>
                <w:color w:val="auto"/>
              </w:rPr>
              <w:t>Bond Fund</w:t>
            </w: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80,076,002</w:t>
            </w: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84,633,460</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340" w:type="dxa"/>
            <w:vAlign w:val="bottom"/>
          </w:tcPr>
          <w:p>
            <w:pPr>
              <w:spacing w:after="0"/>
              <w:rPr>
                <w:sz w:val="24"/>
                <w:szCs w:val="24"/>
                <w:color w:val="auto"/>
              </w:rPr>
            </w:pPr>
          </w:p>
        </w:tc>
        <w:tc>
          <w:tcPr>
            <w:tcW w:w="6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Total assets</w:t>
            </w:r>
          </w:p>
        </w:tc>
        <w:tc>
          <w:tcPr>
            <w:tcW w:w="46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84,826,920</w:t>
            </w:r>
          </w:p>
        </w:tc>
        <w:tc>
          <w:tcPr>
            <w:tcW w:w="6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88,163,318</w:t>
            </w:r>
          </w:p>
        </w:tc>
        <w:tc>
          <w:tcPr>
            <w:tcW w:w="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340" w:type="dxa"/>
            <w:vAlign w:val="bottom"/>
          </w:tcPr>
          <w:p>
            <w:pPr>
              <w:spacing w:after="0"/>
              <w:rPr>
                <w:sz w:val="24"/>
                <w:szCs w:val="24"/>
                <w:color w:val="auto"/>
              </w:rPr>
            </w:pPr>
          </w:p>
        </w:tc>
        <w:tc>
          <w:tcPr>
            <w:tcW w:w="64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2"/>
                <w:szCs w:val="22"/>
                <w:color w:val="auto"/>
              </w:rPr>
              <w:t>Payables</w:t>
            </w: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(64,748)</w:t>
            </w: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(170,647)</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340" w:type="dxa"/>
            <w:vAlign w:val="bottom"/>
          </w:tcPr>
          <w:p>
            <w:pPr>
              <w:spacing w:after="0"/>
              <w:rPr>
                <w:sz w:val="24"/>
                <w:szCs w:val="24"/>
                <w:color w:val="auto"/>
              </w:rPr>
            </w:pPr>
          </w:p>
        </w:tc>
        <w:tc>
          <w:tcPr>
            <w:tcW w:w="6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Net assets at fair value</w:t>
            </w:r>
          </w:p>
        </w:tc>
        <w:tc>
          <w:tcPr>
            <w:tcW w:w="460" w:type="dxa"/>
            <w:vAlign w:val="bottom"/>
            <w:shd w:val="clear" w:color="auto" w:fill="CCEEFF"/>
          </w:tcPr>
          <w:p>
            <w:pPr>
              <w:spacing w:after="0"/>
              <w:rPr>
                <w:sz w:val="24"/>
                <w:szCs w:val="24"/>
                <w:color w:val="auto"/>
              </w:rPr>
            </w:pPr>
          </w:p>
        </w:tc>
        <w:tc>
          <w:tcPr>
            <w:tcW w:w="148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84,762,172</w:t>
            </w:r>
          </w:p>
        </w:tc>
        <w:tc>
          <w:tcPr>
            <w:tcW w:w="6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87,992,671</w:t>
            </w:r>
          </w:p>
        </w:tc>
        <w:tc>
          <w:tcPr>
            <w:tcW w:w="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40" w:type="dxa"/>
            <w:vAlign w:val="bottom"/>
          </w:tcPr>
          <w:p>
            <w:pPr>
              <w:spacing w:after="0"/>
              <w:rPr>
                <w:sz w:val="21"/>
                <w:szCs w:val="21"/>
                <w:color w:val="auto"/>
              </w:rPr>
            </w:pPr>
          </w:p>
        </w:tc>
        <w:tc>
          <w:tcPr>
            <w:tcW w:w="6420" w:type="dxa"/>
            <w:vAlign w:val="bottom"/>
          </w:tcPr>
          <w:p>
            <w:pPr>
              <w:ind w:left="20"/>
              <w:spacing w:after="0" w:line="243" w:lineRule="exact"/>
              <w:rPr>
                <w:sz w:val="20"/>
                <w:szCs w:val="20"/>
                <w:color w:val="auto"/>
              </w:rPr>
            </w:pPr>
            <w:r>
              <w:rPr>
                <w:rFonts w:ascii="Times New Roman" w:cs="Times New Roman" w:eastAsia="Times New Roman" w:hAnsi="Times New Roman"/>
                <w:sz w:val="22"/>
                <w:szCs w:val="22"/>
                <w:color w:val="auto"/>
              </w:rPr>
              <w:t>Adjustments from fair value to contract value for fully benefit-</w:t>
            </w:r>
          </w:p>
        </w:tc>
        <w:tc>
          <w:tcPr>
            <w:tcW w:w="460" w:type="dxa"/>
            <w:vAlign w:val="bottom"/>
          </w:tcPr>
          <w:p>
            <w:pPr>
              <w:spacing w:after="0"/>
              <w:rPr>
                <w:sz w:val="21"/>
                <w:szCs w:val="21"/>
                <w:color w:val="auto"/>
              </w:rPr>
            </w:pPr>
          </w:p>
        </w:tc>
        <w:tc>
          <w:tcPr>
            <w:tcW w:w="1480" w:type="dxa"/>
            <w:vAlign w:val="bottom"/>
            <w:vMerge w:val="restart"/>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(23,117)</w:t>
            </w:r>
          </w:p>
        </w:tc>
        <w:tc>
          <w:tcPr>
            <w:tcW w:w="6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42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22"/>
                <w:szCs w:val="22"/>
                <w:color w:val="auto"/>
              </w:rPr>
              <w:t>responsive investment contract</w:t>
            </w: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vMerge w:val="continue"/>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525,643</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340" w:type="dxa"/>
            <w:vAlign w:val="bottom"/>
          </w:tcPr>
          <w:p>
            <w:pPr>
              <w:spacing w:after="0"/>
              <w:rPr>
                <w:sz w:val="24"/>
                <w:szCs w:val="24"/>
                <w:color w:val="auto"/>
              </w:rPr>
            </w:pPr>
          </w:p>
        </w:tc>
        <w:tc>
          <w:tcPr>
            <w:tcW w:w="64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Total net assets at contract value</w:t>
            </w:r>
          </w:p>
        </w:tc>
        <w:tc>
          <w:tcPr>
            <w:tcW w:w="46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80" w:type="dxa"/>
            <w:vAlign w:val="bottom"/>
            <w:tcBorders>
              <w:bottom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84,739,055</w:t>
            </w:r>
          </w:p>
        </w:tc>
        <w:tc>
          <w:tcPr>
            <w:tcW w:w="66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88,518,314</w:t>
            </w:r>
          </w:p>
        </w:tc>
        <w:tc>
          <w:tcPr>
            <w:tcW w:w="20" w:type="dxa"/>
            <w:vAlign w:val="bottom"/>
            <w:tcBorders>
              <w:bottom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4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3"/>
        </w:trPr>
        <w:tc>
          <w:tcPr>
            <w:tcW w:w="34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40" w:type="dxa"/>
            <w:vAlign w:val="bottom"/>
          </w:tcPr>
          <w:p>
            <w:pPr>
              <w:spacing w:after="0"/>
              <w:rPr>
                <w:sz w:val="21"/>
                <w:szCs w:val="21"/>
                <w:color w:val="auto"/>
              </w:rPr>
            </w:pPr>
          </w:p>
        </w:tc>
        <w:tc>
          <w:tcPr>
            <w:tcW w:w="6420" w:type="dxa"/>
            <w:vAlign w:val="bottom"/>
            <w:shd w:val="clear" w:color="auto" w:fill="CCEEFF"/>
          </w:tcPr>
          <w:p>
            <w:pPr>
              <w:ind w:left="20"/>
              <w:spacing w:after="0" w:line="243" w:lineRule="exact"/>
              <w:rPr>
                <w:sz w:val="20"/>
                <w:szCs w:val="20"/>
                <w:color w:val="auto"/>
              </w:rPr>
            </w:pPr>
            <w:r>
              <w:rPr>
                <w:rFonts w:ascii="Times New Roman" w:cs="Times New Roman" w:eastAsia="Times New Roman" w:hAnsi="Times New Roman"/>
                <w:sz w:val="22"/>
                <w:szCs w:val="22"/>
                <w:color w:val="auto"/>
                <w:w w:val="98"/>
              </w:rPr>
              <w:t>Plan interest in Principal Select Savings Stable Value Master Trust at fair</w:t>
            </w:r>
          </w:p>
        </w:tc>
        <w:tc>
          <w:tcPr>
            <w:tcW w:w="460" w:type="dxa"/>
            <w:vAlign w:val="bottom"/>
            <w:vMerge w:val="restart"/>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80" w:type="dxa"/>
            <w:vAlign w:val="bottom"/>
            <w:vMerge w:val="restart"/>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9,885,667</w:t>
            </w:r>
          </w:p>
        </w:tc>
        <w:tc>
          <w:tcPr>
            <w:tcW w:w="6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8"/>
        </w:trPr>
        <w:tc>
          <w:tcPr>
            <w:tcW w:w="340" w:type="dxa"/>
            <w:vAlign w:val="bottom"/>
          </w:tcPr>
          <w:p>
            <w:pPr>
              <w:spacing w:after="0"/>
              <w:rPr>
                <w:sz w:val="24"/>
                <w:szCs w:val="24"/>
                <w:color w:val="auto"/>
              </w:rPr>
            </w:pPr>
          </w:p>
        </w:tc>
        <w:tc>
          <w:tcPr>
            <w:tcW w:w="64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22"/>
                <w:szCs w:val="22"/>
                <w:color w:val="auto"/>
              </w:rPr>
              <w:t>value</w:t>
            </w:r>
          </w:p>
        </w:tc>
        <w:tc>
          <w:tcPr>
            <w:tcW w:w="460" w:type="dxa"/>
            <w:vAlign w:val="bottom"/>
            <w:vMerge w:val="continue"/>
            <w:shd w:val="clear" w:color="auto" w:fill="CCEEFF"/>
          </w:tcPr>
          <w:p>
            <w:pPr>
              <w:spacing w:after="0"/>
              <w:rPr>
                <w:sz w:val="24"/>
                <w:szCs w:val="24"/>
                <w:color w:val="auto"/>
              </w:rPr>
            </w:pPr>
          </w:p>
        </w:tc>
        <w:tc>
          <w:tcPr>
            <w:tcW w:w="1480" w:type="dxa"/>
            <w:vAlign w:val="bottom"/>
            <w:vMerge w:val="continue"/>
            <w:shd w:val="clear" w:color="auto" w:fill="CCEEFF"/>
          </w:tcPr>
          <w:p>
            <w:pPr>
              <w:spacing w:after="0"/>
              <w:rPr>
                <w:sz w:val="24"/>
                <w:szCs w:val="24"/>
                <w:color w:val="auto"/>
              </w:rPr>
            </w:pPr>
          </w:p>
        </w:tc>
        <w:tc>
          <w:tcPr>
            <w:tcW w:w="66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11,103,385</w:t>
            </w:r>
          </w:p>
        </w:tc>
        <w:tc>
          <w:tcPr>
            <w:tcW w:w="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40" w:type="dxa"/>
            <w:vAlign w:val="bottom"/>
          </w:tcPr>
          <w:p>
            <w:pPr>
              <w:spacing w:after="0"/>
              <w:rPr>
                <w:sz w:val="21"/>
                <w:szCs w:val="21"/>
                <w:color w:val="auto"/>
              </w:rPr>
            </w:pPr>
          </w:p>
        </w:tc>
        <w:tc>
          <w:tcPr>
            <w:tcW w:w="6420" w:type="dxa"/>
            <w:vAlign w:val="bottom"/>
          </w:tcPr>
          <w:p>
            <w:pPr>
              <w:ind w:left="20"/>
              <w:spacing w:after="0" w:line="243" w:lineRule="exact"/>
              <w:rPr>
                <w:sz w:val="20"/>
                <w:szCs w:val="20"/>
                <w:color w:val="auto"/>
              </w:rPr>
            </w:pPr>
            <w:r>
              <w:rPr>
                <w:rFonts w:ascii="Times New Roman" w:cs="Times New Roman" w:eastAsia="Times New Roman" w:hAnsi="Times New Roman"/>
                <w:sz w:val="22"/>
                <w:szCs w:val="22"/>
                <w:color w:val="auto"/>
              </w:rPr>
              <w:t>Adjustment from fair value to contract value for a fully benefit-</w:t>
            </w:r>
          </w:p>
        </w:tc>
        <w:tc>
          <w:tcPr>
            <w:tcW w:w="460" w:type="dxa"/>
            <w:vAlign w:val="bottom"/>
          </w:tcPr>
          <w:p>
            <w:pPr>
              <w:spacing w:after="0"/>
              <w:rPr>
                <w:sz w:val="21"/>
                <w:szCs w:val="21"/>
                <w:color w:val="auto"/>
              </w:rPr>
            </w:pPr>
          </w:p>
        </w:tc>
        <w:tc>
          <w:tcPr>
            <w:tcW w:w="1480" w:type="dxa"/>
            <w:vAlign w:val="bottom"/>
            <w:vMerge w:val="restart"/>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(2,696)</w:t>
            </w:r>
          </w:p>
        </w:tc>
        <w:tc>
          <w:tcPr>
            <w:tcW w:w="6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42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22"/>
                <w:szCs w:val="22"/>
                <w:color w:val="auto"/>
              </w:rPr>
              <w:t>responsive investment contract</w:t>
            </w:r>
          </w:p>
        </w:tc>
        <w:tc>
          <w:tcPr>
            <w:tcW w:w="4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vMerge w:val="continue"/>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66,328</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340" w:type="dxa"/>
            <w:vAlign w:val="bottom"/>
          </w:tcPr>
          <w:p>
            <w:pPr>
              <w:spacing w:after="0"/>
              <w:rPr>
                <w:sz w:val="19"/>
                <w:szCs w:val="19"/>
                <w:color w:val="auto"/>
              </w:rPr>
            </w:pPr>
          </w:p>
        </w:tc>
        <w:tc>
          <w:tcPr>
            <w:tcW w:w="6420" w:type="dxa"/>
            <w:vAlign w:val="bottom"/>
            <w:shd w:val="clear" w:color="auto" w:fill="CCEEFF"/>
          </w:tcPr>
          <w:p>
            <w:pPr>
              <w:ind w:left="20"/>
              <w:spacing w:after="0" w:line="229" w:lineRule="exact"/>
              <w:rPr>
                <w:sz w:val="20"/>
                <w:szCs w:val="20"/>
                <w:color w:val="auto"/>
              </w:rPr>
            </w:pPr>
            <w:r>
              <w:rPr>
                <w:rFonts w:ascii="Times New Roman" w:cs="Times New Roman" w:eastAsia="Times New Roman" w:hAnsi="Times New Roman"/>
                <w:sz w:val="22"/>
                <w:szCs w:val="22"/>
                <w:color w:val="auto"/>
              </w:rPr>
              <w:t>Plan interest in Principal Select Savings Stable Value Master Trust at</w:t>
            </w:r>
          </w:p>
        </w:tc>
        <w:tc>
          <w:tcPr>
            <w:tcW w:w="460" w:type="dxa"/>
            <w:vAlign w:val="bottom"/>
            <w:vMerge w:val="restart"/>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80" w:type="dxa"/>
            <w:vAlign w:val="bottom"/>
            <w:vMerge w:val="restart"/>
            <w:shd w:val="clear" w:color="auto" w:fill="CCEEFF"/>
          </w:tcPr>
          <w:p>
            <w:pPr>
              <w:jc w:val="right"/>
              <w:ind w:right="12"/>
              <w:spacing w:after="0"/>
              <w:rPr>
                <w:sz w:val="20"/>
                <w:szCs w:val="20"/>
                <w:color w:val="auto"/>
              </w:rPr>
            </w:pPr>
            <w:r>
              <w:rPr>
                <w:rFonts w:ascii="Times New Roman" w:cs="Times New Roman" w:eastAsia="Times New Roman" w:hAnsi="Times New Roman"/>
                <w:sz w:val="22"/>
                <w:szCs w:val="22"/>
                <w:b w:val="1"/>
                <w:bCs w:val="1"/>
                <w:color w:val="auto"/>
              </w:rPr>
              <w:t>9,882,971</w:t>
            </w:r>
          </w:p>
        </w:tc>
        <w:tc>
          <w:tcPr>
            <w:tcW w:w="660" w:type="dxa"/>
            <w:vAlign w:val="bottom"/>
            <w:vMerge w:val="restart"/>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11,169,713</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340" w:type="dxa"/>
            <w:vAlign w:val="bottom"/>
          </w:tcPr>
          <w:p>
            <w:pPr>
              <w:spacing w:after="0"/>
              <w:rPr>
                <w:sz w:val="24"/>
                <w:szCs w:val="24"/>
                <w:color w:val="auto"/>
              </w:rPr>
            </w:pPr>
          </w:p>
        </w:tc>
        <w:tc>
          <w:tcPr>
            <w:tcW w:w="642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22"/>
                <w:szCs w:val="22"/>
                <w:color w:val="auto"/>
              </w:rPr>
              <w:t>contract value</w:t>
            </w:r>
          </w:p>
        </w:tc>
        <w:tc>
          <w:tcPr>
            <w:tcW w:w="460" w:type="dxa"/>
            <w:vAlign w:val="bottom"/>
            <w:tcBorders>
              <w:bottom w:val="single" w:sz="8" w:color="auto"/>
            </w:tcBorders>
            <w:vMerge w:val="continue"/>
            <w:shd w:val="clear" w:color="auto" w:fill="CCEEFF"/>
          </w:tcPr>
          <w:p>
            <w:pPr>
              <w:spacing w:after="0"/>
              <w:rPr>
                <w:sz w:val="24"/>
                <w:szCs w:val="24"/>
                <w:color w:val="auto"/>
              </w:rPr>
            </w:pPr>
          </w:p>
        </w:tc>
        <w:tc>
          <w:tcPr>
            <w:tcW w:w="1480" w:type="dxa"/>
            <w:vAlign w:val="bottom"/>
            <w:tcBorders>
              <w:bottom w:val="single" w:sz="8" w:color="auto"/>
            </w:tcBorders>
            <w:vMerge w:val="continue"/>
            <w:shd w:val="clear" w:color="auto" w:fill="CCEEFF"/>
          </w:tcPr>
          <w:p>
            <w:pPr>
              <w:spacing w:after="0"/>
              <w:rPr>
                <w:sz w:val="24"/>
                <w:szCs w:val="24"/>
                <w:color w:val="auto"/>
              </w:rPr>
            </w:pPr>
          </w:p>
        </w:tc>
        <w:tc>
          <w:tcPr>
            <w:tcW w:w="660" w:type="dxa"/>
            <w:vAlign w:val="bottom"/>
            <w:tcBorders>
              <w:bottom w:val="single" w:sz="8" w:color="auto"/>
            </w:tcBorders>
            <w:vMerge w:val="continue"/>
            <w:shd w:val="clear" w:color="auto" w:fill="CCEEFF"/>
          </w:tcPr>
          <w:p>
            <w:pPr>
              <w:spacing w:after="0"/>
              <w:rPr>
                <w:sz w:val="24"/>
                <w:szCs w:val="24"/>
                <w:color w:val="auto"/>
              </w:rPr>
            </w:pPr>
          </w:p>
        </w:tc>
        <w:tc>
          <w:tcPr>
            <w:tcW w:w="1200" w:type="dxa"/>
            <w:vAlign w:val="bottom"/>
            <w:tcBorders>
              <w:bottom w:val="single" w:sz="8" w:color="auto"/>
            </w:tcBorders>
            <w:vMerge w:val="continue"/>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4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17 of 26</w:t>
      </w:r>
    </w:p>
    <w:p>
      <w:pPr>
        <w:sectPr>
          <w:pgSz w:w="11900" w:h="16838" w:orient="portrait"/>
          <w:cols w:equalWidth="0" w:num="1">
            <w:col w:w="11420"/>
          </w:cols>
          <w:pgMar w:left="240" w:top="117" w:right="2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884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auto"/>
              </w:rPr>
              <w:t>6. Interest in Principal Select Savings Stable Value Master Trust (continued)</w:t>
            </w:r>
          </w:p>
        </w:tc>
        <w:tc>
          <w:tcPr>
            <w:tcW w:w="7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500"/>
        </w:trPr>
        <w:tc>
          <w:tcPr>
            <w:tcW w:w="884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Investment income for the Master Trust is as follows:</w:t>
            </w:r>
          </w:p>
        </w:tc>
        <w:tc>
          <w:tcPr>
            <w:tcW w:w="7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605"/>
        </w:trPr>
        <w:tc>
          <w:tcPr>
            <w:tcW w:w="340" w:type="dxa"/>
            <w:vAlign w:val="bottom"/>
          </w:tcPr>
          <w:p>
            <w:pPr>
              <w:spacing w:after="0"/>
              <w:rPr>
                <w:sz w:val="24"/>
                <w:szCs w:val="24"/>
                <w:color w:val="auto"/>
              </w:rPr>
            </w:pPr>
          </w:p>
        </w:tc>
        <w:tc>
          <w:tcPr>
            <w:tcW w:w="8500" w:type="dxa"/>
            <w:vAlign w:val="bottom"/>
          </w:tcPr>
          <w:p>
            <w:pPr>
              <w:spacing w:after="0"/>
              <w:rPr>
                <w:sz w:val="24"/>
                <w:szCs w:val="24"/>
                <w:color w:val="auto"/>
              </w:rPr>
            </w:pPr>
          </w:p>
        </w:tc>
        <w:tc>
          <w:tcPr>
            <w:tcW w:w="2080" w:type="dxa"/>
            <w:vAlign w:val="bottom"/>
            <w:gridSpan w:val="2"/>
          </w:tcPr>
          <w:p>
            <w:pPr>
              <w:jc w:val="right"/>
              <w:ind w:right="32"/>
              <w:spacing w:after="0"/>
              <w:rPr>
                <w:sz w:val="20"/>
                <w:szCs w:val="20"/>
                <w:color w:val="auto"/>
              </w:rPr>
            </w:pPr>
            <w:r>
              <w:rPr>
                <w:rFonts w:ascii="Times New Roman" w:cs="Times New Roman" w:eastAsia="Times New Roman" w:hAnsi="Times New Roman"/>
                <w:sz w:val="22"/>
                <w:szCs w:val="22"/>
                <w:b w:val="1"/>
                <w:bCs w:val="1"/>
                <w:color w:val="auto"/>
              </w:rPr>
              <w:t>For the Year Ended</w:t>
            </w:r>
          </w:p>
        </w:tc>
      </w:tr>
      <w:tr>
        <w:trPr>
          <w:trHeight w:val="295"/>
        </w:trPr>
        <w:tc>
          <w:tcPr>
            <w:tcW w:w="340" w:type="dxa"/>
            <w:vAlign w:val="bottom"/>
          </w:tcPr>
          <w:p>
            <w:pPr>
              <w:spacing w:after="0"/>
              <w:rPr>
                <w:sz w:val="24"/>
                <w:szCs w:val="24"/>
                <w:color w:val="auto"/>
              </w:rPr>
            </w:pPr>
          </w:p>
        </w:tc>
        <w:tc>
          <w:tcPr>
            <w:tcW w:w="8500" w:type="dxa"/>
            <w:vAlign w:val="bottom"/>
          </w:tcPr>
          <w:p>
            <w:pPr>
              <w:spacing w:after="0"/>
              <w:rPr>
                <w:sz w:val="24"/>
                <w:szCs w:val="24"/>
                <w:color w:val="auto"/>
              </w:rPr>
            </w:pPr>
          </w:p>
        </w:tc>
        <w:tc>
          <w:tcPr>
            <w:tcW w:w="2080" w:type="dxa"/>
            <w:vAlign w:val="bottom"/>
            <w:tcBorders>
              <w:bottom w:val="single" w:sz="8" w:color="auto"/>
            </w:tcBorders>
            <w:gridSpan w:val="2"/>
          </w:tcPr>
          <w:p>
            <w:pPr>
              <w:jc w:val="right"/>
              <w:ind w:right="52"/>
              <w:spacing w:after="0"/>
              <w:rPr>
                <w:sz w:val="20"/>
                <w:szCs w:val="20"/>
                <w:color w:val="auto"/>
              </w:rPr>
            </w:pPr>
            <w:r>
              <w:rPr>
                <w:rFonts w:ascii="Times New Roman" w:cs="Times New Roman" w:eastAsia="Times New Roman" w:hAnsi="Times New Roman"/>
                <w:sz w:val="22"/>
                <w:szCs w:val="22"/>
                <w:b w:val="1"/>
                <w:bCs w:val="1"/>
                <w:color w:val="auto"/>
              </w:rPr>
              <w:t>December 31, 2014</w:t>
            </w:r>
          </w:p>
        </w:tc>
      </w:tr>
      <w:tr>
        <w:trPr>
          <w:trHeight w:val="297"/>
        </w:trPr>
        <w:tc>
          <w:tcPr>
            <w:tcW w:w="340" w:type="dxa"/>
            <w:vAlign w:val="bottom"/>
          </w:tcPr>
          <w:p>
            <w:pPr>
              <w:spacing w:after="0"/>
              <w:rPr>
                <w:sz w:val="24"/>
                <w:szCs w:val="24"/>
                <w:color w:val="auto"/>
              </w:rPr>
            </w:pPr>
          </w:p>
        </w:tc>
        <w:tc>
          <w:tcPr>
            <w:tcW w:w="8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97"/>
        </w:trPr>
        <w:tc>
          <w:tcPr>
            <w:tcW w:w="340" w:type="dxa"/>
            <w:vAlign w:val="bottom"/>
          </w:tcPr>
          <w:p>
            <w:pPr>
              <w:spacing w:after="0"/>
              <w:rPr>
                <w:sz w:val="24"/>
                <w:szCs w:val="24"/>
                <w:color w:val="auto"/>
              </w:rPr>
            </w:pPr>
          </w:p>
        </w:tc>
        <w:tc>
          <w:tcPr>
            <w:tcW w:w="85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Interest income</w:t>
            </w:r>
          </w:p>
        </w:tc>
        <w:tc>
          <w:tcPr>
            <w:tcW w:w="740" w:type="dxa"/>
            <w:vAlign w:val="bottom"/>
            <w:shd w:val="clear" w:color="auto" w:fill="CCEEFF"/>
          </w:tcPr>
          <w:p>
            <w:pPr>
              <w:jc w:val="right"/>
              <w:ind w:right="452"/>
              <w:spacing w:after="0"/>
              <w:rPr>
                <w:sz w:val="20"/>
                <w:szCs w:val="20"/>
                <w:color w:val="auto"/>
              </w:rPr>
            </w:pPr>
            <w:r>
              <w:rPr>
                <w:rFonts w:ascii="Times New Roman" w:cs="Times New Roman" w:eastAsia="Times New Roman" w:hAnsi="Times New Roman"/>
                <w:sz w:val="22"/>
                <w:szCs w:val="22"/>
                <w:color w:val="auto"/>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893,782</w:t>
            </w:r>
          </w:p>
        </w:tc>
      </w:tr>
      <w:tr>
        <w:trPr>
          <w:trHeight w:val="291"/>
        </w:trPr>
        <w:tc>
          <w:tcPr>
            <w:tcW w:w="340" w:type="dxa"/>
            <w:vAlign w:val="bottom"/>
          </w:tcPr>
          <w:p>
            <w:pPr>
              <w:spacing w:after="0"/>
              <w:rPr>
                <w:sz w:val="24"/>
                <w:szCs w:val="24"/>
                <w:color w:val="auto"/>
              </w:rPr>
            </w:pPr>
          </w:p>
        </w:tc>
        <w:tc>
          <w:tcPr>
            <w:tcW w:w="85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2"/>
                <w:szCs w:val="22"/>
                <w:color w:val="auto"/>
              </w:rPr>
              <w:t>Other income</w:t>
            </w:r>
          </w:p>
        </w:tc>
        <w:tc>
          <w:tcPr>
            <w:tcW w:w="74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481</w:t>
            </w:r>
          </w:p>
        </w:tc>
      </w:tr>
      <w:tr>
        <w:trPr>
          <w:trHeight w:val="291"/>
        </w:trPr>
        <w:tc>
          <w:tcPr>
            <w:tcW w:w="340" w:type="dxa"/>
            <w:vAlign w:val="bottom"/>
          </w:tcPr>
          <w:p>
            <w:pPr>
              <w:spacing w:after="0"/>
              <w:rPr>
                <w:sz w:val="24"/>
                <w:szCs w:val="24"/>
                <w:color w:val="auto"/>
              </w:rPr>
            </w:pPr>
          </w:p>
        </w:tc>
        <w:tc>
          <w:tcPr>
            <w:tcW w:w="85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Total investment income</w:t>
            </w:r>
          </w:p>
        </w:tc>
        <w:tc>
          <w:tcPr>
            <w:tcW w:w="740" w:type="dxa"/>
            <w:vAlign w:val="bottom"/>
            <w:tcBorders>
              <w:bottom w:val="single" w:sz="8" w:color="auto"/>
            </w:tcBorders>
            <w:shd w:val="clear" w:color="auto" w:fill="CCEEFF"/>
          </w:tcPr>
          <w:p>
            <w:pPr>
              <w:jc w:val="right"/>
              <w:ind w:right="452"/>
              <w:spacing w:after="0"/>
              <w:rPr>
                <w:sz w:val="20"/>
                <w:szCs w:val="20"/>
                <w:color w:val="auto"/>
              </w:rPr>
            </w:pPr>
            <w:r>
              <w:rPr>
                <w:rFonts w:ascii="Times New Roman" w:cs="Times New Roman" w:eastAsia="Times New Roman" w:hAnsi="Times New Roman"/>
                <w:sz w:val="22"/>
                <w:szCs w:val="22"/>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894,263</w:t>
            </w:r>
          </w:p>
        </w:tc>
      </w:tr>
      <w:tr>
        <w:trPr>
          <w:trHeight w:val="20"/>
        </w:trPr>
        <w:tc>
          <w:tcPr>
            <w:tcW w:w="340" w:type="dxa"/>
            <w:vAlign w:val="bottom"/>
          </w:tcPr>
          <w:p>
            <w:pPr>
              <w:spacing w:after="0" w:line="20" w:lineRule="exact"/>
              <w:rPr>
                <w:sz w:val="1"/>
                <w:szCs w:val="1"/>
                <w:color w:val="auto"/>
              </w:rPr>
            </w:pPr>
          </w:p>
        </w:tc>
        <w:tc>
          <w:tcPr>
            <w:tcW w:w="85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86"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2"/>
          <w:szCs w:val="22"/>
          <w:color w:val="auto"/>
        </w:rPr>
        <w:t>The NAV of each of the investments is calculated in a manner consistent with GAAP for investment companies and is determinative of their fair value. As of December, 31, 2014, the Bond Fund is reflected as Level 2 and the STIF is reflected as Level 1. The Bond Fund generally invests in fixed income securities. When available, the fair value of the fixed income securities is based on quoted prices of identical assets in active markets. When quoted prices are not available, the first priority is to obtain prices from third-party pricing methodologies and to confirm they are utilizing observable market information. The STIF is a money market fund valued using public quotations.</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Master Trust assets measured at fair value on a recurring basis are summarized below.</w:t>
      </w:r>
    </w:p>
    <w:p>
      <w:pPr>
        <w:spacing w:after="0" w:line="200" w:lineRule="exact"/>
        <w:rPr>
          <w:sz w:val="20"/>
          <w:szCs w:val="20"/>
          <w:color w:val="auto"/>
        </w:rPr>
      </w:pPr>
    </w:p>
    <w:p>
      <w:pPr>
        <w:spacing w:after="0" w:line="220" w:lineRule="exact"/>
        <w:rPr>
          <w:sz w:val="20"/>
          <w:szCs w:val="20"/>
          <w:color w:val="auto"/>
        </w:rPr>
      </w:pPr>
    </w:p>
    <w:tbl>
      <w:tblPr>
        <w:tblLayout w:type="fixed"/>
        <w:tblInd w:w="340" w:type="dxa"/>
        <w:tblCellMar>
          <w:top w:w="0" w:type="dxa"/>
          <w:left w:w="0" w:type="dxa"/>
          <w:bottom w:w="0" w:type="dxa"/>
          <w:right w:w="0" w:type="dxa"/>
        </w:tblCellMar>
      </w:tblPr>
      <w:tr>
        <w:trPr>
          <w:trHeight w:val="212"/>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60" w:type="dxa"/>
            <w:vAlign w:val="bottom"/>
            <w:gridSpan w:val="3"/>
          </w:tcPr>
          <w:p>
            <w:pPr>
              <w:jc w:val="right"/>
              <w:ind w:right="997"/>
              <w:spacing w:after="0"/>
              <w:rPr>
                <w:sz w:val="20"/>
                <w:szCs w:val="20"/>
                <w:color w:val="auto"/>
              </w:rPr>
            </w:pPr>
            <w:r>
              <w:rPr>
                <w:rFonts w:ascii="Times New Roman" w:cs="Times New Roman" w:eastAsia="Times New Roman" w:hAnsi="Times New Roman"/>
                <w:sz w:val="16"/>
                <w:szCs w:val="16"/>
                <w:b w:val="1"/>
                <w:bCs w:val="1"/>
                <w:color w:val="auto"/>
              </w:rPr>
              <w:t>As of December 31, 2014</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1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Assets Measured at Fair</w:t>
            </w:r>
          </w:p>
        </w:tc>
        <w:tc>
          <w:tcPr>
            <w:tcW w:w="4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Fair Value Hierarchy Level</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1880" w:type="dxa"/>
            <w:vAlign w:val="bottom"/>
            <w:gridSpan w:val="2"/>
            <w:vMerge w:val="continue"/>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jc w:val="center"/>
              <w:ind w:right="399"/>
              <w:spacing w:after="0"/>
              <w:rPr>
                <w:sz w:val="20"/>
                <w:szCs w:val="20"/>
                <w:color w:val="auto"/>
              </w:rPr>
            </w:pPr>
            <w:r>
              <w:rPr>
                <w:rFonts w:ascii="Times New Roman" w:cs="Times New Roman" w:eastAsia="Times New Roman" w:hAnsi="Times New Roman"/>
                <w:sz w:val="16"/>
                <w:szCs w:val="16"/>
                <w:b w:val="1"/>
                <w:bCs w:val="1"/>
                <w:color w:val="auto"/>
                <w:w w:val="99"/>
              </w:rPr>
              <w:t>Value</w:t>
            </w:r>
          </w:p>
        </w:tc>
        <w:tc>
          <w:tcPr>
            <w:tcW w:w="440" w:type="dxa"/>
            <w:vAlign w:val="bottom"/>
          </w:tcPr>
          <w:p>
            <w:pPr>
              <w:spacing w:after="0"/>
              <w:rPr>
                <w:sz w:val="18"/>
                <w:szCs w:val="18"/>
                <w:color w:val="auto"/>
              </w:rPr>
            </w:pPr>
          </w:p>
        </w:tc>
        <w:tc>
          <w:tcPr>
            <w:tcW w:w="1280" w:type="dxa"/>
            <w:vAlign w:val="bottom"/>
          </w:tcPr>
          <w:p>
            <w:pPr>
              <w:jc w:val="right"/>
              <w:ind w:right="497"/>
              <w:spacing w:after="0"/>
              <w:rPr>
                <w:sz w:val="20"/>
                <w:szCs w:val="20"/>
                <w:color w:val="auto"/>
              </w:rPr>
            </w:pPr>
            <w:r>
              <w:rPr>
                <w:rFonts w:ascii="Times New Roman" w:cs="Times New Roman" w:eastAsia="Times New Roman" w:hAnsi="Times New Roman"/>
                <w:sz w:val="16"/>
                <w:szCs w:val="16"/>
                <w:b w:val="1"/>
                <w:bCs w:val="1"/>
                <w:color w:val="auto"/>
              </w:rPr>
              <w:t>Level 1</w:t>
            </w:r>
          </w:p>
        </w:tc>
        <w:tc>
          <w:tcPr>
            <w:tcW w:w="520" w:type="dxa"/>
            <w:vAlign w:val="bottom"/>
          </w:tcPr>
          <w:p>
            <w:pPr>
              <w:spacing w:after="0"/>
              <w:rPr>
                <w:sz w:val="18"/>
                <w:szCs w:val="18"/>
                <w:color w:val="auto"/>
              </w:rPr>
            </w:pPr>
          </w:p>
        </w:tc>
        <w:tc>
          <w:tcPr>
            <w:tcW w:w="1460" w:type="dxa"/>
            <w:vAlign w:val="bottom"/>
          </w:tcPr>
          <w:p>
            <w:pPr>
              <w:jc w:val="center"/>
              <w:ind w:right="477"/>
              <w:spacing w:after="0"/>
              <w:rPr>
                <w:sz w:val="20"/>
                <w:szCs w:val="20"/>
                <w:color w:val="auto"/>
              </w:rPr>
            </w:pPr>
            <w:r>
              <w:rPr>
                <w:rFonts w:ascii="Times New Roman" w:cs="Times New Roman" w:eastAsia="Times New Roman" w:hAnsi="Times New Roman"/>
                <w:sz w:val="16"/>
                <w:szCs w:val="16"/>
                <w:b w:val="1"/>
                <w:bCs w:val="1"/>
                <w:color w:val="auto"/>
              </w:rPr>
              <w:t>Level 2</w:t>
            </w:r>
          </w:p>
        </w:tc>
        <w:tc>
          <w:tcPr>
            <w:tcW w:w="340" w:type="dxa"/>
            <w:vAlign w:val="bottom"/>
          </w:tcPr>
          <w:p>
            <w:pPr>
              <w:spacing w:after="0"/>
              <w:rPr>
                <w:sz w:val="18"/>
                <w:szCs w:val="18"/>
                <w:color w:val="auto"/>
              </w:rPr>
            </w:pPr>
          </w:p>
        </w:tc>
        <w:tc>
          <w:tcPr>
            <w:tcW w:w="1340" w:type="dxa"/>
            <w:vAlign w:val="bottom"/>
          </w:tcPr>
          <w:p>
            <w:pPr>
              <w:ind w:left="200"/>
              <w:spacing w:after="0"/>
              <w:rPr>
                <w:sz w:val="20"/>
                <w:szCs w:val="20"/>
                <w:color w:val="auto"/>
              </w:rPr>
            </w:pPr>
            <w:r>
              <w:rPr>
                <w:rFonts w:ascii="Times New Roman" w:cs="Times New Roman" w:eastAsia="Times New Roman" w:hAnsi="Times New Roman"/>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4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2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3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STIF</w:t>
            </w:r>
          </w:p>
        </w:tc>
        <w:tc>
          <w:tcPr>
            <w:tcW w:w="480" w:type="dxa"/>
            <w:vAlign w:val="bottom"/>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4,750,918</w:t>
            </w:r>
          </w:p>
        </w:tc>
        <w:tc>
          <w:tcPr>
            <w:tcW w:w="440" w:type="dxa"/>
            <w:vAlign w:val="bottom"/>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4,750,918</w:t>
            </w:r>
          </w:p>
        </w:tc>
        <w:tc>
          <w:tcPr>
            <w:tcW w:w="52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w:t>
            </w:r>
          </w:p>
        </w:tc>
        <w:tc>
          <w:tcPr>
            <w:tcW w:w="1460" w:type="dxa"/>
            <w:vAlign w:val="bottom"/>
          </w:tcPr>
          <w:p>
            <w:pPr>
              <w:jc w:val="right"/>
              <w:ind w:right="117"/>
              <w:spacing w:after="0"/>
              <w:rPr>
                <w:sz w:val="20"/>
                <w:szCs w:val="20"/>
                <w:color w:val="auto"/>
              </w:rPr>
            </w:pPr>
            <w:r>
              <w:rPr>
                <w:rFonts w:ascii="Times New Roman" w:cs="Times New Roman" w:eastAsia="Times New Roman" w:hAnsi="Times New Roman"/>
                <w:sz w:val="18"/>
                <w:szCs w:val="18"/>
                <w:b w:val="1"/>
                <w:bCs w:val="1"/>
                <w:color w:val="auto"/>
              </w:rPr>
              <w:t>—</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340" w:type="dxa"/>
            <w:vAlign w:val="bottom"/>
          </w:tcPr>
          <w:p>
            <w:pPr>
              <w:ind w:left="106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Bond Fund</w:t>
            </w:r>
          </w:p>
        </w:tc>
        <w:tc>
          <w:tcPr>
            <w:tcW w:w="4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80,076,002</w:t>
            </w:r>
          </w:p>
        </w:tc>
        <w:tc>
          <w:tcPr>
            <w:tcW w:w="4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52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17"/>
              <w:spacing w:after="0"/>
              <w:rPr>
                <w:sz w:val="20"/>
                <w:szCs w:val="20"/>
                <w:color w:val="auto"/>
              </w:rPr>
            </w:pPr>
            <w:r>
              <w:rPr>
                <w:rFonts w:ascii="Times New Roman" w:cs="Times New Roman" w:eastAsia="Times New Roman" w:hAnsi="Times New Roman"/>
                <w:sz w:val="16"/>
                <w:szCs w:val="16"/>
                <w:b w:val="1"/>
                <w:bCs w:val="1"/>
                <w:color w:val="auto"/>
              </w:rPr>
              <w:t>80,076,002</w:t>
            </w:r>
          </w:p>
        </w:tc>
        <w:tc>
          <w:tcPr>
            <w:tcW w:w="3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ind w:left="106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57"/>
        </w:trPr>
        <w:tc>
          <w:tcPr>
            <w:tcW w:w="29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Total invested assets</w:t>
            </w:r>
          </w:p>
        </w:tc>
        <w:tc>
          <w:tcPr>
            <w:tcW w:w="48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84,826,920</w:t>
            </w:r>
          </w:p>
        </w:tc>
        <w:tc>
          <w:tcPr>
            <w:tcW w:w="44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b w:val="1"/>
                <w:bCs w:val="1"/>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4,750,918</w:t>
            </w:r>
          </w:p>
        </w:tc>
        <w:tc>
          <w:tcPr>
            <w:tcW w:w="520" w:type="dxa"/>
            <w:vAlign w:val="bottom"/>
            <w:tcBorders>
              <w:top w:val="single" w:sz="8" w:color="auto"/>
              <w:bottom w:val="single" w:sz="8" w:color="auto"/>
            </w:tcBorders>
          </w:tcPr>
          <w:p>
            <w:pPr>
              <w:ind w:left="200"/>
              <w:spacing w:after="0"/>
              <w:rPr>
                <w:sz w:val="20"/>
                <w:szCs w:val="20"/>
                <w:color w:val="auto"/>
              </w:rPr>
            </w:pPr>
            <w:r>
              <w:rPr>
                <w:rFonts w:ascii="Times New Roman" w:cs="Times New Roman" w:eastAsia="Times New Roman" w:hAnsi="Times New Roman"/>
                <w:sz w:val="16"/>
                <w:szCs w:val="16"/>
                <w:b w:val="1"/>
                <w:bCs w:val="1"/>
                <w:color w:val="auto"/>
              </w:rPr>
              <w:t>$</w:t>
            </w:r>
          </w:p>
        </w:tc>
        <w:tc>
          <w:tcPr>
            <w:tcW w:w="1460" w:type="dxa"/>
            <w:vAlign w:val="bottom"/>
            <w:tcBorders>
              <w:top w:val="single" w:sz="8" w:color="auto"/>
              <w:bottom w:val="single" w:sz="8" w:color="auto"/>
            </w:tcBorders>
          </w:tcPr>
          <w:p>
            <w:pPr>
              <w:jc w:val="right"/>
              <w:ind w:right="117"/>
              <w:spacing w:after="0"/>
              <w:rPr>
                <w:sz w:val="20"/>
                <w:szCs w:val="20"/>
                <w:color w:val="auto"/>
              </w:rPr>
            </w:pPr>
            <w:r>
              <w:rPr>
                <w:rFonts w:ascii="Times New Roman" w:cs="Times New Roman" w:eastAsia="Times New Roman" w:hAnsi="Times New Roman"/>
                <w:sz w:val="16"/>
                <w:szCs w:val="16"/>
                <w:b w:val="1"/>
                <w:bCs w:val="1"/>
                <w:color w:val="auto"/>
              </w:rPr>
              <w:t>80,076,002</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w:t>
            </w:r>
          </w:p>
        </w:tc>
        <w:tc>
          <w:tcPr>
            <w:tcW w:w="1340" w:type="dxa"/>
            <w:vAlign w:val="bottom"/>
            <w:tcBorders>
              <w:top w:val="single" w:sz="8" w:color="auto"/>
              <w:bottom w:val="single" w:sz="8" w:color="auto"/>
            </w:tcBorders>
          </w:tcPr>
          <w:p>
            <w:pPr>
              <w:ind w:left="1060"/>
              <w:spacing w:after="0"/>
              <w:rPr>
                <w:sz w:val="20"/>
                <w:szCs w:val="20"/>
                <w:color w:val="auto"/>
              </w:rPr>
            </w:pPr>
            <w:r>
              <w:rPr>
                <w:rFonts w:ascii="Times New Roman" w:cs="Times New Roman" w:eastAsia="Times New Roman" w:hAnsi="Times New Roman"/>
                <w:sz w:val="18"/>
                <w:szCs w:val="18"/>
                <w:b w:val="1"/>
                <w:bCs w:val="1"/>
                <w:color w:val="auto"/>
              </w:rPr>
              <w:t>—</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gridSpan w:val="3"/>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0"/>
        </w:trPr>
        <w:tc>
          <w:tcPr>
            <w:tcW w:w="2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60" w:type="dxa"/>
            <w:vAlign w:val="bottom"/>
            <w:gridSpan w:val="3"/>
          </w:tcPr>
          <w:p>
            <w:pPr>
              <w:jc w:val="right"/>
              <w:ind w:right="1017"/>
              <w:spacing w:after="0"/>
              <w:rPr>
                <w:sz w:val="20"/>
                <w:szCs w:val="20"/>
                <w:color w:val="auto"/>
              </w:rPr>
            </w:pPr>
            <w:r>
              <w:rPr>
                <w:rFonts w:ascii="Times New Roman" w:cs="Times New Roman" w:eastAsia="Times New Roman" w:hAnsi="Times New Roman"/>
                <w:sz w:val="16"/>
                <w:szCs w:val="16"/>
                <w:color w:val="auto"/>
              </w:rPr>
              <w:t>As of December 31, 2013</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1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rPr>
              <w:t>Assets Measured at Fair</w:t>
            </w:r>
          </w:p>
        </w:tc>
        <w:tc>
          <w:tcPr>
            <w:tcW w:w="4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auto"/>
              </w:rPr>
              <w:t>Fair Value Hierarchy Level</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1880" w:type="dxa"/>
            <w:vAlign w:val="bottom"/>
            <w:gridSpan w:val="2"/>
            <w:vMerge w:val="continue"/>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jc w:val="center"/>
              <w:ind w:right="399"/>
              <w:spacing w:after="0"/>
              <w:rPr>
                <w:sz w:val="20"/>
                <w:szCs w:val="20"/>
                <w:color w:val="auto"/>
              </w:rPr>
            </w:pPr>
            <w:r>
              <w:rPr>
                <w:rFonts w:ascii="Times New Roman" w:cs="Times New Roman" w:eastAsia="Times New Roman" w:hAnsi="Times New Roman"/>
                <w:sz w:val="16"/>
                <w:szCs w:val="16"/>
                <w:color w:val="auto"/>
                <w:w w:val="94"/>
              </w:rPr>
              <w:t>Value</w:t>
            </w:r>
          </w:p>
        </w:tc>
        <w:tc>
          <w:tcPr>
            <w:tcW w:w="440" w:type="dxa"/>
            <w:vAlign w:val="bottom"/>
          </w:tcPr>
          <w:p>
            <w:pPr>
              <w:spacing w:after="0"/>
              <w:rPr>
                <w:sz w:val="18"/>
                <w:szCs w:val="18"/>
                <w:color w:val="auto"/>
              </w:rPr>
            </w:pPr>
          </w:p>
        </w:tc>
        <w:tc>
          <w:tcPr>
            <w:tcW w:w="1280" w:type="dxa"/>
            <w:vAlign w:val="bottom"/>
          </w:tcPr>
          <w:p>
            <w:pPr>
              <w:jc w:val="right"/>
              <w:ind w:right="497"/>
              <w:spacing w:after="0"/>
              <w:rPr>
                <w:sz w:val="20"/>
                <w:szCs w:val="20"/>
                <w:color w:val="auto"/>
              </w:rPr>
            </w:pPr>
            <w:r>
              <w:rPr>
                <w:rFonts w:ascii="Times New Roman" w:cs="Times New Roman" w:eastAsia="Times New Roman" w:hAnsi="Times New Roman"/>
                <w:sz w:val="16"/>
                <w:szCs w:val="16"/>
                <w:color w:val="auto"/>
              </w:rPr>
              <w:t>Level 1</w:t>
            </w:r>
          </w:p>
        </w:tc>
        <w:tc>
          <w:tcPr>
            <w:tcW w:w="520" w:type="dxa"/>
            <w:vAlign w:val="bottom"/>
          </w:tcPr>
          <w:p>
            <w:pPr>
              <w:spacing w:after="0"/>
              <w:rPr>
                <w:sz w:val="18"/>
                <w:szCs w:val="18"/>
                <w:color w:val="auto"/>
              </w:rPr>
            </w:pPr>
          </w:p>
        </w:tc>
        <w:tc>
          <w:tcPr>
            <w:tcW w:w="1460" w:type="dxa"/>
            <w:vAlign w:val="bottom"/>
          </w:tcPr>
          <w:p>
            <w:pPr>
              <w:jc w:val="center"/>
              <w:ind w:right="477"/>
              <w:spacing w:after="0"/>
              <w:rPr>
                <w:sz w:val="20"/>
                <w:szCs w:val="20"/>
                <w:color w:val="auto"/>
              </w:rPr>
            </w:pPr>
            <w:r>
              <w:rPr>
                <w:rFonts w:ascii="Times New Roman" w:cs="Times New Roman" w:eastAsia="Times New Roman" w:hAnsi="Times New Roman"/>
                <w:sz w:val="16"/>
                <w:szCs w:val="16"/>
                <w:color w:val="auto"/>
              </w:rPr>
              <w:t>Level 2</w:t>
            </w:r>
          </w:p>
        </w:tc>
        <w:tc>
          <w:tcPr>
            <w:tcW w:w="340" w:type="dxa"/>
            <w:vAlign w:val="bottom"/>
          </w:tcPr>
          <w:p>
            <w:pPr>
              <w:spacing w:after="0"/>
              <w:rPr>
                <w:sz w:val="18"/>
                <w:szCs w:val="18"/>
                <w:color w:val="auto"/>
              </w:rPr>
            </w:pPr>
          </w:p>
        </w:tc>
        <w:tc>
          <w:tcPr>
            <w:tcW w:w="134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Level 3</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Assets</w:t>
            </w:r>
          </w:p>
        </w:tc>
        <w:tc>
          <w:tcPr>
            <w:tcW w:w="4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2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3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STIF</w:t>
            </w:r>
          </w:p>
        </w:tc>
        <w:tc>
          <w:tcPr>
            <w:tcW w:w="48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3,529,858</w:t>
            </w:r>
          </w:p>
        </w:tc>
        <w:tc>
          <w:tcPr>
            <w:tcW w:w="440" w:type="dxa"/>
            <w:vAlign w:val="bottom"/>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3,529,858</w:t>
            </w:r>
          </w:p>
        </w:tc>
        <w:tc>
          <w:tcPr>
            <w:tcW w:w="5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ind w:right="117"/>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Bond Fund</w:t>
            </w:r>
          </w:p>
        </w:tc>
        <w:tc>
          <w:tcPr>
            <w:tcW w:w="4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84,633,460</w:t>
            </w:r>
          </w:p>
        </w:tc>
        <w:tc>
          <w:tcPr>
            <w:tcW w:w="4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17"/>
              <w:spacing w:after="0"/>
              <w:rPr>
                <w:sz w:val="20"/>
                <w:szCs w:val="20"/>
                <w:color w:val="auto"/>
              </w:rPr>
            </w:pPr>
            <w:r>
              <w:rPr>
                <w:rFonts w:ascii="Times New Roman" w:cs="Times New Roman" w:eastAsia="Times New Roman" w:hAnsi="Times New Roman"/>
                <w:sz w:val="16"/>
                <w:szCs w:val="16"/>
                <w:color w:val="auto"/>
              </w:rPr>
              <w:t>84,633,460</w:t>
            </w:r>
          </w:p>
        </w:tc>
        <w:tc>
          <w:tcPr>
            <w:tcW w:w="3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57"/>
        </w:trPr>
        <w:tc>
          <w:tcPr>
            <w:tcW w:w="29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Total invested assets</w:t>
            </w:r>
          </w:p>
        </w:tc>
        <w:tc>
          <w:tcPr>
            <w:tcW w:w="480" w:type="dxa"/>
            <w:vAlign w:val="bottom"/>
            <w:tcBorders>
              <w:top w:val="single" w:sz="8" w:color="auto"/>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88,163,318</w:t>
            </w:r>
          </w:p>
        </w:tc>
        <w:tc>
          <w:tcPr>
            <w:tcW w:w="440" w:type="dxa"/>
            <w:vAlign w:val="bottom"/>
            <w:tcBorders>
              <w:top w:val="single" w:sz="8" w:color="auto"/>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3,529,858</w:t>
            </w:r>
          </w:p>
        </w:tc>
        <w:tc>
          <w:tcPr>
            <w:tcW w:w="520" w:type="dxa"/>
            <w:vAlign w:val="bottom"/>
            <w:tcBorders>
              <w:top w:val="single" w:sz="8" w:color="auto"/>
              <w:bottom w:val="single" w:sz="8" w:color="auto"/>
            </w:tcBorders>
          </w:tcPr>
          <w:p>
            <w:pPr>
              <w:ind w:left="200"/>
              <w:spacing w:after="0"/>
              <w:rPr>
                <w:sz w:val="20"/>
                <w:szCs w:val="20"/>
                <w:color w:val="auto"/>
              </w:rPr>
            </w:pPr>
            <w:r>
              <w:rPr>
                <w:rFonts w:ascii="Times New Roman" w:cs="Times New Roman" w:eastAsia="Times New Roman" w:hAnsi="Times New Roman"/>
                <w:sz w:val="16"/>
                <w:szCs w:val="16"/>
                <w:color w:val="auto"/>
              </w:rPr>
              <w:t>$</w:t>
            </w:r>
          </w:p>
        </w:tc>
        <w:tc>
          <w:tcPr>
            <w:tcW w:w="1460" w:type="dxa"/>
            <w:vAlign w:val="bottom"/>
            <w:tcBorders>
              <w:top w:val="single" w:sz="8" w:color="auto"/>
              <w:bottom w:val="single" w:sz="8" w:color="auto"/>
            </w:tcBorders>
          </w:tcPr>
          <w:p>
            <w:pPr>
              <w:jc w:val="right"/>
              <w:ind w:right="117"/>
              <w:spacing w:after="0"/>
              <w:rPr>
                <w:sz w:val="20"/>
                <w:szCs w:val="20"/>
                <w:color w:val="auto"/>
              </w:rPr>
            </w:pPr>
            <w:r>
              <w:rPr>
                <w:rFonts w:ascii="Times New Roman" w:cs="Times New Roman" w:eastAsia="Times New Roman" w:hAnsi="Times New Roman"/>
                <w:sz w:val="16"/>
                <w:szCs w:val="16"/>
                <w:color w:val="auto"/>
              </w:rPr>
              <w:t>84,633,460</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top w:val="single" w:sz="8" w:color="auto"/>
              <w:bottom w:val="single" w:sz="8" w:color="auto"/>
            </w:tcBorders>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6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18 of 26</w:t>
      </w:r>
    </w:p>
    <w:p>
      <w:pPr>
        <w:sectPr>
          <w:pgSz w:w="11900" w:h="16838" w:orient="portrait"/>
          <w:cols w:equalWidth="0" w:num="1">
            <w:col w:w="11420"/>
          </w:cols>
          <w:pgMar w:left="240" w:top="117" w:right="2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6. Interest in Principal Select Savings Stable Value Master Trust (continued)</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Within the Master Trust, the Plan holds a wrap contract with an inconsequential fair value for the 2014 and 2013 Plan years.</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Bond Fund and the STIF represented 5% or more of the Master Trust’s net assets at contract value as of December 31, 2014.</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Bond fund represented 5% or more of the Master Trust’s net assets at contract value as of December 31, 2013.</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7. Related Party Transactions</w:t>
      </w:r>
    </w:p>
    <w:p>
      <w:pPr>
        <w:spacing w:after="0" w:line="25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2"/>
          <w:szCs w:val="22"/>
          <w:color w:val="auto"/>
        </w:rPr>
        <w:t>In addition to the transactions with parties-in-interest discussed herein, Principal Life provides recordkeeping services to the Plan and receives fees, which are paid through revenue generated by Plan investments, for those services. These transactions are exempt from the prohibited transactions rules of ERISA. The Company may pay other Plan expenses from time to time. As part of the Principal Select Savings Stable Value Fund investment, the Plan purchases a wrap contract from Principal Life. The ESOP received $475,232 in dividends from Principal Financial Group, Inc. in 2014.</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8. Form 5500</w:t>
      </w:r>
    </w:p>
    <w:p>
      <w:pPr>
        <w:spacing w:after="0" w:line="251"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The following table reconciles net assets available for benefits per the Statements of Net Assets Available for Benefits to the Form 5500:</w:t>
      </w:r>
    </w:p>
    <w:p>
      <w:pPr>
        <w:spacing w:after="0" w:line="330" w:lineRule="exact"/>
        <w:rPr>
          <w:sz w:val="20"/>
          <w:szCs w:val="20"/>
          <w:color w:val="auto"/>
        </w:rPr>
      </w:pPr>
    </w:p>
    <w:tbl>
      <w:tblPr>
        <w:tblLayout w:type="fixed"/>
        <w:tblInd w:w="340" w:type="dxa"/>
        <w:tblCellMar>
          <w:top w:w="0" w:type="dxa"/>
          <w:left w:w="0" w:type="dxa"/>
          <w:bottom w:w="0" w:type="dxa"/>
          <w:right w:w="0" w:type="dxa"/>
        </w:tblCellMar>
      </w:tblPr>
      <w:tr>
        <w:trPr>
          <w:trHeight w:val="287"/>
        </w:trPr>
        <w:tc>
          <w:tcPr>
            <w:tcW w:w="6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140" w:type="dxa"/>
            <w:vAlign w:val="bottom"/>
            <w:gridSpan w:val="2"/>
          </w:tcPr>
          <w:p>
            <w:pPr>
              <w:jc w:val="right"/>
              <w:spacing w:after="0"/>
              <w:rPr>
                <w:sz w:val="20"/>
                <w:szCs w:val="20"/>
                <w:color w:val="auto"/>
              </w:rPr>
            </w:pPr>
            <w:r>
              <w:rPr>
                <w:rFonts w:ascii="Times New Roman" w:cs="Times New Roman" w:eastAsia="Times New Roman" w:hAnsi="Times New Roman"/>
                <w:sz w:val="22"/>
                <w:szCs w:val="22"/>
                <w:b w:val="1"/>
                <w:bCs w:val="1"/>
                <w:color w:val="auto"/>
              </w:rPr>
              <w:t>December 31,</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6400" w:type="dxa"/>
            <w:vAlign w:val="bottom"/>
            <w:tcBorders>
              <w:bottom w:val="single" w:sz="8" w:color="CCEEFF"/>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632"/>
              <w:spacing w:after="0"/>
              <w:rPr>
                <w:sz w:val="20"/>
                <w:szCs w:val="20"/>
                <w:color w:val="auto"/>
              </w:rPr>
            </w:pPr>
            <w:r>
              <w:rPr>
                <w:rFonts w:ascii="Times New Roman" w:cs="Times New Roman" w:eastAsia="Times New Roman" w:hAnsi="Times New Roman"/>
                <w:sz w:val="22"/>
                <w:szCs w:val="22"/>
                <w:b w:val="1"/>
                <w:bCs w:val="1"/>
                <w:color w:val="auto"/>
              </w:rPr>
              <w:t>2014</w:t>
            </w:r>
          </w:p>
        </w:tc>
        <w:tc>
          <w:tcPr>
            <w:tcW w:w="7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632"/>
              <w:spacing w:after="0"/>
              <w:rPr>
                <w:sz w:val="20"/>
                <w:szCs w:val="20"/>
                <w:color w:val="auto"/>
              </w:rPr>
            </w:pPr>
            <w:r>
              <w:rPr>
                <w:rFonts w:ascii="Times New Roman" w:cs="Times New Roman" w:eastAsia="Times New Roman" w:hAnsi="Times New Roman"/>
                <w:sz w:val="22"/>
                <w:szCs w:val="22"/>
                <w:b w:val="1"/>
                <w:bCs w:val="1"/>
                <w:color w:val="auto"/>
              </w:rPr>
              <w:t>2013</w:t>
            </w:r>
          </w:p>
        </w:tc>
        <w:tc>
          <w:tcPr>
            <w:tcW w:w="0" w:type="dxa"/>
            <w:vAlign w:val="bottom"/>
          </w:tcPr>
          <w:p>
            <w:pPr>
              <w:spacing w:after="0"/>
              <w:rPr>
                <w:sz w:val="1"/>
                <w:szCs w:val="1"/>
                <w:color w:val="auto"/>
              </w:rPr>
            </w:pPr>
          </w:p>
        </w:tc>
      </w:tr>
      <w:tr>
        <w:trPr>
          <w:trHeight w:val="229"/>
        </w:trPr>
        <w:tc>
          <w:tcPr>
            <w:tcW w:w="6400" w:type="dxa"/>
            <w:vAlign w:val="bottom"/>
            <w:shd w:val="clear" w:color="auto" w:fill="CCEEFF"/>
          </w:tcPr>
          <w:p>
            <w:pPr>
              <w:ind w:left="20"/>
              <w:spacing w:after="0" w:line="229" w:lineRule="exact"/>
              <w:rPr>
                <w:sz w:val="20"/>
                <w:szCs w:val="20"/>
                <w:color w:val="auto"/>
              </w:rPr>
            </w:pPr>
            <w:r>
              <w:rPr>
                <w:rFonts w:ascii="Times New Roman" w:cs="Times New Roman" w:eastAsia="Times New Roman" w:hAnsi="Times New Roman"/>
                <w:sz w:val="22"/>
                <w:szCs w:val="22"/>
                <w:color w:val="auto"/>
              </w:rPr>
              <w:t>Net assets available for benefits per the Statements of Net Assets</w:t>
            </w:r>
          </w:p>
        </w:tc>
        <w:tc>
          <w:tcPr>
            <w:tcW w:w="480" w:type="dxa"/>
            <w:vAlign w:val="bottom"/>
            <w:vMerge w:val="restart"/>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174,490,667</w:t>
            </w:r>
          </w:p>
        </w:tc>
        <w:tc>
          <w:tcPr>
            <w:tcW w:w="7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98"/>
        </w:trPr>
        <w:tc>
          <w:tcPr>
            <w:tcW w:w="64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22"/>
                <w:szCs w:val="22"/>
                <w:color w:val="auto"/>
              </w:rPr>
              <w:t>Available for Benefits</w:t>
            </w:r>
          </w:p>
        </w:tc>
        <w:tc>
          <w:tcPr>
            <w:tcW w:w="480" w:type="dxa"/>
            <w:vAlign w:val="bottom"/>
            <w:vMerge w:val="continue"/>
            <w:shd w:val="clear" w:color="auto" w:fill="CCEEFF"/>
          </w:tcPr>
          <w:p>
            <w:pPr>
              <w:spacing w:after="0"/>
              <w:rPr>
                <w:sz w:val="24"/>
                <w:szCs w:val="24"/>
                <w:color w:val="auto"/>
              </w:rPr>
            </w:pPr>
          </w:p>
        </w:tc>
        <w:tc>
          <w:tcPr>
            <w:tcW w:w="1440" w:type="dxa"/>
            <w:vAlign w:val="bottom"/>
            <w:vMerge w:val="continue"/>
            <w:shd w:val="clear" w:color="auto" w:fill="CCEEFF"/>
          </w:tcPr>
          <w:p>
            <w:pPr>
              <w:spacing w:after="0"/>
              <w:rPr>
                <w:sz w:val="24"/>
                <w:szCs w:val="24"/>
                <w:color w:val="auto"/>
              </w:rPr>
            </w:pPr>
          </w:p>
        </w:tc>
        <w:tc>
          <w:tcPr>
            <w:tcW w:w="700" w:type="dxa"/>
            <w:vAlign w:val="bottom"/>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w w:val="99"/>
              </w:rPr>
              <w:t>164,906,924</w:t>
            </w:r>
          </w:p>
        </w:tc>
        <w:tc>
          <w:tcPr>
            <w:tcW w:w="0" w:type="dxa"/>
            <w:vAlign w:val="bottom"/>
          </w:tcPr>
          <w:p>
            <w:pPr>
              <w:spacing w:after="0"/>
              <w:rPr>
                <w:sz w:val="1"/>
                <w:szCs w:val="1"/>
                <w:color w:val="auto"/>
              </w:rPr>
            </w:pPr>
          </w:p>
        </w:tc>
      </w:tr>
      <w:tr>
        <w:trPr>
          <w:trHeight w:val="243"/>
        </w:trPr>
        <w:tc>
          <w:tcPr>
            <w:tcW w:w="6400" w:type="dxa"/>
            <w:vAlign w:val="bottom"/>
          </w:tcPr>
          <w:p>
            <w:pPr>
              <w:ind w:left="20"/>
              <w:spacing w:after="0" w:line="243" w:lineRule="exact"/>
              <w:rPr>
                <w:sz w:val="20"/>
                <w:szCs w:val="20"/>
                <w:color w:val="auto"/>
              </w:rPr>
            </w:pPr>
            <w:r>
              <w:rPr>
                <w:rFonts w:ascii="Times New Roman" w:cs="Times New Roman" w:eastAsia="Times New Roman" w:hAnsi="Times New Roman"/>
                <w:sz w:val="22"/>
                <w:szCs w:val="22"/>
                <w:color w:val="auto"/>
              </w:rPr>
              <w:t>Adjustments from contract value to fair value for fully benefit-</w:t>
            </w:r>
          </w:p>
        </w:tc>
        <w:tc>
          <w:tcPr>
            <w:tcW w:w="480" w:type="dxa"/>
            <w:vAlign w:val="bottom"/>
          </w:tcPr>
          <w:p>
            <w:pPr>
              <w:spacing w:after="0"/>
              <w:rPr>
                <w:sz w:val="21"/>
                <w:szCs w:val="21"/>
                <w:color w:val="auto"/>
              </w:rPr>
            </w:pPr>
          </w:p>
        </w:tc>
        <w:tc>
          <w:tcPr>
            <w:tcW w:w="14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rPr>
              <w:t>2,696</w:t>
            </w:r>
          </w:p>
        </w:tc>
        <w:tc>
          <w:tcPr>
            <w:tcW w:w="7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1"/>
        </w:trPr>
        <w:tc>
          <w:tcPr>
            <w:tcW w:w="6400" w:type="dxa"/>
            <w:vAlign w:val="bottom"/>
            <w:tcBorders>
              <w:bottom w:val="single" w:sz="8" w:color="CCEEFF"/>
            </w:tcBorders>
          </w:tcPr>
          <w:p>
            <w:pPr>
              <w:ind w:left="180"/>
              <w:spacing w:after="0"/>
              <w:rPr>
                <w:sz w:val="20"/>
                <w:szCs w:val="20"/>
                <w:color w:val="auto"/>
              </w:rPr>
            </w:pPr>
            <w:r>
              <w:rPr>
                <w:rFonts w:ascii="Times New Roman" w:cs="Times New Roman" w:eastAsia="Times New Roman" w:hAnsi="Times New Roman"/>
                <w:sz w:val="22"/>
                <w:szCs w:val="22"/>
                <w:color w:val="auto"/>
              </w:rPr>
              <w:t>responsive investment contract</w:t>
            </w:r>
          </w:p>
        </w:tc>
        <w:tc>
          <w:tcPr>
            <w:tcW w:w="4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vMerge w:val="continue"/>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(66,328)</w:t>
            </w:r>
          </w:p>
        </w:tc>
        <w:tc>
          <w:tcPr>
            <w:tcW w:w="0" w:type="dxa"/>
            <w:vAlign w:val="bottom"/>
          </w:tcPr>
          <w:p>
            <w:pPr>
              <w:spacing w:after="0"/>
              <w:rPr>
                <w:sz w:val="1"/>
                <w:szCs w:val="1"/>
                <w:color w:val="auto"/>
              </w:rPr>
            </w:pPr>
          </w:p>
        </w:tc>
      </w:tr>
      <w:tr>
        <w:trPr>
          <w:trHeight w:val="292"/>
        </w:trPr>
        <w:tc>
          <w:tcPr>
            <w:tcW w:w="64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Net assets available for benefits per the Form 5500</w:t>
            </w:r>
          </w:p>
        </w:tc>
        <w:tc>
          <w:tcPr>
            <w:tcW w:w="480" w:type="dxa"/>
            <w:vAlign w:val="bottom"/>
            <w:tcBorders>
              <w:bottom w:val="single" w:sz="8" w:color="auto"/>
            </w:tcBorders>
            <w:shd w:val="clear" w:color="auto" w:fill="CCEEFF"/>
          </w:tcPr>
          <w:p>
            <w:pPr>
              <w:jc w:val="right"/>
              <w:ind w:right="172"/>
              <w:spacing w:after="0"/>
              <w:rPr>
                <w:sz w:val="20"/>
                <w:szCs w:val="20"/>
                <w:color w:val="auto"/>
              </w:rPr>
            </w:pPr>
            <w:r>
              <w:rPr>
                <w:rFonts w:ascii="Times New Roman" w:cs="Times New Roman" w:eastAsia="Times New Roman" w:hAnsi="Times New Roman"/>
                <w:sz w:val="22"/>
                <w:szCs w:val="22"/>
                <w:b w:val="1"/>
                <w:bCs w:val="1"/>
                <w:color w:val="auto"/>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b w:val="1"/>
                <w:bCs w:val="1"/>
                <w:color w:val="auto"/>
              </w:rPr>
              <w:t>174,493,363</w:t>
            </w:r>
          </w:p>
        </w:tc>
        <w:tc>
          <w:tcPr>
            <w:tcW w:w="700" w:type="dxa"/>
            <w:vAlign w:val="bottom"/>
            <w:tcBorders>
              <w:bottom w:val="single" w:sz="8" w:color="auto"/>
            </w:tcBorders>
            <w:shd w:val="clear" w:color="auto" w:fill="CCEEFF"/>
          </w:tcPr>
          <w:p>
            <w:pPr>
              <w:jc w:val="right"/>
              <w:ind w:right="392"/>
              <w:spacing w:after="0"/>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w w:val="99"/>
              </w:rPr>
              <w:t>164,840,596</w:t>
            </w: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19 of 26</w:t>
      </w:r>
    </w:p>
    <w:p>
      <w:pPr>
        <w:sectPr>
          <w:pgSz w:w="11900" w:h="16838" w:orient="portrait"/>
          <w:cols w:equalWidth="0" w:num="1">
            <w:col w:w="11420"/>
          </w:cols>
          <w:pgMar w:left="240" w:top="117" w:right="2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8. Form 5500 (continued)</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following table reconciles the Statement of Changes in Net Assets Available for Benefits to the Form 5500:</w:t>
      </w:r>
    </w:p>
    <w:p>
      <w:pPr>
        <w:spacing w:after="0" w:line="391" w:lineRule="exact"/>
        <w:rPr>
          <w:sz w:val="20"/>
          <w:szCs w:val="20"/>
          <w:color w:val="auto"/>
        </w:rPr>
      </w:pPr>
    </w:p>
    <w:tbl>
      <w:tblPr>
        <w:tblLayout w:type="fixed"/>
        <w:tblInd w:w="340" w:type="dxa"/>
        <w:tblCellMar>
          <w:top w:w="0" w:type="dxa"/>
          <w:left w:w="0" w:type="dxa"/>
          <w:bottom w:w="0" w:type="dxa"/>
          <w:right w:w="0" w:type="dxa"/>
        </w:tblCellMar>
      </w:tblPr>
      <w:tr>
        <w:trPr>
          <w:trHeight w:val="287"/>
        </w:trPr>
        <w:tc>
          <w:tcPr>
            <w:tcW w:w="79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20" w:type="dxa"/>
            <w:vAlign w:val="bottom"/>
          </w:tcPr>
          <w:p>
            <w:pPr>
              <w:jc w:val="right"/>
              <w:ind w:right="352"/>
              <w:spacing w:after="0"/>
              <w:rPr>
                <w:sz w:val="20"/>
                <w:szCs w:val="20"/>
                <w:color w:val="auto"/>
              </w:rPr>
            </w:pPr>
            <w:r>
              <w:rPr>
                <w:rFonts w:ascii="Times New Roman" w:cs="Times New Roman" w:eastAsia="Times New Roman" w:hAnsi="Times New Roman"/>
                <w:sz w:val="22"/>
                <w:szCs w:val="22"/>
                <w:b w:val="1"/>
                <w:bCs w:val="1"/>
                <w:color w:val="auto"/>
              </w:rPr>
              <w:t>December 31,</w:t>
            </w:r>
          </w:p>
        </w:tc>
      </w:tr>
      <w:tr>
        <w:trPr>
          <w:trHeight w:val="306"/>
        </w:trPr>
        <w:tc>
          <w:tcPr>
            <w:tcW w:w="796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right"/>
              <w:ind w:right="752"/>
              <w:spacing w:after="0"/>
              <w:rPr>
                <w:sz w:val="20"/>
                <w:szCs w:val="20"/>
                <w:color w:val="auto"/>
              </w:rPr>
            </w:pPr>
            <w:r>
              <w:rPr>
                <w:rFonts w:ascii="Times New Roman" w:cs="Times New Roman" w:eastAsia="Times New Roman" w:hAnsi="Times New Roman"/>
                <w:sz w:val="22"/>
                <w:szCs w:val="22"/>
                <w:b w:val="1"/>
                <w:bCs w:val="1"/>
                <w:color w:val="auto"/>
              </w:rPr>
              <w:t>2014</w:t>
            </w:r>
          </w:p>
        </w:tc>
      </w:tr>
      <w:tr>
        <w:trPr>
          <w:trHeight w:val="229"/>
        </w:trPr>
        <w:tc>
          <w:tcPr>
            <w:tcW w:w="7960" w:type="dxa"/>
            <w:vAlign w:val="bottom"/>
            <w:shd w:val="clear" w:color="auto" w:fill="CCEEFF"/>
          </w:tcPr>
          <w:p>
            <w:pPr>
              <w:ind w:left="20"/>
              <w:spacing w:after="0" w:line="229" w:lineRule="exact"/>
              <w:rPr>
                <w:sz w:val="20"/>
                <w:szCs w:val="20"/>
                <w:color w:val="auto"/>
              </w:rPr>
            </w:pPr>
            <w:r>
              <w:rPr>
                <w:rFonts w:ascii="Times New Roman" w:cs="Times New Roman" w:eastAsia="Times New Roman" w:hAnsi="Times New Roman"/>
                <w:sz w:val="22"/>
                <w:szCs w:val="22"/>
                <w:color w:val="auto"/>
              </w:rPr>
              <w:t>Net change from contract value to fair value for fully benefit-responsive investment</w:t>
            </w:r>
          </w:p>
        </w:tc>
        <w:tc>
          <w:tcPr>
            <w:tcW w:w="34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r>
      <w:tr>
        <w:trPr>
          <w:trHeight w:val="298"/>
        </w:trPr>
        <w:tc>
          <w:tcPr>
            <w:tcW w:w="7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22"/>
                <w:szCs w:val="22"/>
                <w:color w:val="auto"/>
              </w:rPr>
              <w:t>contracts</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1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69,024</w:t>
            </w:r>
          </w:p>
        </w:tc>
      </w:tr>
      <w:tr>
        <w:trPr>
          <w:trHeight w:val="291"/>
        </w:trPr>
        <w:tc>
          <w:tcPr>
            <w:tcW w:w="79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2"/>
                <w:szCs w:val="22"/>
                <w:color w:val="auto"/>
              </w:rPr>
              <w:t>Master Trust investment income</w:t>
            </w:r>
          </w:p>
        </w:tc>
        <w:tc>
          <w:tcPr>
            <w:tcW w:w="34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110,842</w:t>
            </w:r>
          </w:p>
        </w:tc>
      </w:tr>
      <w:tr>
        <w:trPr>
          <w:trHeight w:val="291"/>
        </w:trPr>
        <w:tc>
          <w:tcPr>
            <w:tcW w:w="79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Net investment loss from Master Trust investment accounts per the Form 5500</w:t>
            </w:r>
          </w:p>
        </w:tc>
        <w:tc>
          <w:tcPr>
            <w:tcW w:w="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1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179,866</w:t>
            </w:r>
          </w:p>
        </w:tc>
      </w:tr>
      <w:tr>
        <w:trPr>
          <w:trHeight w:val="20"/>
        </w:trPr>
        <w:tc>
          <w:tcPr>
            <w:tcW w:w="79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32"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GAAP requires that the Plan reports interest in fully benefit-responsive contracts at contract value, while the Form 5500 is required to report these investments at fair value.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20 of 26</w:t>
      </w:r>
    </w:p>
    <w:p>
      <w:pPr>
        <w:sectPr>
          <w:pgSz w:w="11900" w:h="16838" w:orient="portrait"/>
          <w:cols w:equalWidth="0" w:num="1">
            <w:col w:w="11420"/>
          </w:cols>
          <w:pgMar w:left="240" w:top="117" w:right="2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25"/>
          <w:szCs w:val="25"/>
          <w:color w:val="auto"/>
        </w:rPr>
        <w:t>The Principal Select Savings Plan for Individual Field</w:t>
      </w: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EIN: 42-0127290 Plan Number: 004</w:t>
      </w:r>
    </w:p>
    <w:p>
      <w:pPr>
        <w:spacing w:after="0" w:line="293"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5"/>
          <w:szCs w:val="25"/>
          <w:color w:val="auto"/>
        </w:rPr>
        <w:t>Schedule H, Line 4i – Schedule of Assets</w:t>
      </w:r>
    </w:p>
    <w:p>
      <w:pPr>
        <w:spacing w:after="0" w:line="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(Held at End of Year)</w:t>
      </w: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December 31,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95"/>
        </w:trPr>
        <w:tc>
          <w:tcPr>
            <w:tcW w:w="2600" w:type="dxa"/>
            <w:vAlign w:val="bottom"/>
            <w:tcBorders>
              <w:bottom w:val="single" w:sz="8" w:color="auto"/>
            </w:tcBorders>
          </w:tcPr>
          <w:p>
            <w:pPr>
              <w:ind w:left="740"/>
              <w:spacing w:after="0"/>
              <w:rPr>
                <w:sz w:val="20"/>
                <w:szCs w:val="20"/>
                <w:color w:val="auto"/>
              </w:rPr>
            </w:pPr>
            <w:r>
              <w:rPr>
                <w:rFonts w:ascii="Times New Roman" w:cs="Times New Roman" w:eastAsia="Times New Roman" w:hAnsi="Times New Roman"/>
                <w:sz w:val="22"/>
                <w:szCs w:val="22"/>
                <w:b w:val="1"/>
                <w:bCs w:val="1"/>
                <w:color w:val="auto"/>
              </w:rPr>
              <w:t>Identity of Issue</w:t>
            </w:r>
          </w:p>
        </w:tc>
        <w:tc>
          <w:tcPr>
            <w:tcW w:w="6820" w:type="dxa"/>
            <w:vAlign w:val="bottom"/>
            <w:tcBorders>
              <w:bottom w:val="single" w:sz="8" w:color="auto"/>
            </w:tcBorders>
          </w:tcPr>
          <w:p>
            <w:pPr>
              <w:ind w:left="2400"/>
              <w:spacing w:after="0"/>
              <w:rPr>
                <w:sz w:val="20"/>
                <w:szCs w:val="20"/>
                <w:color w:val="auto"/>
              </w:rPr>
            </w:pPr>
            <w:r>
              <w:rPr>
                <w:rFonts w:ascii="Times New Roman" w:cs="Times New Roman" w:eastAsia="Times New Roman" w:hAnsi="Times New Roman"/>
                <w:sz w:val="22"/>
                <w:szCs w:val="22"/>
                <w:b w:val="1"/>
                <w:bCs w:val="1"/>
                <w:color w:val="auto"/>
              </w:rPr>
              <w:t>Description of Investment</w:t>
            </w:r>
          </w:p>
        </w:tc>
        <w:tc>
          <w:tcPr>
            <w:tcW w:w="2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22"/>
                <w:szCs w:val="22"/>
                <w:b w:val="1"/>
                <w:bCs w:val="1"/>
                <w:color w:val="auto"/>
              </w:rPr>
              <w:t>Current Value</w:t>
            </w:r>
          </w:p>
        </w:tc>
      </w:tr>
      <w:tr>
        <w:trPr>
          <w:trHeight w:val="540"/>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guaranteed interest accounts</w:t>
            </w:r>
          </w:p>
        </w:tc>
        <w:tc>
          <w:tcPr>
            <w:tcW w:w="2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2,150,729</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Small-Cap Value II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2,467,843</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U.S. Property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14,096,980</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Bond and Mortgage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5,178,058</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Diversified International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540"/>
              <w:spacing w:after="0"/>
              <w:rPr>
                <w:sz w:val="20"/>
                <w:szCs w:val="20"/>
                <w:color w:val="auto"/>
              </w:rPr>
            </w:pPr>
            <w:r>
              <w:rPr>
                <w:rFonts w:ascii="Times New Roman" w:cs="Times New Roman" w:eastAsia="Times New Roman" w:hAnsi="Times New Roman"/>
                <w:sz w:val="22"/>
                <w:szCs w:val="22"/>
                <w:color w:val="auto"/>
              </w:rPr>
              <w:t>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9,774,405</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Governmental and High Quality Bond</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540"/>
              <w:spacing w:after="0"/>
              <w:rPr>
                <w:sz w:val="20"/>
                <w:szCs w:val="20"/>
                <w:color w:val="auto"/>
              </w:rPr>
            </w:pPr>
            <w:r>
              <w:rPr>
                <w:rFonts w:ascii="Times New Roman" w:cs="Times New Roman" w:eastAsia="Times New Roman" w:hAnsi="Times New Roman"/>
                <w:sz w:val="22"/>
                <w:szCs w:val="22"/>
                <w:color w:val="auto"/>
              </w:rPr>
              <w:t>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1,774,338</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Mid-Cap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17,303,610</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w w:val="99"/>
              </w:rPr>
              <w:t>Deposits in insurance company Large-Cap Stock Index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16,817,563</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82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Inflation Protection</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820" w:type="dxa"/>
            <w:vAlign w:val="bottom"/>
          </w:tcPr>
          <w:p>
            <w:pPr>
              <w:ind w:left="440"/>
              <w:spacing w:after="0"/>
              <w:rPr>
                <w:sz w:val="20"/>
                <w:szCs w:val="20"/>
                <w:color w:val="auto"/>
              </w:rPr>
            </w:pPr>
            <w:r>
              <w:rPr>
                <w:rFonts w:ascii="Times New Roman" w:cs="Times New Roman" w:eastAsia="Times New Roman" w:hAnsi="Times New Roman"/>
                <w:sz w:val="22"/>
                <w:szCs w:val="22"/>
                <w:color w:val="auto"/>
              </w:rPr>
              <w:t>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1,178,649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21 of 26</w:t>
      </w:r>
    </w:p>
    <w:p>
      <w:pPr>
        <w:sectPr>
          <w:pgSz w:w="11900" w:h="16838" w:orient="portrait"/>
          <w:cols w:equalWidth="0" w:num="1">
            <w:col w:w="11420"/>
          </w:cols>
          <w:pgMar w:left="240" w:top="117"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95"/>
        </w:trPr>
        <w:tc>
          <w:tcPr>
            <w:tcW w:w="2600" w:type="dxa"/>
            <w:vAlign w:val="bottom"/>
            <w:tcBorders>
              <w:bottom w:val="single" w:sz="8" w:color="auto"/>
            </w:tcBorders>
          </w:tcPr>
          <w:p>
            <w:pPr>
              <w:ind w:left="740"/>
              <w:spacing w:after="0"/>
              <w:rPr>
                <w:sz w:val="20"/>
                <w:szCs w:val="20"/>
                <w:color w:val="auto"/>
              </w:rPr>
            </w:pPr>
            <w:r>
              <w:rPr>
                <w:rFonts w:ascii="Times New Roman" w:cs="Times New Roman" w:eastAsia="Times New Roman" w:hAnsi="Times New Roman"/>
                <w:sz w:val="22"/>
                <w:szCs w:val="22"/>
                <w:b w:val="1"/>
                <w:bCs w:val="1"/>
                <w:color w:val="auto"/>
              </w:rPr>
              <w:t>Identity of Issue</w:t>
            </w:r>
          </w:p>
        </w:tc>
        <w:tc>
          <w:tcPr>
            <w:tcW w:w="7080" w:type="dxa"/>
            <w:vAlign w:val="bottom"/>
            <w:tcBorders>
              <w:bottom w:val="single" w:sz="8" w:color="auto"/>
            </w:tcBorders>
          </w:tcPr>
          <w:p>
            <w:pPr>
              <w:ind w:left="2400"/>
              <w:spacing w:after="0"/>
              <w:rPr>
                <w:sz w:val="20"/>
                <w:szCs w:val="20"/>
                <w:color w:val="auto"/>
              </w:rPr>
            </w:pPr>
            <w:r>
              <w:rPr>
                <w:rFonts w:ascii="Times New Roman" w:cs="Times New Roman" w:eastAsia="Times New Roman" w:hAnsi="Times New Roman"/>
                <w:sz w:val="22"/>
                <w:szCs w:val="22"/>
                <w:b w:val="1"/>
                <w:bCs w:val="1"/>
                <w:color w:val="auto"/>
              </w:rPr>
              <w:t>Description of Investment</w:t>
            </w:r>
          </w:p>
        </w:tc>
        <w:tc>
          <w:tcPr>
            <w:tcW w:w="17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22"/>
                <w:szCs w:val="22"/>
                <w:b w:val="1"/>
                <w:bCs w:val="1"/>
                <w:color w:val="auto"/>
              </w:rPr>
              <w:t>Current Value</w:t>
            </w:r>
          </w:p>
        </w:tc>
      </w:tr>
      <w:tr>
        <w:trPr>
          <w:trHeight w:val="540"/>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w w:val="99"/>
              </w:rPr>
              <w:t>Deposits in insurance company Small-Cap Stock Index Separate Account  $</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9,007,642</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Large Company Growth Separate</w:t>
            </w: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540"/>
              <w:spacing w:after="0"/>
              <w:rPr>
                <w:sz w:val="20"/>
                <w:szCs w:val="20"/>
                <w:color w:val="auto"/>
              </w:rPr>
            </w:pPr>
            <w:r>
              <w:rPr>
                <w:rFonts w:ascii="Times New Roman" w:cs="Times New Roman" w:eastAsia="Times New Roman" w:hAnsi="Times New Roman"/>
                <w:sz w:val="22"/>
                <w:szCs w:val="22"/>
                <w:color w:val="auto"/>
              </w:rPr>
              <w:t>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5,929,259</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 in insurance company International Emerging Markets Separate</w:t>
            </w: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540"/>
              <w:spacing w:after="0"/>
              <w:rPr>
                <w:sz w:val="20"/>
                <w:szCs w:val="20"/>
                <w:color w:val="auto"/>
              </w:rPr>
            </w:pPr>
            <w:r>
              <w:rPr>
                <w:rFonts w:ascii="Times New Roman" w:cs="Times New Roman" w:eastAsia="Times New Roman" w:hAnsi="Times New Roman"/>
                <w:sz w:val="22"/>
                <w:szCs w:val="22"/>
                <w:color w:val="auto"/>
              </w:rPr>
              <w:t>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8,202,894</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 in insurance company Principal Financial Group, Inc. Stock</w:t>
            </w: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540"/>
              <w:spacing w:after="0"/>
              <w:rPr>
                <w:sz w:val="20"/>
                <w:szCs w:val="20"/>
                <w:color w:val="auto"/>
              </w:rPr>
            </w:pPr>
            <w:r>
              <w:rPr>
                <w:rFonts w:ascii="Times New Roman" w:cs="Times New Roman" w:eastAsia="Times New Roman" w:hAnsi="Times New Roman"/>
                <w:sz w:val="22"/>
                <w:szCs w:val="22"/>
                <w:color w:val="auto"/>
              </w:rPr>
              <w:t>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2,018,326</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Equity Income 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6,922,789</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Lifetime2010 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2,260,214</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Lifetime2020 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6,701,339</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Lifetime2030 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8,365,969</w:t>
            </w:r>
          </w:p>
        </w:tc>
      </w:tr>
      <w:tr>
        <w:trPr>
          <w:trHeight w:val="555"/>
        </w:trPr>
        <w:tc>
          <w:tcPr>
            <w:tcW w:w="26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708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83"/>
        </w:trPr>
        <w:tc>
          <w:tcPr>
            <w:tcW w:w="260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7080" w:type="dxa"/>
            <w:vAlign w:val="bottom"/>
          </w:tcPr>
          <w:p>
            <w:pPr>
              <w:ind w:left="380"/>
              <w:spacing w:after="0"/>
              <w:rPr>
                <w:sz w:val="20"/>
                <w:szCs w:val="20"/>
                <w:color w:val="auto"/>
              </w:rPr>
            </w:pPr>
            <w:r>
              <w:rPr>
                <w:rFonts w:ascii="Times New Roman" w:cs="Times New Roman" w:eastAsia="Times New Roman" w:hAnsi="Times New Roman"/>
                <w:sz w:val="22"/>
                <w:szCs w:val="22"/>
                <w:color w:val="auto"/>
              </w:rPr>
              <w:t>Deposits in insurance company Lifetime2040 Separate Account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4,133,851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22 of 26</w:t>
      </w:r>
    </w:p>
    <w:p>
      <w:pPr>
        <w:sectPr>
          <w:pgSz w:w="11900" w:h="16838" w:orient="portrait"/>
          <w:cols w:equalWidth="0" w:num="1">
            <w:col w:w="11420"/>
          </w:cols>
          <w:pgMar w:left="240" w:top="959"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95"/>
        </w:trPr>
        <w:tc>
          <w:tcPr>
            <w:tcW w:w="2960" w:type="dxa"/>
            <w:vAlign w:val="bottom"/>
            <w:tcBorders>
              <w:bottom w:val="single" w:sz="8" w:color="auto"/>
            </w:tcBorders>
          </w:tcPr>
          <w:p>
            <w:pPr>
              <w:ind w:left="780"/>
              <w:spacing w:after="0"/>
              <w:rPr>
                <w:sz w:val="20"/>
                <w:szCs w:val="20"/>
                <w:color w:val="auto"/>
              </w:rPr>
            </w:pPr>
            <w:r>
              <w:rPr>
                <w:rFonts w:ascii="Times New Roman" w:cs="Times New Roman" w:eastAsia="Times New Roman" w:hAnsi="Times New Roman"/>
                <w:sz w:val="22"/>
                <w:szCs w:val="22"/>
                <w:b w:val="1"/>
                <w:bCs w:val="1"/>
                <w:color w:val="auto"/>
              </w:rPr>
              <w:t>Identity of Issue</w:t>
            </w:r>
          </w:p>
        </w:tc>
        <w:tc>
          <w:tcPr>
            <w:tcW w:w="6460" w:type="dxa"/>
            <w:vAlign w:val="bottom"/>
            <w:tcBorders>
              <w:bottom w:val="single" w:sz="8" w:color="auto"/>
            </w:tcBorders>
          </w:tcPr>
          <w:p>
            <w:pPr>
              <w:ind w:left="2080"/>
              <w:spacing w:after="0"/>
              <w:rPr>
                <w:sz w:val="20"/>
                <w:szCs w:val="20"/>
                <w:color w:val="auto"/>
              </w:rPr>
            </w:pPr>
            <w:r>
              <w:rPr>
                <w:rFonts w:ascii="Times New Roman" w:cs="Times New Roman" w:eastAsia="Times New Roman" w:hAnsi="Times New Roman"/>
                <w:sz w:val="22"/>
                <w:szCs w:val="22"/>
                <w:b w:val="1"/>
                <w:bCs w:val="1"/>
                <w:color w:val="auto"/>
              </w:rPr>
              <w:t>Description of Investment</w:t>
            </w:r>
          </w:p>
        </w:tc>
        <w:tc>
          <w:tcPr>
            <w:tcW w:w="2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22"/>
                <w:szCs w:val="22"/>
                <w:b w:val="1"/>
                <w:bCs w:val="1"/>
                <w:color w:val="auto"/>
              </w:rPr>
              <w:t>Current Value</w:t>
            </w:r>
          </w:p>
        </w:tc>
        <w:tc>
          <w:tcPr>
            <w:tcW w:w="0" w:type="dxa"/>
            <w:vAlign w:val="bottom"/>
          </w:tcPr>
          <w:p>
            <w:pPr>
              <w:spacing w:after="0"/>
              <w:rPr>
                <w:sz w:val="1"/>
                <w:szCs w:val="1"/>
                <w:color w:val="auto"/>
              </w:rPr>
            </w:pPr>
          </w:p>
        </w:tc>
      </w:tr>
      <w:tr>
        <w:trPr>
          <w:trHeight w:val="540"/>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Lifetime2050 Separate Account</w:t>
            </w:r>
          </w:p>
        </w:tc>
        <w:tc>
          <w:tcPr>
            <w:tcW w:w="2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3,527,349</w:t>
            </w:r>
          </w:p>
        </w:tc>
        <w:tc>
          <w:tcPr>
            <w:tcW w:w="0" w:type="dxa"/>
            <w:vAlign w:val="bottom"/>
          </w:tcPr>
          <w:p>
            <w:pPr>
              <w:spacing w:after="0"/>
              <w:rPr>
                <w:sz w:val="1"/>
                <w:szCs w:val="1"/>
                <w:color w:val="auto"/>
              </w:rPr>
            </w:pPr>
          </w:p>
        </w:tc>
      </w:tr>
      <w:tr>
        <w:trPr>
          <w:trHeight w:val="501"/>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Lifetime2060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359,865</w:t>
            </w:r>
          </w:p>
        </w:tc>
        <w:tc>
          <w:tcPr>
            <w:tcW w:w="0" w:type="dxa"/>
            <w:vAlign w:val="bottom"/>
          </w:tcPr>
          <w:p>
            <w:pPr>
              <w:spacing w:after="0"/>
              <w:rPr>
                <w:sz w:val="1"/>
                <w:szCs w:val="1"/>
                <w:color w:val="auto"/>
              </w:rPr>
            </w:pPr>
          </w:p>
        </w:tc>
      </w:tr>
      <w:tr>
        <w:trPr>
          <w:trHeight w:val="555"/>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Large Company Value Stock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2,887,804</w:t>
            </w:r>
          </w:p>
        </w:tc>
        <w:tc>
          <w:tcPr>
            <w:tcW w:w="0" w:type="dxa"/>
            <w:vAlign w:val="bottom"/>
          </w:tcPr>
          <w:p>
            <w:pPr>
              <w:spacing w:after="0"/>
              <w:rPr>
                <w:sz w:val="1"/>
                <w:szCs w:val="1"/>
                <w:color w:val="auto"/>
              </w:rPr>
            </w:pPr>
          </w:p>
        </w:tc>
      </w:tr>
      <w:tr>
        <w:trPr>
          <w:trHeight w:val="555"/>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Partner Large-Cap Growth I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3,959,918</w:t>
            </w:r>
          </w:p>
        </w:tc>
        <w:tc>
          <w:tcPr>
            <w:tcW w:w="0" w:type="dxa"/>
            <w:vAlign w:val="bottom"/>
          </w:tcPr>
          <w:p>
            <w:pPr>
              <w:spacing w:after="0"/>
              <w:rPr>
                <w:sz w:val="1"/>
                <w:szCs w:val="1"/>
                <w:color w:val="auto"/>
              </w:rPr>
            </w:pPr>
          </w:p>
        </w:tc>
      </w:tr>
      <w:tr>
        <w:trPr>
          <w:trHeight w:val="555"/>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Lifetime Strategic Income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2,400,666</w:t>
            </w:r>
          </w:p>
        </w:tc>
        <w:tc>
          <w:tcPr>
            <w:tcW w:w="0" w:type="dxa"/>
            <w:vAlign w:val="bottom"/>
          </w:tcPr>
          <w:p>
            <w:pPr>
              <w:spacing w:after="0"/>
              <w:rPr>
                <w:sz w:val="1"/>
                <w:szCs w:val="1"/>
                <w:color w:val="auto"/>
              </w:rPr>
            </w:pPr>
          </w:p>
        </w:tc>
      </w:tr>
      <w:tr>
        <w:trPr>
          <w:trHeight w:val="555"/>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Life Insurance</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Deposits in insurance company Partner Small-Cap Growth I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6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Company*</w:t>
            </w:r>
          </w:p>
        </w:tc>
        <w:tc>
          <w:tcPr>
            <w:tcW w:w="646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4,844,195</w:t>
            </w:r>
          </w:p>
        </w:tc>
        <w:tc>
          <w:tcPr>
            <w:tcW w:w="0" w:type="dxa"/>
            <w:vAlign w:val="bottom"/>
          </w:tcPr>
          <w:p>
            <w:pPr>
              <w:spacing w:after="0"/>
              <w:rPr>
                <w:sz w:val="1"/>
                <w:szCs w:val="1"/>
                <w:color w:val="auto"/>
              </w:rPr>
            </w:pPr>
          </w:p>
        </w:tc>
      </w:tr>
      <w:tr>
        <w:trPr>
          <w:trHeight w:val="594"/>
        </w:trPr>
        <w:tc>
          <w:tcPr>
            <w:tcW w:w="2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Principal Financial Group, Inc.*</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371,182 shares of Principal Financial Group, Inc. ESOP</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19,279,179</w:t>
            </w:r>
          </w:p>
        </w:tc>
        <w:tc>
          <w:tcPr>
            <w:tcW w:w="0" w:type="dxa"/>
            <w:vAlign w:val="bottom"/>
          </w:tcPr>
          <w:p>
            <w:pPr>
              <w:spacing w:after="0"/>
              <w:rPr>
                <w:sz w:val="1"/>
                <w:szCs w:val="1"/>
                <w:color w:val="auto"/>
              </w:rPr>
            </w:pPr>
          </w:p>
        </w:tc>
      </w:tr>
      <w:tr>
        <w:trPr>
          <w:trHeight w:val="555"/>
        </w:trPr>
        <w:tc>
          <w:tcPr>
            <w:tcW w:w="296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rPr>
              <w:t>Loans to participants*</w:t>
            </w:r>
          </w:p>
        </w:tc>
        <w:tc>
          <w:tcPr>
            <w:tcW w:w="64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Notes receivable from participants with varying maturity dates and</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960" w:type="dxa"/>
            <w:vAlign w:val="bottom"/>
            <w:vMerge w:val="continue"/>
          </w:tcPr>
          <w:p>
            <w:pPr>
              <w:spacing w:after="0"/>
              <w:rPr>
                <w:sz w:val="13"/>
                <w:szCs w:val="13"/>
                <w:color w:val="auto"/>
              </w:rPr>
            </w:pPr>
          </w:p>
        </w:tc>
        <w:tc>
          <w:tcPr>
            <w:tcW w:w="6460" w:type="dxa"/>
            <w:vAlign w:val="bottom"/>
            <w:vMerge w:val="restart"/>
          </w:tcPr>
          <w:p>
            <w:pPr>
              <w:ind w:left="280"/>
              <w:spacing w:after="0"/>
              <w:rPr>
                <w:sz w:val="20"/>
                <w:szCs w:val="20"/>
                <w:color w:val="auto"/>
              </w:rPr>
            </w:pPr>
            <w:r>
              <w:rPr>
                <w:rFonts w:ascii="Times New Roman" w:cs="Times New Roman" w:eastAsia="Times New Roman" w:hAnsi="Times New Roman"/>
                <w:sz w:val="22"/>
                <w:szCs w:val="22"/>
                <w:color w:val="auto"/>
              </w:rPr>
              <w:t>interest rates ranging from 5.25% to 10.25%</w:t>
            </w:r>
          </w:p>
        </w:tc>
        <w:tc>
          <w:tcPr>
            <w:tcW w:w="260" w:type="dxa"/>
            <w:vAlign w:val="bottom"/>
          </w:tcPr>
          <w:p>
            <w:pPr>
              <w:spacing w:after="0"/>
              <w:rPr>
                <w:sz w:val="13"/>
                <w:szCs w:val="13"/>
                <w:color w:val="auto"/>
              </w:rPr>
            </w:pPr>
          </w:p>
        </w:tc>
        <w:tc>
          <w:tcPr>
            <w:tcW w:w="17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3,064,032</w:t>
            </w:r>
          </w:p>
        </w:tc>
        <w:tc>
          <w:tcPr>
            <w:tcW w:w="0" w:type="dxa"/>
            <w:vAlign w:val="bottom"/>
          </w:tcPr>
          <w:p>
            <w:pPr>
              <w:spacing w:after="0"/>
              <w:rPr>
                <w:sz w:val="1"/>
                <w:szCs w:val="1"/>
                <w:color w:val="auto"/>
              </w:rPr>
            </w:pPr>
          </w:p>
        </w:tc>
      </w:tr>
      <w:tr>
        <w:trPr>
          <w:trHeight w:val="130"/>
        </w:trPr>
        <w:tc>
          <w:tcPr>
            <w:tcW w:w="2960" w:type="dxa"/>
            <w:vAlign w:val="bottom"/>
          </w:tcPr>
          <w:p>
            <w:pPr>
              <w:spacing w:after="0"/>
              <w:rPr>
                <w:sz w:val="11"/>
                <w:szCs w:val="11"/>
                <w:color w:val="auto"/>
              </w:rPr>
            </w:pPr>
          </w:p>
        </w:tc>
        <w:tc>
          <w:tcPr>
            <w:tcW w:w="6460" w:type="dxa"/>
            <w:vAlign w:val="bottom"/>
            <w:vMerge w:val="continue"/>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74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1"/>
        </w:trPr>
        <w:tc>
          <w:tcPr>
            <w:tcW w:w="2960" w:type="dxa"/>
            <w:vAlign w:val="bottom"/>
          </w:tcPr>
          <w:p>
            <w:pPr>
              <w:spacing w:after="0"/>
              <w:rPr>
                <w:sz w:val="24"/>
                <w:szCs w:val="24"/>
                <w:color w:val="auto"/>
              </w:rPr>
            </w:pPr>
          </w:p>
        </w:tc>
        <w:tc>
          <w:tcPr>
            <w:tcW w:w="6460" w:type="dxa"/>
            <w:vAlign w:val="bottom"/>
          </w:tcPr>
          <w:p>
            <w:pPr>
              <w:spacing w:after="0"/>
              <w:rPr>
                <w:sz w:val="24"/>
                <w:szCs w:val="24"/>
                <w:color w:val="auto"/>
              </w:rPr>
            </w:pPr>
          </w:p>
        </w:tc>
        <w:tc>
          <w:tcPr>
            <w:tcW w:w="26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22"/>
                <w:szCs w:val="22"/>
                <w:color w:val="auto"/>
              </w:rPr>
              <w: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164,607,466</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64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2"/>
          <w:szCs w:val="22"/>
          <w:color w:val="auto"/>
        </w:rPr>
        <w:t>*Indicates party-in-interest to the Plan.</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23 of 26</w:t>
      </w:r>
    </w:p>
    <w:p>
      <w:pPr>
        <w:sectPr>
          <w:pgSz w:w="11900" w:h="16838" w:orient="portrait"/>
          <w:cols w:equalWidth="0" w:num="1">
            <w:col w:w="11420"/>
          </w:cols>
          <w:pgMar w:left="240" w:top="959" w:right="2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25"/>
          <w:szCs w:val="25"/>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line="311"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administrator of The Principal Select Savings Plan for Individual Field has duly caused this annual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20"/>
          <w:szCs w:val="20"/>
          <w:color w:val="auto"/>
        </w:rPr>
        <w:t>THE PRINCIPAL SELECT SAVINGS PLAN FOR</w:t>
      </w:r>
    </w:p>
    <w:p>
      <w:pPr>
        <w:spacing w:after="0" w:line="200" w:lineRule="exact"/>
        <w:rPr>
          <w:sz w:val="20"/>
          <w:szCs w:val="20"/>
          <w:color w:val="auto"/>
        </w:rPr>
      </w:pPr>
    </w:p>
    <w:p>
      <w:pPr>
        <w:spacing w:after="0" w:line="353"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20"/>
          <w:szCs w:val="20"/>
          <w:color w:val="auto"/>
        </w:rPr>
        <w:t>INDIVIDUAL FIELD</w:t>
      </w:r>
    </w:p>
    <w:p>
      <w:pPr>
        <w:spacing w:after="0" w:line="200" w:lineRule="exact"/>
        <w:rPr>
          <w:sz w:val="20"/>
          <w:szCs w:val="20"/>
          <w:color w:val="auto"/>
        </w:rPr>
      </w:pPr>
    </w:p>
    <w:p>
      <w:pPr>
        <w:spacing w:after="0" w:line="353"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20"/>
          <w:szCs w:val="20"/>
          <w:color w:val="auto"/>
        </w:rPr>
        <w:t>by Benefit Plans Administration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3440" w:type="dxa"/>
            <w:vAlign w:val="bottom"/>
          </w:tcPr>
          <w:p>
            <w:pPr>
              <w:spacing w:after="0"/>
              <w:rPr>
                <w:sz w:val="20"/>
                <w:szCs w:val="20"/>
                <w:color w:val="auto"/>
              </w:rPr>
            </w:pPr>
            <w:r>
              <w:rPr>
                <w:rFonts w:ascii="Times New Roman" w:cs="Times New Roman" w:eastAsia="Times New Roman" w:hAnsi="Times New Roman"/>
                <w:sz w:val="20"/>
                <w:szCs w:val="20"/>
                <w:color w:val="auto"/>
              </w:rPr>
              <w:t>Date: June 23, 2015</w:t>
            </w:r>
          </w:p>
        </w:tc>
        <w:tc>
          <w:tcPr>
            <w:tcW w:w="4220" w:type="dxa"/>
            <w:vAlign w:val="bottom"/>
            <w:gridSpan w:val="2"/>
          </w:tcPr>
          <w:p>
            <w:pPr>
              <w:ind w:left="1860"/>
              <w:spacing w:after="0"/>
              <w:rPr>
                <w:sz w:val="20"/>
                <w:szCs w:val="20"/>
                <w:color w:val="auto"/>
              </w:rPr>
            </w:pPr>
            <w:r>
              <w:rPr>
                <w:rFonts w:ascii="Times New Roman" w:cs="Times New Roman" w:eastAsia="Times New Roman" w:hAnsi="Times New Roman"/>
                <w:sz w:val="20"/>
                <w:szCs w:val="20"/>
                <w:color w:val="auto"/>
              </w:rPr>
              <w:t>By /s/ Tammy DeHaai</w:t>
            </w:r>
          </w:p>
        </w:tc>
      </w:tr>
      <w:tr>
        <w:trPr>
          <w:trHeight w:val="310"/>
        </w:trPr>
        <w:tc>
          <w:tcPr>
            <w:tcW w:w="34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rPr>
              <w:t>Tammy DeHaai</w:t>
            </w:r>
          </w:p>
        </w:tc>
      </w:tr>
      <w:tr>
        <w:trPr>
          <w:trHeight w:val="284"/>
        </w:trPr>
        <w:tc>
          <w:tcPr>
            <w:tcW w:w="34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Committee Member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24 of 26</w:t>
      </w:r>
    </w:p>
    <w:p>
      <w:pPr>
        <w:sectPr>
          <w:pgSz w:w="11900" w:h="16838" w:orient="portrait"/>
          <w:cols w:equalWidth="0" w:num="1">
            <w:col w:w="11420"/>
          </w:cols>
          <w:pgMar w:left="240" w:top="832" w:right="23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62"/>
        </w:trPr>
        <w:tc>
          <w:tcPr>
            <w:tcW w:w="4140" w:type="dxa"/>
            <w:vAlign w:val="bottom"/>
          </w:tcPr>
          <w:p>
            <w:pPr>
              <w:spacing w:after="0"/>
              <w:rPr>
                <w:sz w:val="22"/>
                <w:szCs w:val="22"/>
                <w:color w:val="auto"/>
              </w:rPr>
            </w:pPr>
          </w:p>
        </w:tc>
        <w:tc>
          <w:tcPr>
            <w:tcW w:w="6940" w:type="dxa"/>
            <w:vAlign w:val="bottom"/>
            <w:gridSpan w:val="2"/>
          </w:tcPr>
          <w:p>
            <w:pPr>
              <w:ind w:left="1000"/>
              <w:spacing w:after="0"/>
              <w:rPr>
                <w:sz w:val="20"/>
                <w:szCs w:val="20"/>
                <w:color w:val="auto"/>
              </w:rPr>
            </w:pPr>
            <w:r>
              <w:rPr>
                <w:rFonts w:ascii="Times New Roman" w:cs="Times New Roman" w:eastAsia="Times New Roman" w:hAnsi="Times New Roman"/>
                <w:sz w:val="20"/>
                <w:szCs w:val="20"/>
                <w:b w:val="1"/>
                <w:bCs w:val="1"/>
                <w:color w:val="auto"/>
              </w:rPr>
              <w:t>Exhibit Index</w:t>
            </w:r>
          </w:p>
        </w:tc>
      </w:tr>
      <w:tr>
        <w:trPr>
          <w:trHeight w:val="891"/>
        </w:trPr>
        <w:tc>
          <w:tcPr>
            <w:tcW w:w="4140" w:type="dxa"/>
            <w:vAlign w:val="bottom"/>
          </w:tcPr>
          <w:p>
            <w:pPr>
              <w:spacing w:after="0"/>
              <w:rPr>
                <w:sz w:val="20"/>
                <w:szCs w:val="20"/>
                <w:color w:val="auto"/>
              </w:rPr>
            </w:pPr>
            <w:r>
              <w:rPr>
                <w:rFonts w:ascii="Times New Roman" w:cs="Times New Roman" w:eastAsia="Times New Roman" w:hAnsi="Times New Roman"/>
                <w:sz w:val="20"/>
                <w:szCs w:val="20"/>
                <w:color w:val="auto"/>
              </w:rPr>
              <w:t>The following exhibit is filed herewith:</w:t>
            </w:r>
          </w:p>
        </w:tc>
        <w:tc>
          <w:tcPr>
            <w:tcW w:w="6500" w:type="dxa"/>
            <w:vAlign w:val="bottom"/>
          </w:tcPr>
          <w:p>
            <w:pPr>
              <w:spacing w:after="0"/>
              <w:rPr>
                <w:sz w:val="24"/>
                <w:szCs w:val="24"/>
                <w:color w:val="auto"/>
              </w:rPr>
            </w:pPr>
          </w:p>
        </w:tc>
        <w:tc>
          <w:tcPr>
            <w:tcW w:w="440" w:type="dxa"/>
            <w:vAlign w:val="bottom"/>
          </w:tcPr>
          <w:p>
            <w:pPr>
              <w:spacing w:after="0"/>
              <w:rPr>
                <w:sz w:val="24"/>
                <w:szCs w:val="24"/>
                <w:color w:val="auto"/>
              </w:rPr>
            </w:pPr>
          </w:p>
        </w:tc>
      </w:tr>
      <w:tr>
        <w:trPr>
          <w:trHeight w:val="548"/>
        </w:trPr>
        <w:tc>
          <w:tcPr>
            <w:tcW w:w="4140" w:type="dxa"/>
            <w:vAlign w:val="bottom"/>
          </w:tcPr>
          <w:p>
            <w:pPr>
              <w:ind w:left="40"/>
              <w:spacing w:after="0"/>
              <w:rPr>
                <w:sz w:val="20"/>
                <w:szCs w:val="20"/>
                <w:color w:val="auto"/>
              </w:rPr>
            </w:pPr>
            <w:r>
              <w:rPr>
                <w:rFonts w:ascii="Times New Roman" w:cs="Times New Roman" w:eastAsia="Times New Roman" w:hAnsi="Times New Roman"/>
                <w:sz w:val="22"/>
                <w:szCs w:val="22"/>
                <w:b w:val="1"/>
                <w:bCs w:val="1"/>
                <w:color w:val="auto"/>
              </w:rPr>
              <w:t>EXHIBIT</w:t>
            </w:r>
          </w:p>
        </w:tc>
        <w:tc>
          <w:tcPr>
            <w:tcW w:w="6500" w:type="dxa"/>
            <w:vAlign w:val="bottom"/>
          </w:tcPr>
          <w:p>
            <w:pPr>
              <w:spacing w:after="0"/>
              <w:rPr>
                <w:sz w:val="24"/>
                <w:szCs w:val="24"/>
                <w:color w:val="auto"/>
              </w:rPr>
            </w:pPr>
          </w:p>
        </w:tc>
        <w:tc>
          <w:tcPr>
            <w:tcW w:w="4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Page</w:t>
            </w:r>
          </w:p>
        </w:tc>
      </w:tr>
      <w:tr>
        <w:trPr>
          <w:trHeight w:val="330"/>
        </w:trPr>
        <w:tc>
          <w:tcPr>
            <w:tcW w:w="414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23 - Consent of Ernst &amp; Young LLP</w:t>
            </w:r>
          </w:p>
        </w:tc>
        <w:tc>
          <w:tcPr>
            <w:tcW w:w="6940" w:type="dxa"/>
            <w:vAlign w:val="bottom"/>
            <w:gridSpan w:val="2"/>
          </w:tcPr>
          <w:p>
            <w:pPr>
              <w:jc w:val="right"/>
              <w:ind w:right="12"/>
              <w:spacing w:after="0"/>
              <w:rPr>
                <w:sz w:val="20"/>
                <w:szCs w:val="20"/>
                <w:color w:val="auto"/>
              </w:rPr>
            </w:pPr>
            <w:r>
              <w:rPr>
                <w:rFonts w:ascii="Times New Roman" w:cs="Times New Roman" w:eastAsia="Times New Roman" w:hAnsi="Times New Roman"/>
                <w:sz w:val="22"/>
                <w:szCs w:val="22"/>
                <w:color w:val="auto"/>
              </w:rPr>
              <w:t>26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25 of 26</w:t>
      </w:r>
    </w:p>
    <w:p>
      <w:pPr>
        <w:sectPr>
          <w:pgSz w:w="11900" w:h="16838" w:orient="portrait"/>
          <w:cols w:equalWidth="0" w:num="1">
            <w:col w:w="11420"/>
          </w:cols>
          <w:pgMar w:left="240" w:top="828" w:right="239" w:bottom="1440" w:gutter="0" w:footer="0" w:header="0"/>
        </w:sectPr>
      </w:pPr>
    </w:p>
    <w:bookmarkStart w:id="25" w:name="page26"/>
    <w:bookmarkEnd w:id="25"/>
    <w:p>
      <w:pPr>
        <w:jc w:val="right"/>
        <w:spacing w:after="0"/>
        <w:rPr>
          <w:sz w:val="20"/>
          <w:szCs w:val="20"/>
          <w:color w:val="auto"/>
        </w:rPr>
      </w:pPr>
      <w:r>
        <w:rPr>
          <w:rFonts w:ascii="Times New Roman" w:cs="Times New Roman" w:eastAsia="Times New Roman" w:hAnsi="Times New Roman"/>
          <w:sz w:val="20"/>
          <w:szCs w:val="20"/>
          <w:color w:val="auto"/>
        </w:rPr>
        <w:t>Exhibit 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color w:val="auto"/>
        </w:rPr>
        <w:t>Consent of Independent Registered Public Accounting Firm</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91" w:lineRule="auto"/>
        <w:rPr>
          <w:sz w:val="20"/>
          <w:szCs w:val="20"/>
          <w:color w:val="auto"/>
        </w:rPr>
      </w:pPr>
      <w:r>
        <w:rPr>
          <w:rFonts w:ascii="Times New Roman" w:cs="Times New Roman" w:eastAsia="Times New Roman" w:hAnsi="Times New Roman"/>
          <w:sz w:val="20"/>
          <w:szCs w:val="20"/>
          <w:color w:val="auto"/>
        </w:rPr>
        <w:t>We consent to the incorporation by reference in the Registration Statement (Form S-8, No. 333-178510) pertaining to The Principal Select Savings Plan for Individual Field of Principal Financial Group, Inc. of our report dated June 23, 2015, with respect to the financial statements and supplemental schedule of The Principal Select Savings Plan for Individual Field included in this Annual Report (Form 11-K) for the year ended December 31,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20"/>
          <w:szCs w:val="20"/>
          <w:color w:val="auto"/>
        </w:rPr>
        <w:t>/s/ Ernst &amp; Young, LLP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Des Moines, Iowa</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23,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26 of 26</w:t>
      </w:r>
    </w:p>
    <w:sectPr>
      <w:pgSz w:w="11900" w:h="16838" w:orient="portrait"/>
      <w:cols w:equalWidth="0" w:num="1">
        <w:col w:w="11420"/>
      </w:cols>
      <w:pgMar w:left="240" w:top="60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Roman"/>
      <w:start w:val="10"/>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2"/>
    </w:lvl>
  </w:abstractNum>
  <w:abstractNum w:abstractNumId="5">
    <w:nsid w:val="5BD062C2"/>
    <w:multiLevelType w:val="hybridMultilevel"/>
    <w:lvl w:ilvl="0">
      <w:lvlJc w:val="left"/>
      <w:lvlText w:val="%1."/>
      <w:numFmt w:val="decimal"/>
      <w:start w:val="2"/>
    </w:lvl>
  </w:abstractNum>
  <w:abstractNum w:abstractNumId="6">
    <w:nsid w:val="12200854"/>
    <w:multiLevelType w:val="hybridMultilevel"/>
    <w:lvl w:ilvl="0">
      <w:lvlJc w:val="left"/>
      <w:lvlText w:val="%1."/>
      <w:numFmt w:val="decimal"/>
      <w:start w:val="5"/>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1."/>
      <w:numFmt w:val="decimal"/>
      <w:start w:val="5"/>
    </w:lvl>
  </w:abstractNum>
  <w:abstractNum w:abstractNumId="9">
    <w:nsid w:val="1F16E9E8"/>
    <w:multiLevelType w:val="hybridMultilevel"/>
    <w:lvl w:ilvl="0">
      <w:lvlJc w:val="left"/>
      <w:lvlText w:val="%1."/>
      <w:numFmt w:val="decimal"/>
      <w:start w:val="5"/>
    </w:lvl>
  </w:abstractNum>
  <w:abstractNum w:abstractNumId="10">
    <w:nsid w:val="1190CDE7"/>
    <w:multiLevelType w:val="hybridMultilevel"/>
    <w:lvl w:ilvl="0">
      <w:lvlJc w:val="left"/>
      <w:lvlText w:val="%1"/>
      <w:numFmt w:val="decimal"/>
      <w:start w:val="1"/>
    </w:lvl>
    <w:lvl w:ilvl="1">
      <w:lvlJc w:val="left"/>
      <w:lvlText w:val="(%2)"/>
      <w:numFmt w:val="decimal"/>
      <w:start w:val="1"/>
    </w:lvl>
  </w:abstractNum>
  <w:abstractNum w:abstractNumId="11">
    <w:nsid w:val="66EF438D"/>
    <w:multiLevelType w:val="hybridMultilevel"/>
    <w:lvl w:ilvl="0">
      <w:lvlJc w:val="left"/>
      <w:lvlText w:val="%1."/>
      <w:numFmt w:val="decimal"/>
      <w:start w:val="6"/>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2020-01-23T20:46:46Z</dcterms:created>
  <dcterms:modified xsi:type="dcterms:W3CDTF">2020-01-23T20:46:46Z</dcterms:modified>
</cp:coreProperties>
</file>