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Schedule 13G</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(Amendment No.: 2 )*</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Principal Financial Group Inc</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CUSIP Number: 74251V102</w:t>
      </w: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Date of Event Which Requires Filing of this Statement: </w:t>
      </w:r>
      <w:r>
        <w:rPr>
          <w:rFonts w:ascii="Arial" w:cs="Arial" w:eastAsia="Arial" w:hAnsi="Arial"/>
          <w:sz w:val="18"/>
          <w:szCs w:val="18"/>
          <w:b w:val="1"/>
          <w:bCs w:val="1"/>
          <w:color w:val="auto"/>
        </w:rPr>
        <w:t>December 31, 2014</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100" w:right="9900" w:hanging="2"/>
        <w:spacing w:after="0" w:line="302" w:lineRule="auto"/>
        <w:tabs>
          <w:tab w:leader="none" w:pos="395"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5" w:lineRule="exact"/>
        <w:rPr>
          <w:sz w:val="24"/>
          <w:szCs w:val="24"/>
          <w:color w:val="auto"/>
        </w:rPr>
      </w:pPr>
    </w:p>
    <w:p>
      <w:pPr>
        <w:ind w:right="40" w:firstLine="9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ind w:firstLine="87"/>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0"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00"/>
          </w:cols>
          <w:pgMar w:left="240" w:top="476" w:right="359" w:bottom="1440" w:gutter="0" w:footer="0" w:header="0"/>
        </w:sectPr>
      </w:pPr>
    </w:p>
    <w:bookmarkStart w:id="1" w:name="page2"/>
    <w:bookmarkEnd w:id="1"/>
    <w:p>
      <w:pPr>
        <w:ind w:left="5560"/>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CUSIP No.: 74251V102</w:t>
      </w:r>
    </w:p>
    <w:p>
      <w:pPr>
        <w:spacing w:after="0" w:line="200" w:lineRule="exact"/>
        <w:rPr>
          <w:sz w:val="20"/>
          <w:szCs w:val="20"/>
          <w:color w:val="auto"/>
        </w:rPr>
      </w:pPr>
    </w:p>
    <w:p>
      <w:pPr>
        <w:spacing w:after="0" w:line="227"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3"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40" w:type="dxa"/>
            <w:vAlign w:val="bottom"/>
            <w:gridSpan w:val="2"/>
          </w:tcPr>
          <w:p>
            <w:pPr>
              <w:ind w:left="100"/>
              <w:spacing w:after="0"/>
              <w:rPr>
                <w:sz w:val="20"/>
                <w:szCs w:val="20"/>
                <w:color w:val="auto"/>
              </w:rPr>
            </w:pPr>
            <w:r>
              <w:rPr>
                <w:rFonts w:ascii="Arial" w:cs="Arial" w:eastAsia="Arial" w:hAnsi="Arial"/>
                <w:sz w:val="18"/>
                <w:szCs w:val="18"/>
                <w:color w:val="auto"/>
              </w:rPr>
              <w:t>The Vanguard Group - 23-1945930</w:t>
            </w: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r>
      <w:tr>
        <w:trPr>
          <w:trHeight w:val="432"/>
        </w:trPr>
        <w:tc>
          <w:tcPr>
            <w:tcW w:w="18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5360" w:type="dxa"/>
            <w:vAlign w:val="bottom"/>
          </w:tcPr>
          <w:p>
            <w:pPr>
              <w:ind w:left="60"/>
              <w:spacing w:after="0"/>
              <w:rPr>
                <w:sz w:val="20"/>
                <w:szCs w:val="20"/>
                <w:color w:val="auto"/>
              </w:rPr>
            </w:pPr>
            <w:r>
              <w:rPr>
                <w:rFonts w:ascii="Arial" w:cs="Arial" w:eastAsia="Arial" w:hAnsi="Arial"/>
                <w:sz w:val="18"/>
                <w:szCs w:val="18"/>
                <w:color w:val="auto"/>
                <w:w w:val="99"/>
              </w:rPr>
              <w:t>CHECK THE APPROPRIATE [LINE] IF A MEMBER OF A GROUP</w:t>
            </w: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392"/>
        </w:trPr>
        <w:tc>
          <w:tcPr>
            <w:tcW w:w="180" w:type="dxa"/>
            <w:vAlign w:val="bottom"/>
          </w:tcPr>
          <w:p>
            <w:pPr>
              <w:spacing w:after="0"/>
              <w:rPr>
                <w:sz w:val="24"/>
                <w:szCs w:val="24"/>
                <w:color w:val="auto"/>
              </w:rPr>
            </w:pPr>
          </w:p>
        </w:tc>
        <w:tc>
          <w:tcPr>
            <w:tcW w:w="5360" w:type="dxa"/>
            <w:vAlign w:val="bottom"/>
          </w:tcPr>
          <w:p>
            <w:pPr>
              <w:ind w:left="1240"/>
              <w:spacing w:after="0"/>
              <w:rPr>
                <w:sz w:val="20"/>
                <w:szCs w:val="20"/>
                <w:color w:val="auto"/>
              </w:rPr>
            </w:pPr>
            <w:r>
              <w:rPr>
                <w:rFonts w:ascii="Arial" w:cs="Arial" w:eastAsia="Arial" w:hAnsi="Arial"/>
                <w:sz w:val="18"/>
                <w:szCs w:val="18"/>
                <w:color w:val="auto"/>
              </w:rPr>
              <w:t>A.</w:t>
            </w:r>
          </w:p>
        </w:tc>
        <w:tc>
          <w:tcPr>
            <w:tcW w:w="520" w:type="dxa"/>
            <w:vAlign w:val="bottom"/>
            <w:gridSpan w:val="2"/>
          </w:tcPr>
          <w:p>
            <w:pPr>
              <w:ind w:left="180"/>
              <w:spacing w:after="0"/>
              <w:rPr>
                <w:sz w:val="20"/>
                <w:szCs w:val="20"/>
                <w:color w:val="auto"/>
              </w:rPr>
            </w:pPr>
            <w:r>
              <w:rPr>
                <w:rFonts w:ascii="Arial" w:cs="Arial" w:eastAsia="Arial" w:hAnsi="Arial"/>
                <w:sz w:val="18"/>
                <w:szCs w:val="18"/>
                <w:color w:val="auto"/>
                <w:w w:val="93"/>
              </w:rPr>
              <w:t>B. X</w:t>
            </w:r>
          </w:p>
        </w:tc>
      </w:tr>
      <w:tr>
        <w:trPr>
          <w:trHeight w:val="453"/>
        </w:trPr>
        <w:tc>
          <w:tcPr>
            <w:tcW w:w="18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5360" w:type="dxa"/>
            <w:vAlign w:val="bottom"/>
          </w:tcPr>
          <w:p>
            <w:pPr>
              <w:ind w:left="60"/>
              <w:spacing w:after="0"/>
              <w:rPr>
                <w:sz w:val="20"/>
                <w:szCs w:val="20"/>
                <w:color w:val="auto"/>
              </w:rPr>
            </w:pPr>
            <w:r>
              <w:rPr>
                <w:rFonts w:ascii="Arial" w:cs="Arial" w:eastAsia="Arial" w:hAnsi="Arial"/>
                <w:sz w:val="18"/>
                <w:szCs w:val="18"/>
                <w:color w:val="auto"/>
              </w:rPr>
              <w:t>SEC USE ONLY</w:t>
            </w:r>
          </w:p>
        </w:tc>
        <w:tc>
          <w:tcPr>
            <w:tcW w:w="38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r>
      <w:tr>
        <w:trPr>
          <w:trHeight w:val="864"/>
        </w:trPr>
        <w:tc>
          <w:tcPr>
            <w:tcW w:w="180" w:type="dxa"/>
            <w:vAlign w:val="bottom"/>
          </w:tcPr>
          <w:p>
            <w:pPr>
              <w:jc w:val="right"/>
              <w:spacing w:after="0"/>
              <w:rPr>
                <w:sz w:val="20"/>
                <w:szCs w:val="20"/>
                <w:color w:val="auto"/>
              </w:rPr>
            </w:pPr>
            <w:r>
              <w:rPr>
                <w:rFonts w:ascii="Arial" w:cs="Arial" w:eastAsia="Arial" w:hAnsi="Arial"/>
                <w:sz w:val="18"/>
                <w:szCs w:val="18"/>
                <w:color w:val="auto"/>
                <w:w w:val="79"/>
              </w:rPr>
              <w:t>4.</w:t>
            </w:r>
          </w:p>
        </w:tc>
        <w:tc>
          <w:tcPr>
            <w:tcW w:w="5360" w:type="dxa"/>
            <w:vAlign w:val="bottom"/>
          </w:tcPr>
          <w:p>
            <w:pPr>
              <w:ind w:left="60"/>
              <w:spacing w:after="0"/>
              <w:rPr>
                <w:sz w:val="20"/>
                <w:szCs w:val="20"/>
                <w:color w:val="auto"/>
              </w:rPr>
            </w:pPr>
            <w:r>
              <w:rPr>
                <w:rFonts w:ascii="Arial" w:cs="Arial" w:eastAsia="Arial" w:hAnsi="Arial"/>
                <w:sz w:val="18"/>
                <w:szCs w:val="18"/>
                <w:color w:val="auto"/>
              </w:rPr>
              <w:t>CITIZENSHIP OF PLACE OF ORGANIZATION</w:t>
            </w: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color w:val="auto"/>
        </w:rPr>
        <w:t>(For questions 5-8, report the number of shares beneficially owned by each reporting person with:)</w:t>
      </w:r>
    </w:p>
    <w:p>
      <w:pPr>
        <w:spacing w:after="0" w:line="237" w:lineRule="exact"/>
        <w:rPr>
          <w:sz w:val="20"/>
          <w:szCs w:val="20"/>
          <w:color w:val="auto"/>
        </w:rPr>
      </w:pPr>
    </w:p>
    <w:p>
      <w:pPr>
        <w:ind w:left="100" w:right="8119" w:hanging="92"/>
        <w:spacing w:after="0" w:line="501" w:lineRule="auto"/>
        <w:tabs>
          <w:tab w:leader="none" w:pos="235"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VOTING POWER 481,332</w:t>
      </w: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VOTING POWER</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100" w:right="7719" w:hanging="92"/>
        <w:spacing w:after="0" w:line="501" w:lineRule="auto"/>
        <w:tabs>
          <w:tab w:leader="none" w:pos="235"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SOLE DISPOSITIVE POWER 21,102,503</w:t>
      </w:r>
    </w:p>
    <w:p>
      <w:pPr>
        <w:ind w:left="140" w:right="7459" w:hanging="132"/>
        <w:spacing w:after="0" w:line="501" w:lineRule="auto"/>
        <w:tabs>
          <w:tab w:leader="none" w:pos="23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SHARED DISPOSITIVE POWER 451,805</w:t>
      </w:r>
    </w:p>
    <w:p>
      <w:pPr>
        <w:ind w:left="100" w:right="3459" w:hanging="92"/>
        <w:spacing w:after="0" w:line="501" w:lineRule="auto"/>
        <w:tabs>
          <w:tab w:leader="none" w:pos="225" w:val="left"/>
        </w:tabs>
        <w:numPr>
          <w:ilvl w:val="0"/>
          <w:numId w:val="3"/>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21,554,308</w:t>
      </w:r>
    </w:p>
    <w:p>
      <w:pPr>
        <w:ind w:left="100" w:right="2819" w:hanging="92"/>
        <w:spacing w:after="0" w:line="501" w:lineRule="auto"/>
        <w:tabs>
          <w:tab w:leader="none" w:pos="325"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ind w:left="320" w:hanging="312"/>
        <w:spacing w:after="0"/>
        <w:tabs>
          <w:tab w:leader="none" w:pos="3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7.33%</w:t>
      </w:r>
    </w:p>
    <w:p>
      <w:pPr>
        <w:spacing w:after="0" w:line="225" w:lineRule="exact"/>
        <w:rPr>
          <w:sz w:val="20"/>
          <w:szCs w:val="20"/>
          <w:color w:val="auto"/>
        </w:rPr>
      </w:pPr>
    </w:p>
    <w:p>
      <w:pPr>
        <w:ind w:left="320" w:hanging="312"/>
        <w:spacing w:after="0"/>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5"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611"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Under the Securities Act of 1934</w:t>
      </w:r>
    </w:p>
    <w:p>
      <w:pPr>
        <w:spacing w:after="0" w:line="211" w:lineRule="exact"/>
        <w:rPr>
          <w:sz w:val="20"/>
          <w:szCs w:val="20"/>
          <w:color w:val="auto"/>
        </w:rPr>
      </w:pPr>
    </w:p>
    <w:p>
      <w:pPr>
        <w:ind w:right="4939"/>
        <w:spacing w:after="0" w:line="501" w:lineRule="auto"/>
        <w:rPr>
          <w:sz w:val="20"/>
          <w:szCs w:val="20"/>
          <w:color w:val="auto"/>
        </w:rPr>
      </w:pPr>
      <w:r>
        <w:rPr>
          <w:rFonts w:ascii="Arial" w:cs="Arial" w:eastAsia="Arial" w:hAnsi="Arial"/>
          <w:sz w:val="18"/>
          <w:szCs w:val="18"/>
          <w:color w:val="auto"/>
        </w:rPr>
        <w:t xml:space="preserve">Check the following [line] if a fee is being paid with this statement N/A </w:t>
      </w:r>
      <w:r>
        <w:rPr>
          <w:rFonts w:ascii="Arial" w:cs="Arial" w:eastAsia="Arial" w:hAnsi="Arial"/>
          <w:sz w:val="18"/>
          <w:szCs w:val="18"/>
          <w:u w:val="single" w:color="auto"/>
          <w:color w:val="auto"/>
        </w:rPr>
        <w:t>Item 1(a) - Name of Issuer:</w:t>
      </w:r>
    </w:p>
    <w:p>
      <w:pPr>
        <w:ind w:left="100"/>
        <w:spacing w:after="0"/>
        <w:rPr>
          <w:sz w:val="20"/>
          <w:szCs w:val="20"/>
          <w:color w:val="auto"/>
        </w:rPr>
      </w:pPr>
      <w:r>
        <w:rPr>
          <w:rFonts w:ascii="Arial" w:cs="Arial" w:eastAsia="Arial" w:hAnsi="Arial"/>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711 High Street</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Des Moines, Ia 50392-0300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The Vanguard Group - 23-1945930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Malvern, PA 19355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Pennsylvania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Common Stock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74251V102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6"/>
          <w:szCs w:val="16"/>
          <w:color w:val="auto"/>
        </w:rPr>
        <w:t>This statement is being filed pursuant to Rule 13d-1. An investment adviser in accordance with §240.13d-1(b)(1)(ii)(E).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5" w:lineRule="exact"/>
        <w:rPr>
          <w:sz w:val="20"/>
          <w:szCs w:val="20"/>
          <w:color w:val="auto"/>
        </w:rPr>
      </w:pPr>
    </w:p>
    <w:p>
      <w:pPr>
        <w:ind w:left="100" w:right="7739" w:hanging="2"/>
        <w:spacing w:after="0" w:line="501" w:lineRule="auto"/>
        <w:tabs>
          <w:tab w:leader="none" w:pos="345" w:val="left"/>
        </w:tabs>
        <w:numPr>
          <w:ilvl w:val="0"/>
          <w:numId w:val="5"/>
        </w:numPr>
        <w:rPr>
          <w:rFonts w:ascii="Arial" w:cs="Arial" w:eastAsia="Arial" w:hAnsi="Arial"/>
          <w:sz w:val="18"/>
          <w:szCs w:val="18"/>
          <w:color w:val="auto"/>
        </w:rPr>
      </w:pPr>
      <w:r>
        <w:rPr>
          <w:rFonts w:ascii="Arial" w:cs="Arial" w:eastAsia="Arial" w:hAnsi="Arial"/>
          <w:sz w:val="18"/>
          <w:szCs w:val="18"/>
          <w:color w:val="auto"/>
        </w:rPr>
        <w:t>Amount Beneficially Owned: 21,554,308</w:t>
      </w:r>
    </w:p>
    <w:p>
      <w:pPr>
        <w:ind w:left="360" w:hanging="262"/>
        <w:spacing w:after="0"/>
        <w:tabs>
          <w:tab w:leader="none" w:pos="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7.33%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611" w:right="1440" w:bottom="1440" w:gutter="0" w:footer="0" w:header="0"/>
        </w:sectPr>
      </w:pPr>
    </w:p>
    <w:bookmarkStart w:id="3" w:name="page4"/>
    <w:bookmarkEnd w:id="3"/>
    <w:p>
      <w:pPr>
        <w:ind w:left="380" w:hanging="282"/>
        <w:spacing w:after="0"/>
        <w:tabs>
          <w:tab w:leader="none" w:pos="3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360" w:hanging="262"/>
        <w:spacing w:after="0"/>
        <w:tabs>
          <w:tab w:leader="none" w:pos="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sole power to vote or direct to vote: 481,332</w:t>
      </w:r>
    </w:p>
    <w:p>
      <w:pPr>
        <w:spacing w:after="0" w:line="225" w:lineRule="exact"/>
        <w:rPr>
          <w:rFonts w:ascii="Arial" w:cs="Arial" w:eastAsia="Arial" w:hAnsi="Arial"/>
          <w:sz w:val="18"/>
          <w:szCs w:val="18"/>
          <w:color w:val="auto"/>
        </w:rPr>
      </w:pPr>
    </w:p>
    <w:p>
      <w:pPr>
        <w:ind w:left="400" w:hanging="302"/>
        <w:spacing w:after="0"/>
        <w:tabs>
          <w:tab w:leader="none" w:pos="4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shared power to vote or direct to vote:</w:t>
      </w:r>
    </w:p>
    <w:p>
      <w:pPr>
        <w:spacing w:after="0" w:line="225" w:lineRule="exact"/>
        <w:rPr>
          <w:rFonts w:ascii="Arial" w:cs="Arial" w:eastAsia="Arial" w:hAnsi="Arial"/>
          <w:sz w:val="18"/>
          <w:szCs w:val="18"/>
          <w:color w:val="auto"/>
        </w:rPr>
      </w:pPr>
    </w:p>
    <w:p>
      <w:pPr>
        <w:ind w:left="100" w:right="6080" w:hanging="2"/>
        <w:spacing w:after="0" w:line="563" w:lineRule="auto"/>
        <w:tabs>
          <w:tab w:leader="none" w:pos="460" w:val="left"/>
        </w:tabs>
        <w:numPr>
          <w:ilvl w:val="0"/>
          <w:numId w:val="9"/>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21,102,503 (iv) shared power to dispose or to direct the disposition of: 451,805</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See Attached Appendix 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5" w:lineRule="exact"/>
        <w:rPr>
          <w:sz w:val="20"/>
          <w:szCs w:val="20"/>
          <w:color w:val="auto"/>
        </w:rPr>
      </w:pPr>
    </w:p>
    <w:p>
      <w:pPr>
        <w:jc w:val="both"/>
        <w:ind w:firstLine="90"/>
        <w:spacing w:after="0" w:line="264"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Date: 02/09/15</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3058795</wp:posOffset>
            </wp:positionH>
            <wp:positionV relativeFrom="paragraph">
              <wp:posOffset>-10160</wp:posOffset>
            </wp:positionV>
            <wp:extent cx="12731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3175" cy="8890"/>
                    </a:xfrm>
                    <a:prstGeom prst="rect">
                      <a:avLst/>
                    </a:prstGeom>
                    <a:noFill/>
                  </pic:spPr>
                </pic:pic>
              </a:graphicData>
            </a:graphic>
          </wp:anchor>
        </w:drawing>
      </w:r>
    </w:p>
    <w:p>
      <w:pPr>
        <w:spacing w:after="0" w:line="20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 William McNabb III</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638175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60"/>
          </w:cols>
          <w:pgMar w:left="240" w:top="611" w:right="29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Appendix A</w:t>
      </w:r>
    </w:p>
    <w:p>
      <w:pPr>
        <w:spacing w:after="0" w:line="225" w:lineRule="exact"/>
        <w:rPr>
          <w:sz w:val="20"/>
          <w:szCs w:val="20"/>
          <w:color w:val="auto"/>
        </w:rPr>
      </w:pPr>
    </w:p>
    <w:p>
      <w:pPr>
        <w:ind w:firstLine="42"/>
        <w:spacing w:after="0" w:line="308"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371,005 shares or .12% of the Common Stock outstanding of the Company as a result of its serving as investment manager of collective trust accounts.</w:t>
      </w:r>
    </w:p>
    <w:p>
      <w:pPr>
        <w:spacing w:after="0" w:line="147" w:lineRule="exact"/>
        <w:rPr>
          <w:sz w:val="20"/>
          <w:szCs w:val="20"/>
          <w:color w:val="auto"/>
        </w:rPr>
      </w:pPr>
    </w:p>
    <w:p>
      <w:pPr>
        <w:ind w:right="80"/>
        <w:spacing w:after="0" w:line="308"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191,127 shares or .06%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3058795</wp:posOffset>
            </wp:positionH>
            <wp:positionV relativeFrom="paragraph">
              <wp:posOffset>-10160</wp:posOffset>
            </wp:positionV>
            <wp:extent cx="1273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3175" cy="8890"/>
                    </a:xfrm>
                    <a:prstGeom prst="rect">
                      <a:avLst/>
                    </a:prstGeom>
                    <a:noFill/>
                  </pic:spPr>
                </pic:pic>
              </a:graphicData>
            </a:graphic>
          </wp:anchor>
        </w:drawing>
      </w:r>
    </w:p>
    <w:p>
      <w:pPr>
        <w:spacing w:after="0" w:line="2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 William McNabb III</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sectPr>
      <w:pgSz w:w="11900" w:h="16838" w:orient="portrait"/>
      <w:cols w:equalWidth="0" w:num="1">
        <w:col w:w="11320"/>
      </w:cols>
      <w:pgMar w:left="240" w:top="104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upperLetter"/>
      <w:start w:val="24"/>
    </w:lvl>
  </w:abstractNum>
  <w:abstractNum w:abstractNumId="1">
    <w:nsid w:val="3D1B58BA"/>
    <w:multiLevelType w:val="hybridMultilevel"/>
    <w:lvl w:ilvl="0">
      <w:lvlJc w:val="left"/>
      <w:lvlText w:val="%1."/>
      <w:numFmt w:val="decimal"/>
      <w:start w:val="1"/>
    </w:lvl>
    <w:lvl w:ilvl="1">
      <w:lvlJc w:val="left"/>
      <w:lvlText w:val="%2"/>
      <w:numFmt w:val="upperLetter"/>
      <w:start w:val="1"/>
    </w:lvl>
  </w:abstractNum>
  <w:abstractNum w:abstractNumId="2">
    <w:nsid w:val="507ED7AB"/>
    <w:multiLevelType w:val="hybridMultilevel"/>
    <w:lvl w:ilvl="0">
      <w:lvlJc w:val="left"/>
      <w:lvlText w:val="%1."/>
      <w:numFmt w:val="decimal"/>
      <w:start w:val="5"/>
    </w:lvl>
  </w:abstractNum>
  <w:abstractNum w:abstractNumId="3">
    <w:nsid w:val="2EB141F2"/>
    <w:multiLevelType w:val="hybridMultilevel"/>
    <w:lvl w:ilvl="0">
      <w:lvlJc w:val="left"/>
      <w:lvlText w:val="%1."/>
      <w:numFmt w:val="decimal"/>
      <w:start w:val="12"/>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3"/>
    </w:lvl>
  </w:abstractNum>
  <w:abstractNum w:abstractNumId="6">
    <w:nsid w:val="7545E146"/>
    <w:multiLevelType w:val="hybridMultilevel"/>
    <w:lvl w:ilvl="0">
      <w:lvlJc w:val="left"/>
      <w:lvlText w:val="(%1)"/>
      <w:numFmt w:val="lowerLetter"/>
      <w:start w:val="9"/>
    </w:lvl>
  </w:abstractNum>
  <w:abstractNum w:abstractNumId="7">
    <w:nsid w:val="515F007C"/>
    <w:multiLevelType w:val="hybridMultilevel"/>
    <w:lvl w:ilvl="0">
      <w:lvlJc w:val="left"/>
      <w:lvlText w:val="(%1)"/>
      <w:numFmt w:val="lowerLetter"/>
      <w:start w:val="35"/>
    </w:lvl>
  </w:abstractNum>
  <w:abstractNum w:abstractNumId="8">
    <w:nsid w:val="5BD062C2"/>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2020-01-22T13:09:10Z</dcterms:created>
  <dcterms:modified xsi:type="dcterms:W3CDTF">2020-01-22T13:09:10Z</dcterms:modified>
</cp:coreProperties>
</file>