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80" w:val="left"/>
          <w:tab w:leader="none" w:pos="4580" w:val="left"/>
          <w:tab w:leader="none" w:pos="882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1 of 5</w:t>
      </w:r>
    </w:p>
    <w:p>
      <w:pPr>
        <w:sectPr>
          <w:pgSz w:w="11900" w:h="16838" w:orient="portrait"/>
          <w:cols w:equalWidth="0" w:num="1">
            <w:col w:w="9700"/>
          </w:cols>
          <w:pgMar w:left="1100" w:top="851" w:right="1099" w:bottom="1440" w:gutter="0" w:footer="0" w:header="0"/>
        </w:sectPr>
      </w:pP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38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(Amendment No. 4) *</w:t>
      </w:r>
    </w:p>
    <w:p>
      <w:pPr>
        <w:spacing w:after="0" w:line="200" w:lineRule="exact"/>
        <w:rPr>
          <w:sz w:val="24"/>
          <w:szCs w:val="24"/>
          <w:color w:val="auto"/>
        </w:rPr>
      </w:pPr>
    </w:p>
    <w:p>
      <w:pPr>
        <w:spacing w:after="0" w:line="38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LaPorte Bancorp,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34"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58" w:lineRule="exact"/>
        <w:rPr>
          <w:sz w:val="24"/>
          <w:szCs w:val="24"/>
          <w:color w:val="auto"/>
        </w:rPr>
      </w:pPr>
    </w:p>
    <w:p>
      <w:pPr>
        <w:jc w:val="center"/>
        <w:ind w:right="20"/>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60"/>
        <w:spacing w:after="0"/>
        <w:rPr>
          <w:sz w:val="20"/>
          <w:szCs w:val="20"/>
          <w:color w:val="auto"/>
        </w:rPr>
      </w:pPr>
      <w:r>
        <w:rPr>
          <w:rFonts w:ascii="Arial" w:cs="Arial" w:eastAsia="Arial" w:hAnsi="Arial"/>
          <w:sz w:val="20"/>
          <w:szCs w:val="20"/>
          <w:b w:val="1"/>
          <w:bCs w:val="1"/>
          <w:color w:val="auto"/>
        </w:rPr>
        <w:t>516651106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58" w:lineRule="exact"/>
        <w:rPr>
          <w:sz w:val="24"/>
          <w:szCs w:val="24"/>
          <w:color w:val="auto"/>
        </w:rPr>
      </w:pPr>
    </w:p>
    <w:p>
      <w:pPr>
        <w:jc w:val="center"/>
        <w:ind w:right="160"/>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880"/>
        <w:spacing w:after="0"/>
        <w:rPr>
          <w:sz w:val="20"/>
          <w:szCs w:val="20"/>
          <w:color w:val="auto"/>
        </w:rPr>
      </w:pPr>
      <w:r>
        <w:rPr>
          <w:rFonts w:ascii="Arial" w:cs="Arial" w:eastAsia="Arial" w:hAnsi="Arial"/>
          <w:sz w:val="20"/>
          <w:szCs w:val="20"/>
          <w:b w:val="1"/>
          <w:bCs w:val="1"/>
          <w:color w:val="auto"/>
        </w:rPr>
        <w:t>December 31,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44" w:lineRule="exact"/>
        <w:rPr>
          <w:sz w:val="24"/>
          <w:szCs w:val="24"/>
          <w:color w:val="auto"/>
        </w:rPr>
      </w:pPr>
    </w:p>
    <w:p>
      <w:pPr>
        <w:ind w:left="242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0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1180" w:hanging="681"/>
        <w:spacing w:after="0"/>
        <w:tabs>
          <w:tab w:leader="none" w:pos="1180"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64" w:lineRule="exact"/>
        <w:rPr>
          <w:sz w:val="24"/>
          <w:szCs w:val="24"/>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364" w:lineRule="exact"/>
        <w:rPr>
          <w:rFonts w:ascii="MS PGothic" w:cs="MS PGothic" w:eastAsia="MS PGothic" w:hAnsi="MS PGothic"/>
          <w:sz w:val="25"/>
          <w:szCs w:val="25"/>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jc w:val="both"/>
        <w:ind w:left="500" w:right="500"/>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700"/>
          </w:cols>
          <w:pgMar w:left="1100" w:top="851" w:right="1099" w:bottom="1440" w:gutter="0" w:footer="0" w:header="0"/>
          <w:type w:val="continuous"/>
        </w:sectPr>
      </w:pPr>
    </w:p>
    <w:bookmarkStart w:id="1" w:name="page2"/>
    <w:bookmarkEnd w:id="1"/>
    <w:p>
      <w:pPr>
        <w:ind w:left="160"/>
        <w:spacing w:after="0"/>
        <w:tabs>
          <w:tab w:leader="none" w:pos="1460" w:val="left"/>
          <w:tab w:leader="none" w:pos="4240" w:val="left"/>
          <w:tab w:leader="none" w:pos="79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2 of 5</w:t>
      </w:r>
    </w:p>
    <w:p>
      <w:pPr>
        <w:spacing w:after="0" w:line="195" w:lineRule="exact"/>
        <w:rPr>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74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202" w:lineRule="exact"/>
        <w:rPr>
          <w:rFonts w:ascii="Arial" w:cs="Arial" w:eastAsia="Arial" w:hAnsi="Arial"/>
          <w:sz w:val="20"/>
          <w:szCs w:val="20"/>
          <w:color w:val="auto"/>
        </w:rPr>
      </w:pPr>
    </w:p>
    <w:p>
      <w:pPr>
        <w:ind w:left="740" w:right="579"/>
        <w:spacing w:after="0" w:line="236"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The LaPorte Savings Bank Employee Stock Ownership Plan</w:t>
      </w:r>
    </w:p>
    <w:p>
      <w:pPr>
        <w:spacing w:after="0" w:line="171"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41"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255"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39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-327025</wp:posOffset>
            </wp:positionV>
            <wp:extent cx="559943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-653415</wp:posOffset>
            </wp:positionV>
            <wp:extent cx="559943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-1630680</wp:posOffset>
            </wp:positionV>
            <wp:extent cx="559943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158" w:lineRule="exact"/>
        <w:rPr>
          <w:sz w:val="20"/>
          <w:szCs w:val="20"/>
          <w:color w:val="auto"/>
        </w:rPr>
      </w:pPr>
    </w:p>
    <w:tbl>
      <w:tblPr>
        <w:tblLayout w:type="fixed"/>
        <w:tblInd w:w="220" w:type="dxa"/>
        <w:tblCellMar>
          <w:top w:w="0" w:type="dxa"/>
          <w:left w:w="0" w:type="dxa"/>
          <w:bottom w:w="0" w:type="dxa"/>
          <w:right w:w="0" w:type="dxa"/>
        </w:tblCellMar>
      </w:tblPr>
      <w:tr>
        <w:trPr>
          <w:trHeight w:val="261"/>
        </w:trPr>
        <w:tc>
          <w:tcPr>
            <w:tcW w:w="4600" w:type="dxa"/>
            <w:vAlign w:val="bottom"/>
            <w:gridSpan w:val="3"/>
          </w:tcPr>
          <w:p>
            <w:pPr>
              <w:jc w:val="center"/>
              <w:ind w:right="1301"/>
              <w:spacing w:after="0"/>
              <w:rPr>
                <w:sz w:val="20"/>
                <w:szCs w:val="20"/>
                <w:color w:val="auto"/>
              </w:rPr>
            </w:pPr>
            <w:r>
              <w:rPr>
                <w:rFonts w:ascii="Arial" w:cs="Arial" w:eastAsia="Arial" w:hAnsi="Arial"/>
                <w:sz w:val="20"/>
                <w:szCs w:val="20"/>
                <w:b w:val="1"/>
                <w:bCs w:val="1"/>
                <w:color w:val="auto"/>
              </w:rPr>
              <w:t>Delaware</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22"/>
        </w:trPr>
        <w:tc>
          <w:tcPr>
            <w:tcW w:w="1460" w:type="dxa"/>
            <w:vAlign w:val="bottom"/>
          </w:tcPr>
          <w:p>
            <w:pPr>
              <w:jc w:val="center"/>
              <w:spacing w:after="0"/>
              <w:rPr>
                <w:sz w:val="20"/>
                <w:szCs w:val="20"/>
                <w:color w:val="auto"/>
              </w:rPr>
            </w:pPr>
            <w:r>
              <w:rPr>
                <w:rFonts w:ascii="Arial" w:cs="Arial" w:eastAsia="Arial" w:hAnsi="Arial"/>
                <w:sz w:val="20"/>
                <w:szCs w:val="20"/>
                <w:color w:val="auto"/>
                <w:w w:val="98"/>
              </w:rPr>
              <w:t>Number of</w:t>
            </w: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90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7"/>
              </w:rPr>
              <w:t>Shares</w:t>
            </w:r>
          </w:p>
        </w:tc>
        <w:tc>
          <w:tcPr>
            <w:tcW w:w="2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8"/>
              </w:rPr>
              <w:t>Beneficially</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6.</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478,809</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Owned by Each</w:t>
            </w:r>
          </w:p>
        </w:tc>
        <w:tc>
          <w:tcPr>
            <w:tcW w:w="240" w:type="dxa"/>
            <w:vAlign w:val="bottom"/>
            <w:vMerge w:val="continue"/>
          </w:tcPr>
          <w:p>
            <w:pPr>
              <w:spacing w:after="0"/>
              <w:rPr>
                <w:sz w:val="18"/>
                <w:szCs w:val="18"/>
                <w:color w:val="auto"/>
              </w:rPr>
            </w:pPr>
          </w:p>
        </w:tc>
        <w:tc>
          <w:tcPr>
            <w:tcW w:w="29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Reporting</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40" w:type="dxa"/>
            <w:vAlign w:val="bottom"/>
            <w:vMerge w:val="continue"/>
          </w:tcPr>
          <w:p>
            <w:pPr>
              <w:spacing w:after="0"/>
              <w:rPr>
                <w:sz w:val="20"/>
                <w:szCs w:val="20"/>
                <w:color w:val="auto"/>
              </w:rPr>
            </w:pPr>
          </w:p>
        </w:tc>
        <w:tc>
          <w:tcPr>
            <w:tcW w:w="2900" w:type="dxa"/>
            <w:vAlign w:val="bottom"/>
            <w:vMerge w:val="continue"/>
          </w:tcPr>
          <w:p>
            <w:pPr>
              <w:spacing w:after="0"/>
              <w:rPr>
                <w:sz w:val="20"/>
                <w:szCs w:val="20"/>
                <w:color w:val="auto"/>
              </w:rPr>
            </w:pPr>
          </w:p>
        </w:tc>
        <w:tc>
          <w:tcPr>
            <w:tcW w:w="12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146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90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478,809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1074420</wp:posOffset>
            </wp:positionH>
            <wp:positionV relativeFrom="paragraph">
              <wp:posOffset>-5715</wp:posOffset>
            </wp:positionV>
            <wp:extent cx="459613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-332105</wp:posOffset>
            </wp:positionV>
            <wp:extent cx="459613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-657860</wp:posOffset>
            </wp:positionV>
            <wp:extent cx="459613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-983615</wp:posOffset>
            </wp:positionV>
            <wp:extent cx="459613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-1455420</wp:posOffset>
            </wp:positionV>
            <wp:extent cx="559943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229" w:lineRule="exact"/>
        <w:rPr>
          <w:sz w:val="20"/>
          <w:szCs w:val="20"/>
          <w:color w:val="auto"/>
        </w:rPr>
      </w:pPr>
    </w:p>
    <w:p>
      <w:pPr>
        <w:ind w:left="740" w:hanging="588"/>
        <w:spacing w:after="0"/>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478,809</w:t>
      </w:r>
    </w:p>
    <w:p>
      <w:pPr>
        <w:spacing w:after="0" w:line="309" w:lineRule="exact"/>
        <w:rPr>
          <w:rFonts w:ascii="Arial" w:cs="Arial" w:eastAsia="Arial" w:hAnsi="Arial"/>
          <w:sz w:val="20"/>
          <w:szCs w:val="20"/>
          <w:color w:val="auto"/>
        </w:rPr>
      </w:pPr>
    </w:p>
    <w:p>
      <w:pPr>
        <w:ind w:left="1380" w:hanging="1228"/>
        <w:spacing w:after="0"/>
        <w:tabs>
          <w:tab w:leader="none" w:pos="1380"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-343535</wp:posOffset>
            </wp:positionV>
            <wp:extent cx="559943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line="231" w:lineRule="exact"/>
        <w:rPr>
          <w:sz w:val="20"/>
          <w:szCs w:val="20"/>
          <w:color w:val="auto"/>
        </w:rPr>
      </w:pPr>
      <w:r>
        <w:rPr>
          <w:rFonts w:ascii="MS PGothic" w:cs="MS PGothic" w:eastAsia="MS PGothic" w:hAnsi="MS PGothic"/>
          <w:sz w:val="25"/>
          <w:szCs w:val="2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36830</wp:posOffset>
            </wp:positionV>
            <wp:extent cx="559943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352" w:lineRule="exact"/>
        <w:rPr>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8.58%</w:t>
      </w:r>
    </w:p>
    <w:p>
      <w:pPr>
        <w:spacing w:after="0" w:line="309" w:lineRule="exact"/>
        <w:rPr>
          <w:rFonts w:ascii="Arial" w:cs="Arial" w:eastAsia="Arial" w:hAnsi="Arial"/>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-344170</wp:posOffset>
            </wp:positionV>
            <wp:extent cx="559943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-1270</wp:posOffset>
            </wp:positionV>
            <wp:extent cx="559943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ectPr>
          <w:pgSz w:w="11900" w:h="16838" w:orient="portrait"/>
          <w:cols w:equalWidth="0" w:num="1">
            <w:col w:w="9019"/>
          </w:cols>
          <w:pgMar w:left="1440" w:top="743" w:right="1440" w:bottom="1440" w:gutter="0" w:footer="0" w:header="0"/>
        </w:sectPr>
      </w:pPr>
    </w:p>
    <w:bookmarkStart w:id="2" w:name="page3"/>
    <w:bookmarkEnd w:id="2"/>
    <w:p>
      <w:pPr>
        <w:ind w:left="220"/>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516651106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5" w:lineRule="exact"/>
        <w:rPr>
          <w:sz w:val="20"/>
          <w:szCs w:val="20"/>
          <w:color w:val="auto"/>
        </w:rPr>
      </w:pPr>
    </w:p>
    <w:p>
      <w:pPr>
        <w:sectPr>
          <w:pgSz w:w="11900" w:h="16838" w:orient="portrait"/>
          <w:cols w:equalWidth="0" w:num="4">
            <w:col w:w="1020" w:space="520"/>
            <w:col w:w="2060" w:space="720"/>
            <w:col w:w="3020" w:space="720"/>
            <w:col w:w="1080"/>
          </w:cols>
          <w:pgMar w:left="1380" w:top="743" w:right="1379" w:bottom="1440" w:gutter="0" w:footer="0" w:header="0"/>
        </w:sect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9140"/>
          </w:cols>
          <w:pgMar w:left="1380" w:top="743" w:right="1379" w:bottom="1440" w:gutter="0" w:footer="0" w:header="0"/>
          <w:type w:val="continuous"/>
        </w:sectPr>
      </w:pPr>
    </w:p>
    <w:p>
      <w:pPr>
        <w:spacing w:after="0" w:line="253" w:lineRule="exact"/>
        <w:rPr>
          <w:sz w:val="20"/>
          <w:szCs w:val="20"/>
          <w:color w:val="auto"/>
        </w:rPr>
      </w:pPr>
    </w:p>
    <w:p>
      <w:pPr>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LaPorte Bancorp, Inc.</w:t>
      </w:r>
    </w:p>
    <w:p>
      <w:pPr>
        <w:spacing w:after="0" w:line="224" w:lineRule="exact"/>
        <w:rPr>
          <w:sz w:val="20"/>
          <w:szCs w:val="20"/>
          <w:color w:val="auto"/>
        </w:rPr>
      </w:pPr>
    </w:p>
    <w:p>
      <w:pPr>
        <w:sectPr>
          <w:pgSz w:w="11900" w:h="16838" w:orient="portrait"/>
          <w:cols w:equalWidth="0" w:num="2">
            <w:col w:w="4160" w:space="720"/>
            <w:col w:w="4260"/>
          </w:cols>
          <w:pgMar w:left="1380" w:top="743" w:right="1379" w:bottom="1440" w:gutter="0" w:footer="0" w:header="0"/>
          <w:type w:val="continuous"/>
        </w:sectPr>
      </w:pPr>
    </w:p>
    <w:p>
      <w:pPr>
        <w:spacing w:after="0" w:line="41"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710 Indiana Ave</w:t>
      </w:r>
    </w:p>
    <w:p>
      <w:pPr>
        <w:spacing w:after="0" w:line="4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LaPorte IN 46350</w:t>
      </w:r>
    </w:p>
    <w:p>
      <w:pPr>
        <w:spacing w:after="0" w:line="200" w:lineRule="exact"/>
        <w:rPr>
          <w:sz w:val="20"/>
          <w:szCs w:val="20"/>
          <w:color w:val="auto"/>
        </w:rPr>
      </w:pPr>
    </w:p>
    <w:p>
      <w:pPr>
        <w:sectPr>
          <w:pgSz w:w="11900" w:h="16838" w:orient="portrait"/>
          <w:cols w:equalWidth="0" w:num="2">
            <w:col w:w="4440" w:space="440"/>
            <w:col w:w="4260"/>
          </w:cols>
          <w:pgMar w:left="1380" w:top="743" w:right="1379" w:bottom="1440" w:gutter="0" w:footer="0" w:header="0"/>
          <w:type w:val="continuous"/>
        </w:sectPr>
      </w:pPr>
    </w:p>
    <w:p>
      <w:pPr>
        <w:spacing w:after="0" w:line="4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60" w:right="980"/>
        <w:spacing w:after="0" w:line="281"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The LaPorte Savings Bank Employee Stock Ownership Plan</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60"/>
        <w:spacing w:after="0"/>
        <w:rPr>
          <w:sz w:val="20"/>
          <w:szCs w:val="20"/>
          <w:color w:val="auto"/>
        </w:rPr>
      </w:pPr>
      <w:r>
        <w:rPr>
          <w:rFonts w:ascii="Arial" w:cs="Arial" w:eastAsia="Arial" w:hAnsi="Arial"/>
          <w:sz w:val="20"/>
          <w:szCs w:val="20"/>
          <w:color w:val="auto"/>
        </w:rPr>
        <w:t>Wilmington DE 19805-1265</w:t>
      </w:r>
    </w:p>
    <w:p>
      <w:pPr>
        <w:spacing w:after="0" w:line="205" w:lineRule="exact"/>
        <w:rPr>
          <w:sz w:val="20"/>
          <w:szCs w:val="20"/>
          <w:color w:val="auto"/>
        </w:rPr>
      </w:pPr>
    </w:p>
    <w:p>
      <w:pPr>
        <w:ind w:left="460"/>
        <w:spacing w:after="0"/>
        <w:tabs>
          <w:tab w:leader="none" w:pos="252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0" w:hanging="291"/>
        <w:spacing w:after="0"/>
        <w:tabs>
          <w:tab w:leader="none" w:pos="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40" w:type="dxa"/>
            <w:vAlign w:val="bottom"/>
          </w:tcPr>
          <w:p>
            <w:pPr>
              <w:jc w:val="right"/>
              <w:spacing w:after="0"/>
              <w:rPr>
                <w:sz w:val="20"/>
                <w:szCs w:val="20"/>
                <w:color w:val="auto"/>
              </w:rPr>
            </w:pPr>
            <w:r>
              <w:rPr>
                <w:rFonts w:ascii="Arial" w:cs="Arial" w:eastAsia="Arial" w:hAnsi="Arial"/>
                <w:sz w:val="20"/>
                <w:szCs w:val="20"/>
                <w:b w:val="1"/>
                <w:bCs w:val="1"/>
                <w:color w:val="auto"/>
              </w:rPr>
              <w:t>516651106</w:t>
            </w:r>
          </w:p>
        </w:tc>
      </w:tr>
    </w:tbl>
    <w:p>
      <w:pPr>
        <w:spacing w:after="0" w:line="198" w:lineRule="exact"/>
        <w:rPr>
          <w:sz w:val="20"/>
          <w:szCs w:val="20"/>
          <w:color w:val="auto"/>
        </w:rPr>
      </w:pPr>
    </w:p>
    <w:p>
      <w:pPr>
        <w:ind w:left="740" w:right="280"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spacing w:after="0"/>
        <w:tabs>
          <w:tab w:leader="none" w:pos="440" w:val="left"/>
          <w:tab w:leader="none" w:pos="1180"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460" w:right="22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460" w:hanging="451"/>
        <w:spacing w:after="0" w:line="230"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The LaPorte Savings Bank Employee Stock Ownership Plan (“ESOP Plan”)</w:t>
      </w:r>
      <w:r>
        <w:rPr>
          <w:rFonts w:ascii="Arial" w:cs="Arial" w:eastAsia="Arial" w:hAnsi="Arial"/>
          <w:sz w:val="20"/>
          <w:szCs w:val="20"/>
          <w:color w:val="auto"/>
        </w:rPr>
        <w:t xml:space="preserve">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The LaPorte Savings</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Bank Employee Stock Ownership Plan </w:t>
      </w:r>
      <w:r>
        <w:rPr>
          <w:rFonts w:ascii="Arial" w:cs="Arial" w:eastAsia="Arial" w:hAnsi="Arial"/>
          <w:sz w:val="20"/>
          <w:szCs w:val="20"/>
          <w:color w:val="auto"/>
        </w:rPr>
        <w:t>(collectively the “Trust”). As of December 31, 2015, the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ESOP Plan Trust held 478,809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 xml:space="preserve">LaPorte Bancorp, Inc. </w:t>
      </w:r>
      <w:r>
        <w:rPr>
          <w:rFonts w:ascii="Arial" w:cs="Arial" w:eastAsia="Arial" w:hAnsi="Arial"/>
          <w:sz w:val="20"/>
          <w:szCs w:val="20"/>
          <w:color w:val="auto"/>
        </w:rPr>
        <w:t>(the “Employer”), or other parties designated in the trust agreement</w:t>
      </w:r>
      <w:r>
        <w:rPr>
          <w:rFonts w:ascii="Arial" w:cs="Arial" w:eastAsia="Arial" w:hAnsi="Arial"/>
          <w:sz w:val="20"/>
          <w:szCs w:val="20"/>
          <w:b w:val="1"/>
          <w:bCs w:val="1"/>
          <w:color w:val="auto"/>
        </w:rPr>
        <w:t xml:space="preserve"> </w:t>
      </w:r>
      <w:r>
        <w:rPr>
          <w:rFonts w:ascii="Arial" w:cs="Arial" w:eastAsia="Arial" w:hAnsi="Arial"/>
          <w:sz w:val="20"/>
          <w:szCs w:val="20"/>
          <w:color w:val="auto"/>
        </w:rPr>
        <w:t>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460" w:right="120" w:hanging="451"/>
        <w:spacing w:after="0" w:line="241"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478,809</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8.58%</w:t>
      </w:r>
      <w:r>
        <w:rPr>
          <w:rFonts w:ascii="Arial" w:cs="Arial" w:eastAsia="Arial" w:hAnsi="Arial"/>
          <w:sz w:val="20"/>
          <w:szCs w:val="20"/>
          <w:color w:val="auto"/>
        </w:rPr>
        <w:t xml:space="preserve"> of the Issuer’s outstanding shares of common stock. The percent of class is based on shares outstanding as of December 31, 2015, as provided by the Issuer.</w:t>
      </w:r>
    </w:p>
    <w:p>
      <w:pPr>
        <w:sectPr>
          <w:pgSz w:w="11900" w:h="16838" w:orient="portrait"/>
          <w:cols w:equalWidth="0" w:num="1">
            <w:col w:w="9140"/>
          </w:cols>
          <w:pgMar w:left="1380" w:top="743" w:right="1379" w:bottom="1440" w:gutter="0" w:footer="0" w:header="0"/>
          <w:type w:val="continuous"/>
        </w:sectPr>
      </w:pPr>
    </w:p>
    <w:bookmarkStart w:id="3" w:name="page4"/>
    <w:bookmarkEnd w:id="3"/>
    <w:p>
      <w:pPr>
        <w:ind w:left="224"/>
        <w:spacing w:after="0"/>
        <w:tabs>
          <w:tab w:leader="none" w:pos="1524" w:val="left"/>
          <w:tab w:leader="none" w:pos="4304" w:val="left"/>
          <w:tab w:leader="none" w:pos="8044"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4 of 5</w:t>
      </w:r>
    </w:p>
    <w:p>
      <w:pPr>
        <w:spacing w:after="0" w:line="209" w:lineRule="exact"/>
        <w:rPr>
          <w:sz w:val="20"/>
          <w:szCs w:val="20"/>
          <w:color w:val="auto"/>
        </w:rPr>
      </w:pPr>
    </w:p>
    <w:p>
      <w:pPr>
        <w:ind w:left="544" w:hanging="544"/>
        <w:spacing w:after="0"/>
        <w:tabs>
          <w:tab w:leader="none" w:pos="544"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4"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478,809</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478,809</w:t>
            </w:r>
          </w:p>
        </w:tc>
      </w:tr>
    </w:tbl>
    <w:p>
      <w:pPr>
        <w:spacing w:after="0" w:line="360"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00" w:lineRule="exact"/>
        <w:rPr>
          <w:sz w:val="20"/>
          <w:szCs w:val="20"/>
          <w:color w:val="auto"/>
        </w:rPr>
      </w:pPr>
    </w:p>
    <w:p>
      <w:pPr>
        <w:spacing w:after="0" w:line="215"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6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200" w:lineRule="exact"/>
        <w:rPr>
          <w:sz w:val="20"/>
          <w:szCs w:val="20"/>
          <w:color w:val="auto"/>
        </w:rPr>
      </w:pPr>
    </w:p>
    <w:p>
      <w:pPr>
        <w:spacing w:after="0" w:line="215"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67" w:lineRule="exact"/>
        <w:rPr>
          <w:sz w:val="20"/>
          <w:szCs w:val="20"/>
          <w:color w:val="auto"/>
        </w:rPr>
      </w:pPr>
    </w:p>
    <w:p>
      <w:pPr>
        <w:ind w:left="724" w:right="400"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367"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6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200" w:lineRule="exact"/>
        <w:rPr>
          <w:sz w:val="20"/>
          <w:szCs w:val="20"/>
          <w:color w:val="auto"/>
        </w:rPr>
      </w:pPr>
    </w:p>
    <w:p>
      <w:pPr>
        <w:spacing w:after="0" w:line="215"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6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200" w:lineRule="exact"/>
        <w:rPr>
          <w:sz w:val="20"/>
          <w:szCs w:val="20"/>
          <w:color w:val="auto"/>
        </w:rPr>
      </w:pPr>
    </w:p>
    <w:p>
      <w:pPr>
        <w:spacing w:after="0" w:line="215"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6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10. Certification</w:t>
      </w:r>
    </w:p>
    <w:p>
      <w:pPr>
        <w:spacing w:after="0" w:line="200" w:lineRule="exact"/>
        <w:rPr>
          <w:sz w:val="20"/>
          <w:szCs w:val="20"/>
          <w:color w:val="auto"/>
        </w:rPr>
      </w:pPr>
    </w:p>
    <w:p>
      <w:pPr>
        <w:spacing w:after="0" w:line="215" w:lineRule="exact"/>
        <w:rPr>
          <w:sz w:val="20"/>
          <w:szCs w:val="20"/>
          <w:color w:val="auto"/>
        </w:rPr>
      </w:pPr>
    </w:p>
    <w:p>
      <w:pPr>
        <w:ind w:left="4"/>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9084"/>
          </w:cols>
          <w:pgMar w:left="1376" w:top="743" w:right="1439" w:bottom="1440" w:gutter="0" w:footer="0" w:header="0"/>
        </w:sectPr>
      </w:pPr>
    </w:p>
    <w:bookmarkStart w:id="4" w:name="page5"/>
    <w:bookmarkEnd w:id="4"/>
    <w:p>
      <w:pPr>
        <w:ind w:left="220"/>
        <w:spacing w:after="0"/>
        <w:tabs>
          <w:tab w:leader="none" w:pos="1520" w:val="left"/>
          <w:tab w:leader="none" w:pos="430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5 of 5</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33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40"/>
        <w:spacing w:after="0"/>
        <w:rPr>
          <w:sz w:val="20"/>
          <w:szCs w:val="20"/>
          <w:color w:val="auto"/>
        </w:rPr>
      </w:pPr>
      <w:r>
        <w:rPr>
          <w:rFonts w:ascii="Arial" w:cs="Arial" w:eastAsia="Arial" w:hAnsi="Arial"/>
          <w:sz w:val="19"/>
          <w:szCs w:val="19"/>
          <w:b w:val="1"/>
          <w:bCs w:val="1"/>
          <w:color w:val="auto"/>
        </w:rPr>
        <w:t>Delaware Charter Guarantee &amp; Trust Company</w:t>
      </w:r>
    </w:p>
    <w:p>
      <w:pPr>
        <w:spacing w:after="0" w:line="200" w:lineRule="exact"/>
        <w:rPr>
          <w:sz w:val="20"/>
          <w:szCs w:val="20"/>
          <w:color w:val="auto"/>
        </w:rPr>
      </w:pPr>
    </w:p>
    <w:p>
      <w:pPr>
        <w:spacing w:after="0" w:line="335"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2865755</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line="236" w:lineRule="auto"/>
        <w:rPr>
          <w:sz w:val="20"/>
          <w:szCs w:val="20"/>
          <w:color w:val="auto"/>
        </w:rPr>
      </w:pPr>
      <w:r>
        <w:rPr>
          <w:rFonts w:ascii="Arial" w:cs="Arial" w:eastAsia="Arial" w:hAnsi="Arial"/>
          <w:sz w:val="20"/>
          <w:szCs w:val="20"/>
          <w:b w:val="1"/>
          <w:bCs w:val="1"/>
          <w:color w:val="auto"/>
        </w:rPr>
        <w:t>President</w:t>
      </w:r>
    </w:p>
    <w:p>
      <w:pPr>
        <w:ind w:left="4540"/>
        <w:spacing w:after="0"/>
        <w:rPr>
          <w:sz w:val="20"/>
          <w:szCs w:val="20"/>
          <w:color w:val="auto"/>
        </w:rPr>
      </w:pPr>
      <w:r>
        <w:rPr>
          <w:rFonts w:ascii="Arial" w:cs="Arial" w:eastAsia="Arial" w:hAnsi="Arial"/>
          <w:sz w:val="20"/>
          <w:szCs w:val="20"/>
          <w:b w:val="1"/>
          <w:bCs w:val="1"/>
          <w:color w:val="auto"/>
        </w:rPr>
        <w:t>January 8, 2016</w:t>
      </w:r>
    </w:p>
    <w:sectPr>
      <w:pgSz w:w="11900" w:h="16838" w:orient="portrait"/>
      <w:cols w:equalWidth="0" w:num="1">
        <w:col w:w="9079"/>
      </w:cols>
      <w:pgMar w:left="1380" w:top="74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2020-01-19T12:54:05Z</dcterms:created>
  <dcterms:modified xsi:type="dcterms:W3CDTF">2020-01-19T12:54:05Z</dcterms:modified>
</cp:coreProperties>
</file>