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PRINCIPAL FINANCIAL GROUP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74251V102</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2015</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74251V102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13332266</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15747569</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15747569</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5.4%</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PRINCIPAL FINANCIAL GROUP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711 HIGH STREET</w:t>
      </w:r>
    </w:p>
    <w:p>
      <w:pPr>
        <w:spacing w:after="0" w:line="238" w:lineRule="auto"/>
        <w:rPr>
          <w:sz w:val="20"/>
          <w:szCs w:val="20"/>
          <w:color w:val="auto"/>
        </w:rPr>
      </w:pPr>
      <w:r>
        <w:rPr>
          <w:rFonts w:ascii="Courier New" w:cs="Courier New" w:eastAsia="Courier New" w:hAnsi="Courier New"/>
          <w:sz w:val="18"/>
          <w:szCs w:val="18"/>
          <w:color w:val="auto"/>
        </w:rPr>
        <w:t>DES MOINES IA 50392-0300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36"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15747569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5.4%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13332266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15747569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right="3479"/>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PRINCIPAL FINANCIAL GROUP INC.</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PRINCIPAL FINANCIAL GROUP INC</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22, 2016</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(Luxembourg) S.A.</w:t>
      </w:r>
    </w:p>
    <w:p>
      <w:pPr>
        <w:spacing w:after="0" w:line="238" w:lineRule="auto"/>
        <w:rPr>
          <w:sz w:val="20"/>
          <w:szCs w:val="20"/>
          <w:color w:val="auto"/>
        </w:rPr>
      </w:pPr>
      <w:r>
        <w:rPr>
          <w:rFonts w:ascii="Courier New" w:cs="Courier New" w:eastAsia="Courier New" w:hAnsi="Courier New"/>
          <w:sz w:val="18"/>
          <w:szCs w:val="18"/>
          <w:color w:val="auto"/>
        </w:rPr>
        <w:t>BlackRock (Netherlands) B.V.</w:t>
      </w:r>
    </w:p>
    <w:p>
      <w:pPr>
        <w:spacing w:after="0"/>
        <w:rPr>
          <w:sz w:val="20"/>
          <w:szCs w:val="20"/>
          <w:color w:val="auto"/>
        </w:rPr>
      </w:pPr>
      <w:r>
        <w:rPr>
          <w:rFonts w:ascii="Courier New" w:cs="Courier New" w:eastAsia="Courier New" w:hAnsi="Courier New"/>
          <w:sz w:val="18"/>
          <w:szCs w:val="18"/>
          <w:color w:val="auto"/>
        </w:rPr>
        <w:t>BlackRock Advisors (UK) Limited</w:t>
      </w:r>
    </w:p>
    <w:p>
      <w:pPr>
        <w:spacing w:after="0" w:line="237" w:lineRule="auto"/>
        <w:rPr>
          <w:sz w:val="20"/>
          <w:szCs w:val="20"/>
          <w:color w:val="auto"/>
        </w:rPr>
      </w:pPr>
      <w:r>
        <w:rPr>
          <w:rFonts w:ascii="Courier New" w:cs="Courier New" w:eastAsia="Courier New" w:hAnsi="Courier New"/>
          <w:sz w:val="18"/>
          <w:szCs w:val="18"/>
          <w:color w:val="auto"/>
        </w:rPr>
        <w:t>BlackRock Advisors, LLC</w:t>
      </w:r>
    </w:p>
    <w:p>
      <w:pPr>
        <w:spacing w:after="0" w:line="238" w:lineRule="auto"/>
        <w:rPr>
          <w:sz w:val="20"/>
          <w:szCs w:val="20"/>
          <w:color w:val="auto"/>
        </w:rPr>
      </w:pPr>
      <w:r>
        <w:rPr>
          <w:rFonts w:ascii="Courier New" w:cs="Courier New" w:eastAsia="Courier New" w:hAnsi="Courier New"/>
          <w:sz w:val="18"/>
          <w:szCs w:val="18"/>
          <w:color w:val="auto"/>
        </w:rPr>
        <w:t>BlackRock Asset Management Canada Limited</w:t>
      </w:r>
    </w:p>
    <w:p>
      <w:pPr>
        <w:spacing w:after="0"/>
        <w:rPr>
          <w:sz w:val="20"/>
          <w:szCs w:val="20"/>
          <w:color w:val="auto"/>
        </w:rPr>
      </w:pPr>
      <w:r>
        <w:rPr>
          <w:rFonts w:ascii="Courier New" w:cs="Courier New" w:eastAsia="Courier New" w:hAnsi="Courier New"/>
          <w:sz w:val="18"/>
          <w:szCs w:val="18"/>
          <w:color w:val="auto"/>
        </w:rPr>
        <w:t>BlackRock Asset Management Ireland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spacing w:after="0"/>
        <w:rPr>
          <w:sz w:val="20"/>
          <w:szCs w:val="20"/>
          <w:color w:val="auto"/>
        </w:rPr>
      </w:pPr>
      <w:r>
        <w:rPr>
          <w:rFonts w:ascii="Courier New" w:cs="Courier New" w:eastAsia="Courier New" w:hAnsi="Courier New"/>
          <w:sz w:val="18"/>
          <w:szCs w:val="18"/>
          <w:color w:val="auto"/>
        </w:rPr>
        <w:t>BlackRock Asset Management Schweiz AG</w:t>
      </w:r>
    </w:p>
    <w:p>
      <w:pPr>
        <w:spacing w:after="0" w:line="237" w:lineRule="auto"/>
        <w:rPr>
          <w:sz w:val="20"/>
          <w:szCs w:val="20"/>
          <w:color w:val="auto"/>
        </w:rPr>
      </w:pPr>
      <w:r>
        <w:rPr>
          <w:rFonts w:ascii="Courier New" w:cs="Courier New" w:eastAsia="Courier New" w:hAnsi="Courier New"/>
          <w:sz w:val="18"/>
          <w:szCs w:val="18"/>
          <w:color w:val="auto"/>
        </w:rPr>
        <w:t>BlackRock Capital Management</w:t>
      </w:r>
    </w:p>
    <w:p>
      <w:pPr>
        <w:spacing w:after="0"/>
        <w:rPr>
          <w:sz w:val="20"/>
          <w:szCs w:val="20"/>
          <w:color w:val="auto"/>
        </w:rPr>
      </w:pPr>
      <w:r>
        <w:rPr>
          <w:rFonts w:ascii="Courier New" w:cs="Courier New" w:eastAsia="Courier New" w:hAnsi="Courier New"/>
          <w:sz w:val="18"/>
          <w:szCs w:val="18"/>
          <w:color w:val="auto"/>
        </w:rPr>
        <w:t>BlackRock Financial Management, Inc.</w:t>
      </w:r>
    </w:p>
    <w:p>
      <w:pPr>
        <w:spacing w:after="0" w:line="237" w:lineRule="auto"/>
        <w:rPr>
          <w:sz w:val="20"/>
          <w:szCs w:val="20"/>
          <w:color w:val="auto"/>
        </w:rPr>
      </w:pPr>
      <w:r>
        <w:rPr>
          <w:rFonts w:ascii="Courier New" w:cs="Courier New" w:eastAsia="Courier New" w:hAnsi="Courier New"/>
          <w:sz w:val="18"/>
          <w:szCs w:val="18"/>
          <w:color w:val="auto"/>
        </w:rPr>
        <w:t>BlackRock Fund Advisors</w:t>
      </w:r>
    </w:p>
    <w:p>
      <w:pPr>
        <w:spacing w:after="0" w:line="238" w:lineRule="auto"/>
        <w:rPr>
          <w:sz w:val="20"/>
          <w:szCs w:val="20"/>
          <w:color w:val="auto"/>
        </w:rPr>
      </w:pPr>
      <w:r>
        <w:rPr>
          <w:rFonts w:ascii="Courier New" w:cs="Courier New" w:eastAsia="Courier New" w:hAnsi="Courier New"/>
          <w:sz w:val="18"/>
          <w:szCs w:val="18"/>
          <w:color w:val="auto"/>
        </w:rPr>
        <w:t>BlackRock Fund Managers Ltd</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International Limited</w:t>
      </w:r>
    </w:p>
    <w:p>
      <w:pPr>
        <w:spacing w:after="0"/>
        <w:rPr>
          <w:sz w:val="20"/>
          <w:szCs w:val="20"/>
          <w:color w:val="auto"/>
        </w:rPr>
      </w:pPr>
      <w:r>
        <w:rPr>
          <w:rFonts w:ascii="Courier New" w:cs="Courier New" w:eastAsia="Courier New" w:hAnsi="Courier New"/>
          <w:sz w:val="18"/>
          <w:szCs w:val="18"/>
          <w:color w:val="auto"/>
        </w:rPr>
        <w:t>BlackRock Investment Management (Australia) Limited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(UK) Ltd</w:t>
      </w:r>
    </w:p>
    <w:p>
      <w:pPr>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37" w:lineRule="auto"/>
        <w:rPr>
          <w:sz w:val="20"/>
          <w:szCs w:val="20"/>
          <w:color w:val="auto"/>
        </w:rPr>
      </w:pPr>
      <w:r>
        <w:rPr>
          <w:rFonts w:ascii="Courier New" w:cs="Courier New" w:eastAsia="Courier New" w:hAnsi="Courier New"/>
          <w:sz w:val="18"/>
          <w:szCs w:val="18"/>
          <w:color w:val="auto"/>
        </w:rPr>
        <w:t>BlackRock Japan Co Ltd</w:t>
      </w:r>
    </w:p>
    <w:p>
      <w:pPr>
        <w:spacing w:after="0" w:line="238" w:lineRule="auto"/>
        <w:rPr>
          <w:sz w:val="20"/>
          <w:szCs w:val="20"/>
          <w:color w:val="auto"/>
        </w:rPr>
      </w:pPr>
      <w:r>
        <w:rPr>
          <w:rFonts w:ascii="Courier New" w:cs="Courier New" w:eastAsia="Courier New" w:hAnsi="Courier New"/>
          <w:sz w:val="18"/>
          <w:szCs w:val="18"/>
          <w:color w:val="auto"/>
        </w:rPr>
        <w:t>BlackRock Life Limited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p>
      <w:pPr>
        <w:sectPr>
          <w:pgSz w:w="11900" w:h="16838" w:orient="portrait"/>
          <w:cols w:equalWidth="0" w:num="1">
            <w:col w:w="10219"/>
          </w:cols>
          <w:pgMar w:left="240" w:top="339"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2020-01-19T12:43:30Z</dcterms:created>
  <dcterms:modified xsi:type="dcterms:W3CDTF">2020-01-19T12:43:30Z</dcterms:modified>
</cp:coreProperties>
</file>