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Schedule 13G</w:t>
      </w:r>
    </w:p>
    <w:p>
      <w:pPr>
        <w:spacing w:after="0" w:line="2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Under the Securities Exchange Act of 1934</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3 )*</w:t>
      </w: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8"/>
          <w:szCs w:val="18"/>
          <w:color w:val="auto"/>
        </w:rPr>
        <w:t>Name of issuer: Principal Financial Group Inc</w:t>
      </w: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Title of Class of Securities: Common Stock</w:t>
      </w: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CUSIP Number: 74251V102</w:t>
      </w:r>
    </w:p>
    <w:p>
      <w:pPr>
        <w:spacing w:after="0" w:line="200" w:lineRule="exact"/>
        <w:rPr>
          <w:sz w:val="24"/>
          <w:szCs w:val="24"/>
          <w:color w:val="auto"/>
        </w:rPr>
      </w:pP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Date of Event Which Requires Filing of this Statement: </w:t>
      </w:r>
      <w:r>
        <w:rPr>
          <w:rFonts w:ascii="Arial" w:cs="Arial" w:eastAsia="Arial" w:hAnsi="Arial"/>
          <w:sz w:val="18"/>
          <w:szCs w:val="18"/>
          <w:b w:val="1"/>
          <w:bCs w:val="1"/>
          <w:color w:val="auto"/>
        </w:rPr>
        <w:t>December 31, 2015</w:t>
      </w:r>
    </w:p>
    <w:p>
      <w:pPr>
        <w:spacing w:after="0" w:line="227"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3" w:lineRule="exact"/>
        <w:rPr>
          <w:sz w:val="24"/>
          <w:szCs w:val="24"/>
          <w:color w:val="auto"/>
        </w:rPr>
      </w:pPr>
    </w:p>
    <w:p>
      <w:pPr>
        <w:jc w:val="both"/>
        <w:ind w:left="100" w:right="10020" w:hanging="3"/>
        <w:spacing w:after="0" w:line="300" w:lineRule="auto"/>
        <w:tabs>
          <w:tab w:leader="none" w:pos="393"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 ) Rule 13d-1(c) ( ) Rule 13d-1(d)</w:t>
      </w:r>
    </w:p>
    <w:p>
      <w:pPr>
        <w:spacing w:after="0" w:line="156" w:lineRule="exact"/>
        <w:rPr>
          <w:sz w:val="24"/>
          <w:szCs w:val="24"/>
          <w:color w:val="auto"/>
        </w:rPr>
      </w:pPr>
    </w:p>
    <w:p>
      <w:pPr>
        <w:ind w:right="220" w:firstLine="90"/>
        <w:spacing w:after="0" w:line="275"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1" w:lineRule="exact"/>
        <w:rPr>
          <w:sz w:val="24"/>
          <w:szCs w:val="24"/>
          <w:color w:val="auto"/>
        </w:rPr>
      </w:pPr>
    </w:p>
    <w:p>
      <w:pPr>
        <w:ind w:firstLine="86"/>
        <w:spacing w:after="0" w:line="340"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39" w:lineRule="exact"/>
        <w:rPr>
          <w:sz w:val="24"/>
          <w:szCs w:val="24"/>
          <w:color w:val="auto"/>
        </w:rPr>
      </w:pPr>
    </w:p>
    <w:p>
      <w:pPr>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370840</wp:posOffset>
            </wp:positionV>
            <wp:extent cx="726821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1420"/>
          </w:cols>
          <w:pgMar w:left="240" w:top="475" w:right="239" w:bottom="1440" w:gutter="0" w:footer="0" w:header="0"/>
        </w:sectPr>
      </w:pPr>
    </w:p>
    <w:bookmarkStart w:id="1" w:name="page2"/>
    <w:bookmarkEnd w:id="1"/>
    <w:p>
      <w:pPr>
        <w:ind w:left="5560"/>
        <w:spacing w:after="0"/>
        <w:rPr>
          <w:sz w:val="20"/>
          <w:szCs w:val="20"/>
          <w:color w:val="auto"/>
        </w:rPr>
      </w:pPr>
      <w:r>
        <w:rPr>
          <w:rFonts w:ascii="Arial" w:cs="Arial" w:eastAsia="Arial" w:hAnsi="Arial"/>
          <w:sz w:val="18"/>
          <w:szCs w:val="18"/>
          <w:color w:val="auto"/>
        </w:rPr>
        <w:t>13G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CUSIP No.: 74251V102</w:t>
      </w:r>
    </w:p>
    <w:p>
      <w:pPr>
        <w:spacing w:after="0" w:line="200" w:lineRule="exact"/>
        <w:rPr>
          <w:sz w:val="20"/>
          <w:szCs w:val="20"/>
          <w:color w:val="auto"/>
        </w:rPr>
      </w:pPr>
    </w:p>
    <w:p>
      <w:pPr>
        <w:spacing w:after="0" w:line="224" w:lineRule="exact"/>
        <w:rPr>
          <w:sz w:val="20"/>
          <w:szCs w:val="20"/>
          <w:color w:val="auto"/>
        </w:rPr>
      </w:pPr>
    </w:p>
    <w:p>
      <w:pPr>
        <w:ind w:left="240" w:hanging="232"/>
        <w:spacing w:after="0"/>
        <w:tabs>
          <w:tab w:leader="none" w:pos="2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2"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S.S. OR I.R.S. IDENTIFICATION NO. OF ABOVE PERSON</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80" w:type="dxa"/>
            <w:vAlign w:val="bottom"/>
            <w:gridSpan w:val="2"/>
          </w:tcPr>
          <w:p>
            <w:pPr>
              <w:ind w:left="100"/>
              <w:spacing w:after="0"/>
              <w:rPr>
                <w:sz w:val="20"/>
                <w:szCs w:val="20"/>
                <w:color w:val="auto"/>
              </w:rPr>
            </w:pPr>
            <w:r>
              <w:rPr>
                <w:rFonts w:ascii="Arial" w:cs="Arial" w:eastAsia="Arial" w:hAnsi="Arial"/>
                <w:sz w:val="18"/>
                <w:szCs w:val="18"/>
                <w:color w:val="auto"/>
              </w:rPr>
              <w:t>The Vanguard Group - 23-1945930</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430"/>
        </w:trPr>
        <w:tc>
          <w:tcPr>
            <w:tcW w:w="180" w:type="dxa"/>
            <w:vAlign w:val="bottom"/>
          </w:tcPr>
          <w:p>
            <w:pPr>
              <w:jc w:val="right"/>
              <w:spacing w:after="0"/>
              <w:rPr>
                <w:sz w:val="20"/>
                <w:szCs w:val="20"/>
                <w:color w:val="auto"/>
              </w:rPr>
            </w:pPr>
            <w:r>
              <w:rPr>
                <w:rFonts w:ascii="Arial" w:cs="Arial" w:eastAsia="Arial" w:hAnsi="Arial"/>
                <w:sz w:val="18"/>
                <w:szCs w:val="18"/>
                <w:color w:val="auto"/>
                <w:w w:val="79"/>
              </w:rPr>
              <w:t>2.</w:t>
            </w:r>
          </w:p>
        </w:tc>
        <w:tc>
          <w:tcPr>
            <w:tcW w:w="5600" w:type="dxa"/>
            <w:vAlign w:val="bottom"/>
          </w:tcPr>
          <w:p>
            <w:pPr>
              <w:ind w:left="60"/>
              <w:spacing w:after="0"/>
              <w:rPr>
                <w:sz w:val="20"/>
                <w:szCs w:val="20"/>
                <w:color w:val="auto"/>
              </w:rPr>
            </w:pPr>
            <w:r>
              <w:rPr>
                <w:rFonts w:ascii="Arial" w:cs="Arial" w:eastAsia="Arial" w:hAnsi="Arial"/>
                <w:sz w:val="18"/>
                <w:szCs w:val="18"/>
                <w:color w:val="auto"/>
              </w:rPr>
              <w:t>CHECK THE APPROPRIATE [LINE] IF A MEMBER OF A GROUP</w:t>
            </w: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90"/>
        </w:trPr>
        <w:tc>
          <w:tcPr>
            <w:tcW w:w="180" w:type="dxa"/>
            <w:vAlign w:val="bottom"/>
          </w:tcPr>
          <w:p>
            <w:pPr>
              <w:spacing w:after="0"/>
              <w:rPr>
                <w:sz w:val="24"/>
                <w:szCs w:val="24"/>
                <w:color w:val="auto"/>
              </w:rPr>
            </w:pPr>
          </w:p>
        </w:tc>
        <w:tc>
          <w:tcPr>
            <w:tcW w:w="5600" w:type="dxa"/>
            <w:vAlign w:val="bottom"/>
          </w:tcPr>
          <w:p>
            <w:pPr>
              <w:ind w:left="1240"/>
              <w:spacing w:after="0"/>
              <w:rPr>
                <w:sz w:val="20"/>
                <w:szCs w:val="20"/>
                <w:color w:val="auto"/>
              </w:rPr>
            </w:pPr>
            <w:r>
              <w:rPr>
                <w:rFonts w:ascii="Arial" w:cs="Arial" w:eastAsia="Arial" w:hAnsi="Arial"/>
                <w:sz w:val="18"/>
                <w:szCs w:val="18"/>
                <w:color w:val="auto"/>
              </w:rPr>
              <w:t>A.</w:t>
            </w:r>
          </w:p>
        </w:tc>
        <w:tc>
          <w:tcPr>
            <w:tcW w:w="800" w:type="dxa"/>
            <w:vAlign w:val="bottom"/>
            <w:gridSpan w:val="2"/>
          </w:tcPr>
          <w:p>
            <w:pPr>
              <w:ind w:left="480"/>
              <w:spacing w:after="0"/>
              <w:rPr>
                <w:sz w:val="20"/>
                <w:szCs w:val="20"/>
                <w:color w:val="auto"/>
              </w:rPr>
            </w:pPr>
            <w:r>
              <w:rPr>
                <w:rFonts w:ascii="Arial" w:cs="Arial" w:eastAsia="Arial" w:hAnsi="Arial"/>
                <w:sz w:val="18"/>
                <w:szCs w:val="18"/>
                <w:color w:val="auto"/>
                <w:w w:val="88"/>
              </w:rPr>
              <w:t>B. X</w:t>
            </w:r>
          </w:p>
        </w:tc>
      </w:tr>
      <w:tr>
        <w:trPr>
          <w:trHeight w:val="451"/>
        </w:trPr>
        <w:tc>
          <w:tcPr>
            <w:tcW w:w="180" w:type="dxa"/>
            <w:vAlign w:val="bottom"/>
          </w:tcPr>
          <w:p>
            <w:pPr>
              <w:jc w:val="right"/>
              <w:spacing w:after="0"/>
              <w:rPr>
                <w:sz w:val="20"/>
                <w:szCs w:val="20"/>
                <w:color w:val="auto"/>
              </w:rPr>
            </w:pPr>
            <w:r>
              <w:rPr>
                <w:rFonts w:ascii="Arial" w:cs="Arial" w:eastAsia="Arial" w:hAnsi="Arial"/>
                <w:sz w:val="18"/>
                <w:szCs w:val="18"/>
                <w:color w:val="auto"/>
                <w:w w:val="79"/>
              </w:rPr>
              <w:t>3.</w:t>
            </w:r>
          </w:p>
        </w:tc>
        <w:tc>
          <w:tcPr>
            <w:tcW w:w="5600" w:type="dxa"/>
            <w:vAlign w:val="bottom"/>
          </w:tcPr>
          <w:p>
            <w:pPr>
              <w:ind w:left="60"/>
              <w:spacing w:after="0"/>
              <w:rPr>
                <w:sz w:val="20"/>
                <w:szCs w:val="20"/>
                <w:color w:val="auto"/>
              </w:rPr>
            </w:pPr>
            <w:r>
              <w:rPr>
                <w:rFonts w:ascii="Arial" w:cs="Arial" w:eastAsia="Arial" w:hAnsi="Arial"/>
                <w:sz w:val="18"/>
                <w:szCs w:val="18"/>
                <w:color w:val="auto"/>
              </w:rPr>
              <w:t>SEC USE ONLY</w:t>
            </w:r>
          </w:p>
        </w:tc>
        <w:tc>
          <w:tcPr>
            <w:tcW w:w="6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r>
      <w:tr>
        <w:trPr>
          <w:trHeight w:val="860"/>
        </w:trPr>
        <w:tc>
          <w:tcPr>
            <w:tcW w:w="180" w:type="dxa"/>
            <w:vAlign w:val="bottom"/>
          </w:tcPr>
          <w:p>
            <w:pPr>
              <w:jc w:val="right"/>
              <w:spacing w:after="0"/>
              <w:rPr>
                <w:sz w:val="20"/>
                <w:szCs w:val="20"/>
                <w:color w:val="auto"/>
              </w:rPr>
            </w:pPr>
            <w:r>
              <w:rPr>
                <w:rFonts w:ascii="Arial" w:cs="Arial" w:eastAsia="Arial" w:hAnsi="Arial"/>
                <w:sz w:val="18"/>
                <w:szCs w:val="18"/>
                <w:color w:val="auto"/>
                <w:w w:val="79"/>
              </w:rPr>
              <w:t>4.</w:t>
            </w:r>
          </w:p>
        </w:tc>
        <w:tc>
          <w:tcPr>
            <w:tcW w:w="5600" w:type="dxa"/>
            <w:vAlign w:val="bottom"/>
          </w:tcPr>
          <w:p>
            <w:pPr>
              <w:ind w:left="60"/>
              <w:spacing w:after="0"/>
              <w:rPr>
                <w:sz w:val="20"/>
                <w:szCs w:val="20"/>
                <w:color w:val="auto"/>
              </w:rPr>
            </w:pPr>
            <w:r>
              <w:rPr>
                <w:rFonts w:ascii="Arial" w:cs="Arial" w:eastAsia="Arial" w:hAnsi="Arial"/>
                <w:sz w:val="18"/>
                <w:szCs w:val="18"/>
                <w:color w:val="auto"/>
              </w:rPr>
              <w:t>CITIZENSHIP OF PLACE OF ORGANIZATION</w:t>
            </w: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46" w:lineRule="exact"/>
        <w:rPr>
          <w:sz w:val="20"/>
          <w:szCs w:val="20"/>
          <w:color w:val="auto"/>
        </w:rPr>
      </w:pPr>
    </w:p>
    <w:p>
      <w:pPr>
        <w:ind w:left="100" w:right="8139" w:hanging="92"/>
        <w:spacing w:after="0" w:line="498" w:lineRule="auto"/>
        <w:tabs>
          <w:tab w:leader="none" w:pos="234"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VOTING POWER 513,087</w:t>
      </w:r>
    </w:p>
    <w:p>
      <w:pPr>
        <w:spacing w:after="0" w:line="1" w:lineRule="exact"/>
        <w:rPr>
          <w:rFonts w:ascii="Arial" w:cs="Arial" w:eastAsia="Arial" w:hAnsi="Arial"/>
          <w:sz w:val="18"/>
          <w:szCs w:val="18"/>
          <w:color w:val="auto"/>
        </w:rPr>
      </w:pPr>
    </w:p>
    <w:p>
      <w:pPr>
        <w:ind w:left="100" w:right="7859" w:hanging="92"/>
        <w:spacing w:after="0" w:line="498" w:lineRule="auto"/>
        <w:tabs>
          <w:tab w:leader="none" w:pos="234"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VOTING POWER 29,300</w:t>
      </w:r>
    </w:p>
    <w:p>
      <w:pPr>
        <w:spacing w:after="0" w:line="1" w:lineRule="exact"/>
        <w:rPr>
          <w:rFonts w:ascii="Arial" w:cs="Arial" w:eastAsia="Arial" w:hAnsi="Arial"/>
          <w:sz w:val="18"/>
          <w:szCs w:val="18"/>
          <w:color w:val="auto"/>
        </w:rPr>
      </w:pPr>
    </w:p>
    <w:p>
      <w:pPr>
        <w:ind w:left="100" w:right="7739" w:hanging="92"/>
        <w:spacing w:after="0" w:line="498" w:lineRule="auto"/>
        <w:tabs>
          <w:tab w:leader="none" w:pos="234"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DISPOSITIVE POWER 23,748,912</w:t>
      </w:r>
    </w:p>
    <w:p>
      <w:pPr>
        <w:spacing w:after="0" w:line="1" w:lineRule="exact"/>
        <w:rPr>
          <w:rFonts w:ascii="Arial" w:cs="Arial" w:eastAsia="Arial" w:hAnsi="Arial"/>
          <w:sz w:val="18"/>
          <w:szCs w:val="18"/>
          <w:color w:val="auto"/>
        </w:rPr>
      </w:pPr>
    </w:p>
    <w:p>
      <w:pPr>
        <w:ind w:left="140" w:right="7459" w:hanging="132"/>
        <w:spacing w:after="0" w:line="498" w:lineRule="auto"/>
        <w:tabs>
          <w:tab w:leader="none" w:pos="23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DISPOSITIVE POWER 548,160</w:t>
      </w:r>
    </w:p>
    <w:p>
      <w:pPr>
        <w:spacing w:after="0" w:line="1" w:lineRule="exact"/>
        <w:rPr>
          <w:rFonts w:ascii="Arial" w:cs="Arial" w:eastAsia="Arial" w:hAnsi="Arial"/>
          <w:sz w:val="18"/>
          <w:szCs w:val="18"/>
          <w:color w:val="auto"/>
        </w:rPr>
      </w:pPr>
    </w:p>
    <w:p>
      <w:pPr>
        <w:ind w:left="100" w:right="3479" w:hanging="92"/>
        <w:spacing w:after="0" w:line="498" w:lineRule="auto"/>
        <w:tabs>
          <w:tab w:leader="none" w:pos="224" w:val="left"/>
        </w:tabs>
        <w:numPr>
          <w:ilvl w:val="0"/>
          <w:numId w:val="3"/>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24,297,072</w:t>
      </w:r>
    </w:p>
    <w:p>
      <w:pPr>
        <w:spacing w:after="0" w:line="1" w:lineRule="exact"/>
        <w:rPr>
          <w:rFonts w:ascii="Arial" w:cs="Arial" w:eastAsia="Arial" w:hAnsi="Arial"/>
          <w:sz w:val="18"/>
          <w:szCs w:val="18"/>
          <w:color w:val="auto"/>
        </w:rPr>
      </w:pPr>
    </w:p>
    <w:p>
      <w:pPr>
        <w:ind w:left="100" w:right="2859" w:hanging="92"/>
        <w:spacing w:after="0" w:line="498" w:lineRule="auto"/>
        <w:tabs>
          <w:tab w:leader="none" w:pos="324"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 N/A</w:t>
      </w:r>
    </w:p>
    <w:p>
      <w:pPr>
        <w:spacing w:after="0" w:line="1" w:lineRule="exact"/>
        <w:rPr>
          <w:rFonts w:ascii="Arial" w:cs="Arial" w:eastAsia="Arial" w:hAnsi="Arial"/>
          <w:sz w:val="18"/>
          <w:szCs w:val="18"/>
          <w:color w:val="auto"/>
        </w:rPr>
      </w:pPr>
    </w:p>
    <w:p>
      <w:pPr>
        <w:ind w:left="320" w:hanging="312"/>
        <w:spacing w:after="0"/>
        <w:tabs>
          <w:tab w:leader="none" w:pos="3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8.29%</w:t>
      </w:r>
    </w:p>
    <w:p>
      <w:pPr>
        <w:spacing w:after="0" w:line="223" w:lineRule="exact"/>
        <w:rPr>
          <w:sz w:val="20"/>
          <w:szCs w:val="20"/>
          <w:color w:val="auto"/>
        </w:rPr>
      </w:pPr>
    </w:p>
    <w:p>
      <w:pPr>
        <w:ind w:left="320" w:hanging="312"/>
        <w:spacing w:after="0"/>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23"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234315</wp:posOffset>
            </wp:positionV>
            <wp:extent cx="726821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0219"/>
          </w:cols>
          <w:pgMar w:left="240" w:top="609"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Washington, D.C. 20549</w:t>
      </w:r>
    </w:p>
    <w:p>
      <w:pPr>
        <w:spacing w:after="0" w:line="209"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SCHEDULE 13G</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Under the Securities Act of 1934</w:t>
      </w:r>
    </w:p>
    <w:p>
      <w:pPr>
        <w:spacing w:after="0" w:line="209" w:lineRule="exact"/>
        <w:rPr>
          <w:sz w:val="20"/>
          <w:szCs w:val="20"/>
          <w:color w:val="auto"/>
        </w:rPr>
      </w:pPr>
    </w:p>
    <w:p>
      <w:pPr>
        <w:ind w:right="4979"/>
        <w:spacing w:after="0" w:line="498" w:lineRule="auto"/>
        <w:rPr>
          <w:sz w:val="20"/>
          <w:szCs w:val="20"/>
          <w:color w:val="auto"/>
        </w:rPr>
      </w:pPr>
      <w:r>
        <w:rPr>
          <w:rFonts w:ascii="Arial" w:cs="Arial" w:eastAsia="Arial" w:hAnsi="Arial"/>
          <w:sz w:val="18"/>
          <w:szCs w:val="18"/>
          <w:color w:val="auto"/>
        </w:rPr>
        <w:t xml:space="preserve">Check the following [line] if a fee is being paid with this statement N/A </w:t>
      </w:r>
      <w:r>
        <w:rPr>
          <w:rFonts w:ascii="Arial" w:cs="Arial" w:eastAsia="Arial" w:hAnsi="Arial"/>
          <w:sz w:val="18"/>
          <w:szCs w:val="18"/>
          <w:u w:val="single" w:color="auto"/>
          <w:color w:val="auto"/>
        </w:rPr>
        <w:t>Item 1(a) - Name of Issuer:</w:t>
      </w:r>
    </w:p>
    <w:p>
      <w:pPr>
        <w:spacing w:after="0" w:line="1" w:lineRule="exact"/>
        <w:rPr>
          <w:sz w:val="20"/>
          <w:szCs w:val="20"/>
          <w:color w:val="auto"/>
        </w:rPr>
      </w:pPr>
    </w:p>
    <w:p>
      <w:pPr>
        <w:ind w:left="100"/>
        <w:spacing w:after="0"/>
        <w:rPr>
          <w:sz w:val="20"/>
          <w:szCs w:val="20"/>
          <w:color w:val="auto"/>
        </w:rPr>
      </w:pPr>
      <w:r>
        <w:rPr>
          <w:rFonts w:ascii="Arial" w:cs="Arial" w:eastAsia="Arial" w:hAnsi="Arial"/>
          <w:sz w:val="18"/>
          <w:szCs w:val="18"/>
          <w:color w:val="auto"/>
        </w:rPr>
        <w:t>Principal Financial Group Inc</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1(b) - Address of Issuer's Principal Executive Offices: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711 High Street</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Des Moines, Ia 50392-0300</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2(a) - Name of Person Filing:</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2(b) – Address of Principal Business Office or, if none, residence:</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100 Vanguard Blvd.</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2(c) – Citizenship:</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2(d) - Title of Class of Securities: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2(e) - CUSIP Number</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74251V102</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3 - Type of Filing:</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6"/>
          <w:szCs w:val="16"/>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4 - Ownership:</w:t>
      </w:r>
    </w:p>
    <w:p>
      <w:pPr>
        <w:spacing w:after="0" w:line="223" w:lineRule="exact"/>
        <w:rPr>
          <w:sz w:val="20"/>
          <w:szCs w:val="20"/>
          <w:color w:val="auto"/>
        </w:rPr>
      </w:pPr>
    </w:p>
    <w:p>
      <w:pPr>
        <w:ind w:left="100" w:right="7759" w:hanging="3"/>
        <w:spacing w:after="0" w:line="498" w:lineRule="auto"/>
        <w:tabs>
          <w:tab w:leader="none" w:pos="344" w:val="left"/>
        </w:tabs>
        <w:numPr>
          <w:ilvl w:val="0"/>
          <w:numId w:val="5"/>
        </w:numPr>
        <w:rPr>
          <w:rFonts w:ascii="Arial" w:cs="Arial" w:eastAsia="Arial" w:hAnsi="Arial"/>
          <w:sz w:val="18"/>
          <w:szCs w:val="18"/>
          <w:color w:val="auto"/>
        </w:rPr>
      </w:pPr>
      <w:r>
        <w:rPr>
          <w:rFonts w:ascii="Arial" w:cs="Arial" w:eastAsia="Arial" w:hAnsi="Arial"/>
          <w:sz w:val="18"/>
          <w:szCs w:val="18"/>
          <w:color w:val="auto"/>
        </w:rPr>
        <w:t>Amount Beneficially Owned: 24,297,072</w:t>
      </w:r>
    </w:p>
    <w:p>
      <w:pPr>
        <w:spacing w:after="0" w:line="1" w:lineRule="exact"/>
        <w:rPr>
          <w:rFonts w:ascii="Arial" w:cs="Arial" w:eastAsia="Arial" w:hAnsi="Arial"/>
          <w:sz w:val="18"/>
          <w:szCs w:val="18"/>
          <w:color w:val="auto"/>
        </w:rPr>
      </w:pPr>
    </w:p>
    <w:p>
      <w:pPr>
        <w:ind w:left="360" w:hanging="263"/>
        <w:spacing w:after="0"/>
        <w:tabs>
          <w:tab w:leader="none" w:pos="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8.29%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234315</wp:posOffset>
            </wp:positionV>
            <wp:extent cx="726821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0219"/>
          </w:cols>
          <w:pgMar w:left="240" w:top="609" w:right="1440" w:bottom="1440" w:gutter="0" w:footer="0" w:header="0"/>
        </w:sectPr>
      </w:pPr>
    </w:p>
    <w:bookmarkStart w:id="3" w:name="page4"/>
    <w:bookmarkEnd w:id="3"/>
    <w:p>
      <w:pPr>
        <w:ind w:left="380" w:hanging="283"/>
        <w:spacing w:after="0"/>
        <w:tabs>
          <w:tab w:leader="none" w:pos="3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3" w:lineRule="exact"/>
        <w:rPr>
          <w:rFonts w:ascii="Arial" w:cs="Arial" w:eastAsia="Arial" w:hAnsi="Arial"/>
          <w:sz w:val="18"/>
          <w:szCs w:val="18"/>
          <w:color w:val="auto"/>
        </w:rPr>
      </w:pPr>
    </w:p>
    <w:p>
      <w:pPr>
        <w:ind w:left="360" w:hanging="263"/>
        <w:spacing w:after="0"/>
        <w:tabs>
          <w:tab w:leader="none" w:pos="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sole power to vote or direct to vote: 513,087</w:t>
      </w:r>
    </w:p>
    <w:p>
      <w:pPr>
        <w:spacing w:after="0" w:line="223" w:lineRule="exact"/>
        <w:rPr>
          <w:rFonts w:ascii="Arial" w:cs="Arial" w:eastAsia="Arial" w:hAnsi="Arial"/>
          <w:sz w:val="18"/>
          <w:szCs w:val="18"/>
          <w:color w:val="auto"/>
        </w:rPr>
      </w:pPr>
    </w:p>
    <w:p>
      <w:pPr>
        <w:ind w:left="400" w:hanging="303"/>
        <w:spacing w:after="0"/>
        <w:tabs>
          <w:tab w:leader="none" w:pos="4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shared power to vote or direct to vote: 29,300</w:t>
      </w:r>
    </w:p>
    <w:p>
      <w:pPr>
        <w:spacing w:after="0" w:line="223" w:lineRule="exact"/>
        <w:rPr>
          <w:rFonts w:ascii="Arial" w:cs="Arial" w:eastAsia="Arial" w:hAnsi="Arial"/>
          <w:sz w:val="18"/>
          <w:szCs w:val="18"/>
          <w:color w:val="auto"/>
        </w:rPr>
      </w:pPr>
    </w:p>
    <w:p>
      <w:pPr>
        <w:ind w:left="100" w:right="6040" w:hanging="3"/>
        <w:spacing w:after="0" w:line="561" w:lineRule="auto"/>
        <w:tabs>
          <w:tab w:leader="none" w:pos="458" w:val="left"/>
        </w:tabs>
        <w:numPr>
          <w:ilvl w:val="0"/>
          <w:numId w:val="9"/>
        </w:numPr>
        <w:rPr>
          <w:rFonts w:ascii="Arial" w:cs="Arial" w:eastAsia="Arial" w:hAnsi="Arial"/>
          <w:sz w:val="16"/>
          <w:szCs w:val="16"/>
          <w:color w:val="auto"/>
        </w:rPr>
      </w:pPr>
      <w:r>
        <w:rPr>
          <w:rFonts w:ascii="Arial" w:cs="Arial" w:eastAsia="Arial" w:hAnsi="Arial"/>
          <w:sz w:val="16"/>
          <w:szCs w:val="16"/>
          <w:color w:val="auto"/>
        </w:rPr>
        <w:t>sole power to dispose of or to direct the disposition of: 23,748,912 (iv) shared power to dispose or to direct the disposition of: 548,160</w:t>
      </w:r>
    </w:p>
    <w:p>
      <w:pPr>
        <w:spacing w:after="0"/>
        <w:rPr>
          <w:sz w:val="20"/>
          <w:szCs w:val="20"/>
          <w:color w:val="auto"/>
        </w:rPr>
      </w:pPr>
      <w:r>
        <w:rPr>
          <w:rFonts w:ascii="Arial" w:cs="Arial" w:eastAsia="Arial" w:hAnsi="Arial"/>
          <w:sz w:val="18"/>
          <w:szCs w:val="18"/>
          <w:u w:val="single" w:color="auto"/>
          <w:color w:val="auto"/>
        </w:rPr>
        <w:t>Comments:</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5 - Ownership of Five Percent or Less of a Class:</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6 - Ownership of More Than Five Percent on Behalf of Another Person:</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7 - Identification and Classification of the Subsidiary Which Acquired The Security Being Reported on by the Parent Holding Company</w:t>
      </w:r>
      <w:r>
        <w:rPr>
          <w:rFonts w:ascii="Arial" w:cs="Arial" w:eastAsia="Arial" w:hAnsi="Arial"/>
          <w:sz w:val="18"/>
          <w:szCs w:val="18"/>
          <w:color w:val="auto"/>
        </w:rPr>
        <w:t>:</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See Attached Appendix A</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8 - Identification and Classification of Members of Group:</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9 - Notice of Dissolution of Group:</w:t>
      </w:r>
    </w:p>
    <w:p>
      <w:pPr>
        <w:spacing w:after="0" w:line="2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10 - Certification:</w:t>
      </w:r>
    </w:p>
    <w:p>
      <w:pPr>
        <w:spacing w:after="0" w:line="223" w:lineRule="exact"/>
        <w:rPr>
          <w:sz w:val="20"/>
          <w:szCs w:val="20"/>
          <w:color w:val="auto"/>
        </w:rPr>
      </w:pPr>
    </w:p>
    <w:p>
      <w:pPr>
        <w:jc w:val="both"/>
        <w:ind w:firstLine="90"/>
        <w:spacing w:after="0" w:line="262"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w:t>
      </w:r>
    </w:p>
    <w:p>
      <w:pPr>
        <w:spacing w:after="0" w:line="223"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Date: 02/10/16</w:t>
      </w:r>
    </w:p>
    <w:p>
      <w:pPr>
        <w:spacing w:after="0" w:line="22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3061335</wp:posOffset>
            </wp:positionH>
            <wp:positionV relativeFrom="paragraph">
              <wp:posOffset>-10795</wp:posOffset>
            </wp:positionV>
            <wp:extent cx="12668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825" cy="8255"/>
                    </a:xfrm>
                    <a:prstGeom prst="rect">
                      <a:avLst/>
                    </a:prstGeom>
                    <a:noFill/>
                  </pic:spPr>
                </pic:pic>
              </a:graphicData>
            </a:graphic>
          </wp:anchor>
        </w:drawing>
      </w:r>
    </w:p>
    <w:p>
      <w:pPr>
        <w:spacing w:after="0" w:line="2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 William McNabb III</w:t>
      </w:r>
    </w:p>
    <w:p>
      <w:pPr>
        <w:spacing w:after="0" w:line="22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President and Chief Executive Officer</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634365</wp:posOffset>
            </wp:positionV>
            <wp:extent cx="7268210" cy="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8210" cy="20955"/>
                    </a:xfrm>
                    <a:prstGeom prst="rect">
                      <a:avLst/>
                    </a:prstGeom>
                    <a:noFill/>
                  </pic:spPr>
                </pic:pic>
              </a:graphicData>
            </a:graphic>
          </wp:anchor>
        </w:drawing>
      </w:r>
    </w:p>
    <w:p>
      <w:pPr>
        <w:sectPr>
          <w:pgSz w:w="11900" w:h="16838" w:orient="portrait"/>
          <w:cols w:equalWidth="0" w:num="1">
            <w:col w:w="11300"/>
          </w:cols>
          <w:pgMar w:left="240" w:top="609" w:right="35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Appendix A</w:t>
      </w:r>
    </w:p>
    <w:p>
      <w:pPr>
        <w:spacing w:after="0" w:line="223" w:lineRule="exact"/>
        <w:rPr>
          <w:sz w:val="20"/>
          <w:szCs w:val="20"/>
          <w:color w:val="auto"/>
        </w:rPr>
      </w:pPr>
    </w:p>
    <w:p>
      <w:pPr>
        <w:ind w:right="120" w:firstLine="41"/>
        <w:spacing w:after="0" w:line="306"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425,860 shares or .14% of the Common Stock outstanding of the Company as a result of its serving as investment manager of collective trust accounts.</w:t>
      </w:r>
    </w:p>
    <w:p>
      <w:pPr>
        <w:spacing w:after="0" w:line="147" w:lineRule="exact"/>
        <w:rPr>
          <w:sz w:val="20"/>
          <w:szCs w:val="20"/>
          <w:color w:val="auto"/>
        </w:rPr>
      </w:pPr>
    </w:p>
    <w:p>
      <w:pPr>
        <w:spacing w:after="0" w:line="306"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209,527 shares or .07% of the Common Stock outstanding of the Company as a result of its serving as investment manager of Australian investment offerings.</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3061335</wp:posOffset>
            </wp:positionH>
            <wp:positionV relativeFrom="paragraph">
              <wp:posOffset>-10795</wp:posOffset>
            </wp:positionV>
            <wp:extent cx="12668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66825" cy="8255"/>
                    </a:xfrm>
                    <a:prstGeom prst="rect">
                      <a:avLst/>
                    </a:prstGeom>
                    <a:noFill/>
                  </pic:spPr>
                </pic:pic>
              </a:graphicData>
            </a:graphic>
          </wp:anchor>
        </w:drawing>
      </w: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William McNabb III</w:t>
      </w:r>
    </w:p>
    <w:p>
      <w:pPr>
        <w:spacing w:after="0" w:line="2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President and Chief Executive Officer</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sectPr>
      <w:pgSz w:w="11900" w:h="16838" w:orient="portrait"/>
      <w:cols w:equalWidth="0" w:num="1">
        <w:col w:w="11380"/>
      </w:cols>
      <w:pgMar w:left="240" w:top="1039"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upperLetter"/>
      <w:start w:val="24"/>
    </w:lvl>
  </w:abstractNum>
  <w:abstractNum w:abstractNumId="1">
    <w:nsid w:val="3D1B58BA"/>
    <w:multiLevelType w:val="hybridMultilevel"/>
    <w:lvl w:ilvl="0">
      <w:lvlJc w:val="left"/>
      <w:lvlText w:val="%1."/>
      <w:numFmt w:val="decimal"/>
      <w:start w:val="1"/>
    </w:lvl>
    <w:lvl w:ilvl="1">
      <w:lvlJc w:val="left"/>
      <w:lvlText w:val="%2"/>
      <w:numFmt w:val="upperLetter"/>
      <w:start w:val="1"/>
    </w:lvl>
  </w:abstractNum>
  <w:abstractNum w:abstractNumId="2">
    <w:nsid w:val="507ED7AB"/>
    <w:multiLevelType w:val="hybridMultilevel"/>
    <w:lvl w:ilvl="0">
      <w:lvlJc w:val="left"/>
      <w:lvlText w:val="%1."/>
      <w:numFmt w:val="decimal"/>
      <w:start w:val="5"/>
    </w:lvl>
  </w:abstractNum>
  <w:abstractNum w:abstractNumId="3">
    <w:nsid w:val="2EB141F2"/>
    <w:multiLevelType w:val="hybridMultilevel"/>
    <w:lvl w:ilvl="0">
      <w:lvlJc w:val="left"/>
      <w:lvlText w:val="%1."/>
      <w:numFmt w:val="decimal"/>
      <w:start w:val="12"/>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3"/>
    </w:lvl>
  </w:abstractNum>
  <w:abstractNum w:abstractNumId="6">
    <w:nsid w:val="7545E146"/>
    <w:multiLevelType w:val="hybridMultilevel"/>
    <w:lvl w:ilvl="0">
      <w:lvlJc w:val="left"/>
      <w:lvlText w:val="(%1)"/>
      <w:numFmt w:val="lowerLetter"/>
      <w:start w:val="9"/>
    </w:lvl>
  </w:abstractNum>
  <w:abstractNum w:abstractNumId="7">
    <w:nsid w:val="515F007C"/>
    <w:multiLevelType w:val="hybridMultilevel"/>
    <w:lvl w:ilvl="0">
      <w:lvlJc w:val="left"/>
      <w:lvlText w:val="(%1)"/>
      <w:numFmt w:val="lowerLetter"/>
      <w:start w:val="35"/>
    </w:lvl>
  </w:abstractNum>
  <w:abstractNum w:abstractNumId="8">
    <w:nsid w:val="5BD062C2"/>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2020-01-19T13:38:45Z</dcterms:created>
  <dcterms:modified xsi:type="dcterms:W3CDTF">2020-01-19T13:38:45Z</dcterms:modified>
</cp:coreProperties>
</file>