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Times New Roman" w:cs="Times New Roman" w:eastAsia="Times New Roman" w:hAnsi="Times New Roman"/>
          <w:sz w:val="17"/>
          <w:szCs w:val="17"/>
          <w:color w:val="auto"/>
        </w:rPr>
        <w:t>SECURITIES AND EXCHANGE COMMISSION</w:t>
      </w:r>
    </w:p>
    <w:p>
      <w:pPr>
        <w:spacing w:after="0" w:line="25"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17"/>
          <w:szCs w:val="17"/>
          <w:color w:val="auto"/>
        </w:rPr>
        <w:t>Washington, D.C. 20549</w:t>
      </w:r>
    </w:p>
    <w:p>
      <w:pPr>
        <w:spacing w:after="0" w:line="192"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17"/>
          <w:szCs w:val="17"/>
          <w:color w:val="auto"/>
        </w:rPr>
        <w:t>Schedule 13G</w:t>
      </w:r>
    </w:p>
    <w:p>
      <w:pPr>
        <w:spacing w:after="0" w:line="210"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17"/>
          <w:szCs w:val="17"/>
          <w:color w:val="auto"/>
        </w:rPr>
        <w:t>Under the Securities Exchange Act of 1934</w:t>
      </w:r>
    </w:p>
    <w:p>
      <w:pPr>
        <w:spacing w:after="0" w:line="25"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17"/>
          <w:szCs w:val="17"/>
          <w:color w:val="auto"/>
        </w:rPr>
        <w:t>(Amendment No.: 6 )*</w:t>
      </w:r>
    </w:p>
    <w:p>
      <w:pPr>
        <w:spacing w:after="0" w:line="200" w:lineRule="exact"/>
        <w:rPr>
          <w:sz w:val="24"/>
          <w:szCs w:val="24"/>
          <w:color w:val="auto"/>
        </w:rPr>
      </w:pPr>
    </w:p>
    <w:p>
      <w:pPr>
        <w:spacing w:after="0" w:line="397"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Name of issuer: Principal Financial Group Inc</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Title of Class of Securities: Common Stock</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CUSIP Number: 74251V102</w:t>
      </w:r>
    </w:p>
    <w:p>
      <w:pPr>
        <w:spacing w:after="0" w:line="200" w:lineRule="exact"/>
        <w:rPr>
          <w:sz w:val="24"/>
          <w:szCs w:val="24"/>
          <w:color w:val="auto"/>
        </w:rPr>
      </w:pPr>
    </w:p>
    <w:p>
      <w:pPr>
        <w:spacing w:after="0" w:line="208"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 xml:space="preserve">Date of Event Which Requires Filing of this Statement: </w:t>
      </w:r>
      <w:r>
        <w:rPr>
          <w:rFonts w:ascii="Times New Roman" w:cs="Times New Roman" w:eastAsia="Times New Roman" w:hAnsi="Times New Roman"/>
          <w:sz w:val="17"/>
          <w:szCs w:val="17"/>
          <w:b w:val="1"/>
          <w:bCs w:val="1"/>
          <w:color w:val="auto"/>
        </w:rPr>
        <w:t>December 31, 2017</w:t>
      </w:r>
    </w:p>
    <w:p>
      <w:pPr>
        <w:spacing w:after="0" w:line="214"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Check the appropriate box to designate the rule pursuant to which this Schedule is filed:</w:t>
      </w:r>
    </w:p>
    <w:p>
      <w:pPr>
        <w:spacing w:after="0" w:line="25" w:lineRule="exact"/>
        <w:rPr>
          <w:sz w:val="24"/>
          <w:szCs w:val="24"/>
          <w:color w:val="auto"/>
        </w:rPr>
      </w:pPr>
    </w:p>
    <w:p>
      <w:pPr>
        <w:jc w:val="both"/>
        <w:ind w:left="100" w:right="9940" w:hanging="6"/>
        <w:spacing w:after="0" w:line="254" w:lineRule="auto"/>
        <w:tabs>
          <w:tab w:leader="none" w:pos="380" w:val="left"/>
        </w:tabs>
        <w:numPr>
          <w:ilvl w:val="0"/>
          <w:numId w:val="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Rule 13d-1(b) ( ) Rule 13d-1(c) ( ) Rule 13d-1(d)</w:t>
      </w:r>
    </w:p>
    <w:p>
      <w:pPr>
        <w:spacing w:after="0" w:line="172" w:lineRule="exact"/>
        <w:rPr>
          <w:sz w:val="24"/>
          <w:szCs w:val="24"/>
          <w:color w:val="auto"/>
        </w:rPr>
      </w:pPr>
    </w:p>
    <w:p>
      <w:pPr>
        <w:ind w:right="300" w:firstLine="86"/>
        <w:spacing w:after="0" w:line="281" w:lineRule="auto"/>
        <w:rPr>
          <w:sz w:val="20"/>
          <w:szCs w:val="20"/>
          <w:color w:val="auto"/>
        </w:rPr>
      </w:pPr>
      <w:r>
        <w:rPr>
          <w:rFonts w:ascii="Times New Roman" w:cs="Times New Roman" w:eastAsia="Times New Roman" w:hAnsi="Times New Roman"/>
          <w:sz w:val="17"/>
          <w:szCs w:val="17"/>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50" w:lineRule="exact"/>
        <w:rPr>
          <w:sz w:val="24"/>
          <w:szCs w:val="24"/>
          <w:color w:val="auto"/>
        </w:rPr>
      </w:pPr>
    </w:p>
    <w:p>
      <w:pPr>
        <w:ind w:firstLine="82"/>
        <w:spacing w:after="0" w:line="281" w:lineRule="auto"/>
        <w:rPr>
          <w:sz w:val="20"/>
          <w:szCs w:val="20"/>
          <w:color w:val="auto"/>
        </w:rPr>
      </w:pPr>
      <w:r>
        <w:rPr>
          <w:rFonts w:ascii="Times New Roman" w:cs="Times New Roman" w:eastAsia="Times New Roman" w:hAnsi="Times New Roman"/>
          <w:sz w:val="17"/>
          <w:szCs w:val="17"/>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53"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213360</wp:posOffset>
            </wp:positionV>
            <wp:extent cx="726757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1280"/>
          </w:cols>
          <w:pgMar w:left="240" w:top="226" w:right="379" w:bottom="1440" w:gutter="0" w:footer="0" w:header="0"/>
        </w:sectPr>
      </w:pPr>
    </w:p>
    <w:bookmarkStart w:id="1" w:name="page2"/>
    <w:bookmarkEnd w:id="1"/>
    <w:p>
      <w:pPr>
        <w:ind w:left="5560"/>
        <w:spacing w:after="0"/>
        <w:rPr>
          <w:sz w:val="20"/>
          <w:szCs w:val="20"/>
          <w:color w:val="auto"/>
        </w:rPr>
      </w:pPr>
      <w:r>
        <w:rPr>
          <w:rFonts w:ascii="Times New Roman" w:cs="Times New Roman" w:eastAsia="Times New Roman" w:hAnsi="Times New Roman"/>
          <w:sz w:val="17"/>
          <w:szCs w:val="17"/>
          <w:color w:val="auto"/>
        </w:rPr>
        <w:t>13G</w:t>
      </w:r>
    </w:p>
    <w:p>
      <w:pPr>
        <w:spacing w:after="0" w:line="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CUSIP No.: 74251V102</w:t>
      </w:r>
    </w:p>
    <w:p>
      <w:pPr>
        <w:spacing w:after="0" w:line="394" w:lineRule="exact"/>
        <w:rPr>
          <w:sz w:val="20"/>
          <w:szCs w:val="20"/>
          <w:color w:val="auto"/>
        </w:rPr>
      </w:pPr>
    </w:p>
    <w:p>
      <w:pPr>
        <w:ind w:left="220" w:hanging="212"/>
        <w:spacing w:after="0"/>
        <w:tabs>
          <w:tab w:leader="none" w:pos="220" w:val="left"/>
        </w:tabs>
        <w:numPr>
          <w:ilvl w:val="0"/>
          <w:numId w:val="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NAME OF REPORTING PERSON</w:t>
      </w:r>
    </w:p>
    <w:p>
      <w:pPr>
        <w:spacing w:after="0" w:line="25" w:lineRule="exact"/>
        <w:rPr>
          <w:rFonts w:ascii="Times New Roman" w:cs="Times New Roman" w:eastAsia="Times New Roman" w:hAnsi="Times New Roman"/>
          <w:sz w:val="17"/>
          <w:szCs w:val="17"/>
          <w:color w:val="auto"/>
        </w:rPr>
      </w:pPr>
    </w:p>
    <w:p>
      <w:pPr>
        <w:ind w:left="100"/>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S.S. OR I.R.S. IDENTIFICATION NO. OF ABOVE PERSON</w:t>
      </w:r>
    </w:p>
    <w:p>
      <w:pPr>
        <w:spacing w:after="0" w:line="200" w:lineRule="exact"/>
        <w:rPr>
          <w:sz w:val="20"/>
          <w:szCs w:val="20"/>
          <w:color w:val="auto"/>
        </w:rPr>
      </w:pPr>
    </w:p>
    <w:p>
      <w:pPr>
        <w:spacing w:after="0" w:line="39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2. CHECK THE APPROPRIATE [LINE] IF A MEMBER OF A GROUP</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220" w:hanging="212"/>
        <w:spacing w:after="0"/>
        <w:tabs>
          <w:tab w:leader="none" w:pos="220"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SEC USE ONLY</w:t>
      </w:r>
    </w:p>
    <w:p>
      <w:pPr>
        <w:spacing w:after="0" w:line="200" w:lineRule="exact"/>
        <w:rPr>
          <w:rFonts w:ascii="Times New Roman" w:cs="Times New Roman" w:eastAsia="Times New Roman" w:hAnsi="Times New Roman"/>
          <w:sz w:val="17"/>
          <w:szCs w:val="17"/>
          <w:color w:val="auto"/>
        </w:rPr>
      </w:pPr>
    </w:p>
    <w:p>
      <w:pPr>
        <w:spacing w:after="0" w:line="200" w:lineRule="exact"/>
        <w:rPr>
          <w:rFonts w:ascii="Times New Roman" w:cs="Times New Roman" w:eastAsia="Times New Roman" w:hAnsi="Times New Roman"/>
          <w:sz w:val="17"/>
          <w:szCs w:val="17"/>
          <w:color w:val="auto"/>
        </w:rPr>
      </w:pPr>
    </w:p>
    <w:p>
      <w:pPr>
        <w:spacing w:after="0" w:line="214" w:lineRule="exact"/>
        <w:rPr>
          <w:rFonts w:ascii="Times New Roman" w:cs="Times New Roman" w:eastAsia="Times New Roman" w:hAnsi="Times New Roman"/>
          <w:sz w:val="17"/>
          <w:szCs w:val="17"/>
          <w:color w:val="auto"/>
        </w:rPr>
      </w:pPr>
    </w:p>
    <w:p>
      <w:pPr>
        <w:ind w:left="100" w:right="6539" w:hanging="92"/>
        <w:spacing w:after="0" w:line="497" w:lineRule="auto"/>
        <w:tabs>
          <w:tab w:leader="none" w:pos="228"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CITIZENSHIP OF PLACE OF ORGANIZATION Pennsylvania</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(For questions 5-8, report the number of shares beneficially owned by each reporting person with:)</w:t>
      </w:r>
    </w:p>
    <w:p>
      <w:pPr>
        <w:spacing w:after="0" w:line="210" w:lineRule="exact"/>
        <w:rPr>
          <w:sz w:val="20"/>
          <w:szCs w:val="20"/>
          <w:color w:val="auto"/>
        </w:rPr>
      </w:pPr>
    </w:p>
    <w:p>
      <w:pPr>
        <w:ind w:left="100" w:right="8239" w:hanging="92"/>
        <w:spacing w:after="0" w:line="497" w:lineRule="auto"/>
        <w:tabs>
          <w:tab w:leader="none" w:pos="228"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SOLE VOTING POWER 384,289</w:t>
      </w:r>
    </w:p>
    <w:p>
      <w:pPr>
        <w:ind w:left="100" w:right="7979" w:hanging="92"/>
        <w:spacing w:after="0" w:line="497" w:lineRule="auto"/>
        <w:tabs>
          <w:tab w:leader="none" w:pos="228"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SHARED VOTING POWER 68,453</w:t>
      </w:r>
    </w:p>
    <w:p>
      <w:pPr>
        <w:ind w:left="100" w:right="7859" w:hanging="92"/>
        <w:spacing w:after="0" w:line="497" w:lineRule="auto"/>
        <w:tabs>
          <w:tab w:leader="none" w:pos="228"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SOLE DISPOSITIVE POWER 30,578,946</w:t>
      </w:r>
    </w:p>
    <w:p>
      <w:pPr>
        <w:ind w:left="140" w:right="7599" w:hanging="132"/>
        <w:spacing w:after="0" w:line="497" w:lineRule="auto"/>
        <w:tabs>
          <w:tab w:leader="none" w:pos="225"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SHARED DISPOSITIVE POWER 442,166</w:t>
      </w:r>
    </w:p>
    <w:p>
      <w:pPr>
        <w:ind w:left="100" w:right="3799" w:hanging="92"/>
        <w:spacing w:after="0" w:line="497" w:lineRule="auto"/>
        <w:tabs>
          <w:tab w:leader="none" w:pos="219"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AGGREGATE AMOUNT BENEFICIALLY OWNED BY EACH REPORTING PERSON 31,021,112</w:t>
      </w:r>
    </w:p>
    <w:p>
      <w:pPr>
        <w:ind w:left="100" w:right="3199" w:hanging="92"/>
        <w:spacing w:after="0" w:line="497" w:lineRule="auto"/>
        <w:tabs>
          <w:tab w:leader="none" w:pos="314"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CHECK BOX IF THE AGGREGATE AMOUNT IN ROW (9) EXCLUDES CERTAIN SHARES N/A</w:t>
      </w:r>
    </w:p>
    <w:p>
      <w:pPr>
        <w:ind w:left="300" w:hanging="292"/>
        <w:spacing w:after="0"/>
        <w:tabs>
          <w:tab w:leader="none" w:pos="300"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PERCENT OF CLASS REPRESENTED BY AMOUNT IN ROW 9</w:t>
      </w:r>
    </w:p>
    <w:p>
      <w:pPr>
        <w:spacing w:after="0" w:line="210"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auto"/>
        </w:rPr>
        <w:t>10.74%</w:t>
      </w:r>
    </w:p>
    <w:p>
      <w:pPr>
        <w:spacing w:after="0" w:line="210" w:lineRule="exact"/>
        <w:rPr>
          <w:sz w:val="20"/>
          <w:szCs w:val="20"/>
          <w:color w:val="auto"/>
        </w:rPr>
      </w:pPr>
    </w:p>
    <w:p>
      <w:pPr>
        <w:ind w:left="300" w:hanging="292"/>
        <w:spacing w:after="0"/>
        <w:tabs>
          <w:tab w:leader="none" w:pos="300"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TYPE OF REPORTING PERSON</w:t>
      </w:r>
    </w:p>
    <w:p>
      <w:pPr>
        <w:spacing w:after="0" w:line="209" w:lineRule="exact"/>
        <w:rPr>
          <w:rFonts w:ascii="Times New Roman" w:cs="Times New Roman" w:eastAsia="Times New Roman" w:hAnsi="Times New Roman"/>
          <w:sz w:val="17"/>
          <w:szCs w:val="17"/>
          <w:color w:val="auto"/>
        </w:rPr>
      </w:pPr>
    </w:p>
    <w:p>
      <w:pPr>
        <w:ind w:left="100"/>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85090</wp:posOffset>
            </wp:positionV>
            <wp:extent cx="726757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0219"/>
          </w:cols>
          <w:pgMar w:left="240" w:top="361" w:right="1440" w:bottom="1440" w:gutter="0" w:footer="0" w:header="0"/>
        </w:sectPr>
      </w:pPr>
    </w:p>
    <w:bookmarkStart w:id="2" w:name="page3"/>
    <w:bookmarkEnd w:id="2"/>
    <w:p>
      <w:pPr>
        <w:jc w:val="center"/>
        <w:ind w:right="-1200"/>
        <w:spacing w:after="0"/>
        <w:rPr>
          <w:sz w:val="20"/>
          <w:szCs w:val="20"/>
          <w:color w:val="auto"/>
        </w:rPr>
      </w:pPr>
      <w:r>
        <w:rPr>
          <w:rFonts w:ascii="Times New Roman" w:cs="Times New Roman" w:eastAsia="Times New Roman" w:hAnsi="Times New Roman"/>
          <w:sz w:val="17"/>
          <w:szCs w:val="17"/>
          <w:color w:val="auto"/>
        </w:rPr>
        <w:t>SECURITIES AND EXCHANGE COMMISSION</w:t>
      </w:r>
    </w:p>
    <w:p>
      <w:pPr>
        <w:spacing w:after="0" w:line="25" w:lineRule="exact"/>
        <w:rPr>
          <w:sz w:val="20"/>
          <w:szCs w:val="20"/>
          <w:color w:val="auto"/>
        </w:rPr>
      </w:pPr>
    </w:p>
    <w:p>
      <w:pPr>
        <w:jc w:val="center"/>
        <w:ind w:right="-1200"/>
        <w:spacing w:after="0"/>
        <w:rPr>
          <w:sz w:val="20"/>
          <w:szCs w:val="20"/>
          <w:color w:val="auto"/>
        </w:rPr>
      </w:pPr>
      <w:r>
        <w:rPr>
          <w:rFonts w:ascii="Times New Roman" w:cs="Times New Roman" w:eastAsia="Times New Roman" w:hAnsi="Times New Roman"/>
          <w:sz w:val="17"/>
          <w:szCs w:val="17"/>
          <w:color w:val="auto"/>
        </w:rPr>
        <w:t>Washington, D.C. 20549</w:t>
      </w:r>
    </w:p>
    <w:p>
      <w:pPr>
        <w:spacing w:after="0" w:line="192" w:lineRule="exact"/>
        <w:rPr>
          <w:sz w:val="20"/>
          <w:szCs w:val="20"/>
          <w:color w:val="auto"/>
        </w:rPr>
      </w:pPr>
    </w:p>
    <w:p>
      <w:pPr>
        <w:jc w:val="center"/>
        <w:ind w:right="-1200"/>
        <w:spacing w:after="0"/>
        <w:rPr>
          <w:sz w:val="20"/>
          <w:szCs w:val="20"/>
          <w:color w:val="auto"/>
        </w:rPr>
      </w:pPr>
      <w:r>
        <w:rPr>
          <w:rFonts w:ascii="Times New Roman" w:cs="Times New Roman" w:eastAsia="Times New Roman" w:hAnsi="Times New Roman"/>
          <w:sz w:val="17"/>
          <w:szCs w:val="17"/>
          <w:color w:val="auto"/>
        </w:rPr>
        <w:t>SCHEDULE 13G</w:t>
      </w:r>
    </w:p>
    <w:p>
      <w:pPr>
        <w:spacing w:after="0" w:line="25" w:lineRule="exact"/>
        <w:rPr>
          <w:sz w:val="20"/>
          <w:szCs w:val="20"/>
          <w:color w:val="auto"/>
        </w:rPr>
      </w:pPr>
    </w:p>
    <w:p>
      <w:pPr>
        <w:jc w:val="center"/>
        <w:ind w:right="-1200"/>
        <w:spacing w:after="0"/>
        <w:rPr>
          <w:sz w:val="20"/>
          <w:szCs w:val="20"/>
          <w:color w:val="auto"/>
        </w:rPr>
      </w:pPr>
      <w:r>
        <w:rPr>
          <w:rFonts w:ascii="Times New Roman" w:cs="Times New Roman" w:eastAsia="Times New Roman" w:hAnsi="Times New Roman"/>
          <w:sz w:val="17"/>
          <w:szCs w:val="17"/>
          <w:color w:val="auto"/>
        </w:rPr>
        <w:t>Under the Securities Act of 1934</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Check the following [line] if a fee is being paid with this statement  N/A</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1(a) - Name of Issuer:</w:t>
      </w:r>
    </w:p>
    <w:p>
      <w:pPr>
        <w:spacing w:after="0" w:line="210"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auto"/>
        </w:rPr>
        <w:t>Principal Financial Group Inc</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1(b) - Address of Issuer's Principal Executive Offices:</w:t>
      </w:r>
    </w:p>
    <w:p>
      <w:pPr>
        <w:spacing w:after="0" w:line="210"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auto"/>
        </w:rPr>
        <w:t>711 High Street</w:t>
      </w:r>
    </w:p>
    <w:p>
      <w:pPr>
        <w:spacing w:after="0" w:line="25"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auto"/>
        </w:rPr>
        <w:t>Des Moines, IA 50392-0300</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2(a) - Name of Person Filing:</w:t>
      </w:r>
    </w:p>
    <w:p>
      <w:pPr>
        <w:spacing w:after="0" w:line="210"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auto"/>
        </w:rPr>
        <w:t>The Vanguard Group - 23-1945930</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2(b) – Address of Principal Business Office or, if none, residence:</w:t>
      </w:r>
    </w:p>
    <w:p>
      <w:pPr>
        <w:spacing w:after="0" w:line="210"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auto"/>
        </w:rPr>
        <w:t>100 Vanguard Blvd.</w:t>
      </w:r>
    </w:p>
    <w:p>
      <w:pPr>
        <w:spacing w:after="0" w:line="25"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auto"/>
        </w:rPr>
        <w:t>Malvern, PA 19355</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2(c) – Citizenship:</w:t>
      </w:r>
    </w:p>
    <w:p>
      <w:pPr>
        <w:spacing w:after="0" w:line="210"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auto"/>
        </w:rPr>
        <w:t>Pennsylvania</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2(d) - Title of Class of Securities:</w:t>
      </w:r>
    </w:p>
    <w:p>
      <w:pPr>
        <w:spacing w:after="0" w:line="210"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auto"/>
        </w:rPr>
        <w:t>Common Stock</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2(e) - CUSIP Number</w:t>
      </w:r>
    </w:p>
    <w:p>
      <w:pPr>
        <w:spacing w:after="0" w:line="210"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auto"/>
        </w:rPr>
        <w:t>74251V102</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3 - Type of Filing:</w:t>
      </w:r>
    </w:p>
    <w:p>
      <w:pPr>
        <w:spacing w:after="0" w:line="210"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auto"/>
        </w:rPr>
        <w:t>This statement is being filed pursuant to Rule 13d-1. An investment adviser in accordance with §240.13d-1(b)(1)(ii)(E).</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4 - Ownership:</w:t>
      </w:r>
    </w:p>
    <w:p>
      <w:pPr>
        <w:spacing w:after="0" w:line="210" w:lineRule="exact"/>
        <w:rPr>
          <w:sz w:val="20"/>
          <w:szCs w:val="20"/>
          <w:color w:val="auto"/>
        </w:rPr>
      </w:pPr>
    </w:p>
    <w:p>
      <w:pPr>
        <w:ind w:left="100" w:right="7879" w:hanging="6"/>
        <w:spacing w:after="0" w:line="497" w:lineRule="auto"/>
        <w:tabs>
          <w:tab w:leader="none" w:pos="332" w:val="left"/>
        </w:tabs>
        <w:numPr>
          <w:ilvl w:val="0"/>
          <w:numId w:val="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Amount Beneficially Owned: 31,021,112</w:t>
      </w:r>
    </w:p>
    <w:p>
      <w:pPr>
        <w:ind w:left="340" w:hanging="246"/>
        <w:spacing w:after="0"/>
        <w:tabs>
          <w:tab w:leader="none" w:pos="340" w:val="left"/>
        </w:tabs>
        <w:numPr>
          <w:ilvl w:val="0"/>
          <w:numId w:val="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Percent of Class:</w:t>
      </w:r>
    </w:p>
    <w:p>
      <w:pPr>
        <w:spacing w:after="0" w:line="210"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auto"/>
        </w:rPr>
        <w:t>10.74%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85090</wp:posOffset>
            </wp:positionV>
            <wp:extent cx="726757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0219"/>
          </w:cols>
          <w:pgMar w:left="240" w:top="361" w:right="1440" w:bottom="1440" w:gutter="0" w:footer="0" w:header="0"/>
        </w:sectPr>
      </w:pPr>
    </w:p>
    <w:bookmarkStart w:id="3" w:name="page4"/>
    <w:bookmarkEnd w:id="3"/>
    <w:p>
      <w:pPr>
        <w:ind w:left="360" w:hanging="266"/>
        <w:spacing w:after="0"/>
        <w:tabs>
          <w:tab w:leader="none" w:pos="360" w:val="left"/>
        </w:tabs>
        <w:numPr>
          <w:ilvl w:val="0"/>
          <w:numId w:val="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Number of shares as to which such person has:</w:t>
      </w:r>
    </w:p>
    <w:p>
      <w:pPr>
        <w:spacing w:after="0" w:line="209" w:lineRule="exact"/>
        <w:rPr>
          <w:rFonts w:ascii="Times New Roman" w:cs="Times New Roman" w:eastAsia="Times New Roman" w:hAnsi="Times New Roman"/>
          <w:sz w:val="17"/>
          <w:szCs w:val="17"/>
          <w:color w:val="auto"/>
        </w:rPr>
      </w:pPr>
    </w:p>
    <w:p>
      <w:pPr>
        <w:ind w:left="340" w:hanging="246"/>
        <w:spacing w:after="0"/>
        <w:tabs>
          <w:tab w:leader="none" w:pos="340" w:val="left"/>
        </w:tabs>
        <w:numPr>
          <w:ilvl w:val="0"/>
          <w:numId w:val="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sole power to vote or direct to vote: 384,289</w:t>
      </w:r>
    </w:p>
    <w:p>
      <w:pPr>
        <w:spacing w:after="0" w:line="209" w:lineRule="exact"/>
        <w:rPr>
          <w:rFonts w:ascii="Times New Roman" w:cs="Times New Roman" w:eastAsia="Times New Roman" w:hAnsi="Times New Roman"/>
          <w:sz w:val="17"/>
          <w:szCs w:val="17"/>
          <w:color w:val="auto"/>
        </w:rPr>
      </w:pPr>
    </w:p>
    <w:p>
      <w:pPr>
        <w:ind w:left="380" w:hanging="286"/>
        <w:spacing w:after="0"/>
        <w:tabs>
          <w:tab w:leader="none" w:pos="380" w:val="left"/>
        </w:tabs>
        <w:numPr>
          <w:ilvl w:val="0"/>
          <w:numId w:val="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shared power to vote or direct to vote: 68,453</w:t>
      </w:r>
    </w:p>
    <w:p>
      <w:pPr>
        <w:spacing w:after="0" w:line="209" w:lineRule="exact"/>
        <w:rPr>
          <w:rFonts w:ascii="Times New Roman" w:cs="Times New Roman" w:eastAsia="Times New Roman" w:hAnsi="Times New Roman"/>
          <w:sz w:val="17"/>
          <w:szCs w:val="17"/>
          <w:color w:val="auto"/>
        </w:rPr>
      </w:pPr>
    </w:p>
    <w:p>
      <w:pPr>
        <w:ind w:left="100" w:right="6380" w:hanging="6"/>
        <w:spacing w:after="0" w:line="497" w:lineRule="auto"/>
        <w:tabs>
          <w:tab w:leader="none" w:pos="442" w:val="left"/>
        </w:tabs>
        <w:numPr>
          <w:ilvl w:val="0"/>
          <w:numId w:val="1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sole power to dispose of or to direct the disposition of: 30,578,946 (iv) shared power to dispose or to direct the disposition of: 442,166</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Comments:</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5 - Ownership of Five Percent or Less of a Class:</w:t>
      </w:r>
    </w:p>
    <w:p>
      <w:pPr>
        <w:spacing w:after="0" w:line="210"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6 - Ownership of More Than Five Percent on Behalf of Another Person:</w:t>
      </w:r>
    </w:p>
    <w:p>
      <w:pPr>
        <w:spacing w:after="0" w:line="210"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7 - Identification and Classification of the Subsidiary Which Acquired The Security Being Reported on by the Parent Holding Company</w:t>
      </w:r>
      <w:r>
        <w:rPr>
          <w:rFonts w:ascii="Times New Roman" w:cs="Times New Roman" w:eastAsia="Times New Roman" w:hAnsi="Times New Roman"/>
          <w:sz w:val="17"/>
          <w:szCs w:val="17"/>
          <w:color w:val="auto"/>
        </w:rPr>
        <w:t>:</w:t>
      </w:r>
    </w:p>
    <w:p>
      <w:pPr>
        <w:spacing w:after="0" w:line="210"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auto"/>
        </w:rPr>
        <w:t>See Attached Appendix A</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8 - Identification and Classification of Members of Group:</w:t>
      </w:r>
    </w:p>
    <w:p>
      <w:pPr>
        <w:spacing w:after="0" w:line="210"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9 - Notice of Dissolution of Group:</w:t>
      </w:r>
    </w:p>
    <w:p>
      <w:pPr>
        <w:spacing w:after="0" w:line="210"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10 - Certification:</w:t>
      </w:r>
    </w:p>
    <w:p>
      <w:pPr>
        <w:spacing w:after="0" w:line="210" w:lineRule="exact"/>
        <w:rPr>
          <w:sz w:val="20"/>
          <w:szCs w:val="20"/>
          <w:color w:val="auto"/>
        </w:rPr>
      </w:pPr>
    </w:p>
    <w:p>
      <w:pPr>
        <w:ind w:firstLine="86"/>
        <w:spacing w:after="0" w:line="265" w:lineRule="auto"/>
        <w:rPr>
          <w:sz w:val="20"/>
          <w:szCs w:val="20"/>
          <w:color w:val="auto"/>
        </w:rPr>
      </w:pPr>
      <w:r>
        <w:rPr>
          <w:rFonts w:ascii="Times New Roman" w:cs="Times New Roman" w:eastAsia="Times New Roman" w:hAnsi="Times New Roman"/>
          <w:sz w:val="17"/>
          <w:szCs w:val="17"/>
          <w:color w:val="auto"/>
        </w:rPr>
        <w:t>By signing below I certify that, to the best of my knowledge and belief, the securities referred to above were acquired in the ordinary course of business and were not acquired for the purpose of and do not have the effect of changing or influencing the control of the issuer of such securities and were not acquired in connection with or as a participant in any transaction having such purpose or effect.</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Signature</w:t>
      </w:r>
    </w:p>
    <w:p>
      <w:pPr>
        <w:spacing w:after="0" w:line="210" w:lineRule="exact"/>
        <w:rPr>
          <w:sz w:val="20"/>
          <w:szCs w:val="20"/>
          <w:color w:val="auto"/>
        </w:rPr>
      </w:pPr>
    </w:p>
    <w:p>
      <w:pPr>
        <w:ind w:left="80"/>
        <w:spacing w:after="0"/>
        <w:rPr>
          <w:sz w:val="20"/>
          <w:szCs w:val="20"/>
          <w:color w:val="auto"/>
        </w:rPr>
      </w:pPr>
      <w:r>
        <w:rPr>
          <w:rFonts w:ascii="Times New Roman" w:cs="Times New Roman" w:eastAsia="Times New Roman" w:hAnsi="Times New Roman"/>
          <w:sz w:val="17"/>
          <w:szCs w:val="17"/>
          <w:color w:val="auto"/>
        </w:rPr>
        <w:t>After reasonable inquiry and to the best of my knowledge and belief, I certify that the information set forth in this statement is true, complete and correct.</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Date: 02/07/2018</w:t>
      </w:r>
    </w:p>
    <w:p>
      <w:pPr>
        <w:spacing w:after="0" w:line="213"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18"/>
          <w:szCs w:val="18"/>
          <w:color w:val="auto"/>
        </w:rPr>
        <w:t>By /s/ Christine M. Buchanan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2608580</wp:posOffset>
            </wp:positionH>
            <wp:positionV relativeFrom="paragraph">
              <wp:posOffset>-7620</wp:posOffset>
            </wp:positionV>
            <wp:extent cx="122872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28725" cy="8890"/>
                    </a:xfrm>
                    <a:prstGeom prst="rect">
                      <a:avLst/>
                    </a:prstGeom>
                    <a:noFill/>
                  </pic:spPr>
                </pic:pic>
              </a:graphicData>
            </a:graphic>
          </wp:anchor>
        </w:drawing>
      </w:r>
    </w:p>
    <w:p>
      <w:pPr>
        <w:spacing w:after="0" w:line="7"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18"/>
          <w:szCs w:val="18"/>
          <w:color w:val="auto"/>
        </w:rPr>
        <w:t>Name: Christine M. Buchanan</w:t>
      </w:r>
    </w:p>
    <w:p>
      <w:pPr>
        <w:spacing w:after="0" w:line="9"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18"/>
          <w:szCs w:val="18"/>
          <w:color w:val="auto"/>
        </w:rPr>
        <w:t>Title: Principal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329565</wp:posOffset>
            </wp:positionV>
            <wp:extent cx="7267575"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1400"/>
          </w:cols>
          <w:pgMar w:left="240" w:top="361" w:right="25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7"/>
          <w:szCs w:val="17"/>
          <w:color w:val="auto"/>
        </w:rPr>
        <w:t>Appendix A</w:t>
      </w:r>
    </w:p>
    <w:p>
      <w:pPr>
        <w:spacing w:after="0" w:line="210" w:lineRule="exact"/>
        <w:rPr>
          <w:sz w:val="20"/>
          <w:szCs w:val="20"/>
          <w:color w:val="auto"/>
        </w:rPr>
      </w:pPr>
    </w:p>
    <w:p>
      <w:pPr>
        <w:ind w:firstLine="40"/>
        <w:spacing w:after="0" w:line="281" w:lineRule="auto"/>
        <w:rPr>
          <w:sz w:val="20"/>
          <w:szCs w:val="20"/>
          <w:color w:val="auto"/>
        </w:rPr>
      </w:pPr>
      <w:r>
        <w:rPr>
          <w:rFonts w:ascii="Times New Roman" w:cs="Times New Roman" w:eastAsia="Times New Roman" w:hAnsi="Times New Roman"/>
          <w:sz w:val="17"/>
          <w:szCs w:val="17"/>
          <w:color w:val="auto"/>
        </w:rPr>
        <w:t>Vanguard Fiduciary Trust Company ("VFTC"), a wholly-owned subsidiary of The Vanguard Group, Inc., is the beneficial owner of 291,505 shares or .10% of the Common Stock outstanding of the Company as a result of its serving as investment manager of collective trust accounts.</w:t>
      </w:r>
    </w:p>
    <w:p>
      <w:pPr>
        <w:spacing w:after="0" w:line="150" w:lineRule="exact"/>
        <w:rPr>
          <w:sz w:val="20"/>
          <w:szCs w:val="20"/>
          <w:color w:val="auto"/>
        </w:rPr>
      </w:pPr>
    </w:p>
    <w:p>
      <w:pPr>
        <w:ind w:right="60"/>
        <w:spacing w:after="0" w:line="281" w:lineRule="auto"/>
        <w:rPr>
          <w:sz w:val="20"/>
          <w:szCs w:val="20"/>
          <w:color w:val="auto"/>
        </w:rPr>
      </w:pPr>
      <w:r>
        <w:rPr>
          <w:rFonts w:ascii="Times New Roman" w:cs="Times New Roman" w:eastAsia="Times New Roman" w:hAnsi="Times New Roman"/>
          <w:sz w:val="17"/>
          <w:szCs w:val="17"/>
          <w:color w:val="auto"/>
        </w:rPr>
        <w:t>Vanguard Investments Australia, Ltd. ("VIA"), a wholly-owned subsidiary of The Vanguard Group, Inc., is the beneficial owner of 241,737 shares or .08% of the Common Stock outstanding of the Company as a result of its serving as investment manager of Australian investment offerings.</w:t>
      </w:r>
    </w:p>
    <w:sectPr>
      <w:pgSz w:w="11900" w:h="16838" w:orient="portrait"/>
      <w:cols w:equalWidth="0" w:num="1">
        <w:col w:w="11180"/>
      </w:cols>
      <w:pgMar w:left="240" w:top="361" w:right="4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1"/>
    </w:lvl>
    <w:lvl w:ilvl="1">
      <w:lvlJc w:val="left"/>
      <w:lvlText w:val="%2"/>
      <w:numFmt w:val="upperLetter"/>
      <w:start w:val="1"/>
    </w:lvl>
  </w:abstractNum>
  <w:abstractNum w:abstractNumId="2">
    <w:nsid w:val="2EB141F2"/>
    <w:multiLevelType w:val="hybridMultilevel"/>
    <w:lvl w:ilvl="0">
      <w:lvlJc w:val="left"/>
      <w:lvlText w:val="%1."/>
      <w:numFmt w:val="decimal"/>
      <w:start w:val="3"/>
    </w:lvl>
  </w:abstractNum>
  <w:abstractNum w:abstractNumId="3">
    <w:nsid w:val="41B71EFB"/>
    <w:multiLevelType w:val="hybridMultilevel"/>
    <w:lvl w:ilvl="0">
      <w:lvlJc w:val="left"/>
      <w:lvlText w:val="%1."/>
      <w:numFmt w:val="decimal"/>
      <w:start w:val="5"/>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1)"/>
      <w:numFmt w:val="lowerLetter"/>
      <w:start w:val="1"/>
    </w:lvl>
  </w:abstractNum>
  <w:abstractNum w:abstractNumId="6">
    <w:nsid w:val="515F007C"/>
    <w:multiLevelType w:val="hybridMultilevel"/>
    <w:lvl w:ilvl="0">
      <w:lvlJc w:val="left"/>
      <w:lvlText w:val="(%1)"/>
      <w:numFmt w:val="lowerLetter"/>
      <w:start w:val="3"/>
    </w:lvl>
  </w:abstractNum>
  <w:abstractNum w:abstractNumId="7">
    <w:nsid w:val="5BD062C2"/>
    <w:multiLevelType w:val="hybridMultilevel"/>
    <w:lvl w:ilvl="0">
      <w:lvlJc w:val="left"/>
      <w:lvlText w:val="(%1)"/>
      <w:numFmt w:val="lowerLetter"/>
      <w:start w:val="9"/>
    </w:lvl>
  </w:abstractNum>
  <w:abstractNum w:abstractNumId="8">
    <w:nsid w:val="12200854"/>
    <w:multiLevelType w:val="hybridMultilevel"/>
    <w:lvl w:ilvl="0">
      <w:lvlJc w:val="left"/>
      <w:lvlText w:val="(%1)"/>
      <w:numFmt w:val="lowerLetter"/>
      <w:start w:val="35"/>
    </w:lvl>
  </w:abstractNum>
  <w:abstractNum w:abstractNumId="9">
    <w:nsid w:val="4DB127F8"/>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2020-01-14T07:57:10Z</dcterms:created>
  <dcterms:modified xsi:type="dcterms:W3CDTF">2020-01-14T07:57:10Z</dcterms:modified>
</cp:coreProperties>
</file>