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565" w:val="left"/>
          <w:tab w:leader="none" w:pos="828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358010106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1 of 5</w:t>
      </w:r>
    </w:p>
    <w:p>
      <w:pPr>
        <w:spacing w:after="0" w:line="182" w:lineRule="exact"/>
        <w:rPr>
          <w:sz w:val="24"/>
          <w:szCs w:val="24"/>
          <w:color w:val="auto"/>
        </w:rPr>
      </w:pPr>
    </w:p>
    <w:p>
      <w:pPr>
        <w:jc w:val="center"/>
        <w:ind w:right="117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117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117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405"/>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2485"/>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380" w:lineRule="exact"/>
        <w:rPr>
          <w:sz w:val="24"/>
          <w:szCs w:val="24"/>
          <w:color w:val="auto"/>
        </w:rPr>
      </w:pPr>
    </w:p>
    <w:p>
      <w:pPr>
        <w:ind w:left="3485"/>
        <w:spacing w:after="0"/>
        <w:rPr>
          <w:sz w:val="20"/>
          <w:szCs w:val="20"/>
          <w:color w:val="auto"/>
        </w:rPr>
      </w:pPr>
      <w:r>
        <w:rPr>
          <w:rFonts w:ascii="Arial" w:cs="Arial" w:eastAsia="Arial" w:hAnsi="Arial"/>
          <w:sz w:val="20"/>
          <w:szCs w:val="20"/>
          <w:b w:val="1"/>
          <w:bCs w:val="1"/>
          <w:color w:val="auto"/>
        </w:rPr>
        <w:t>(Amendment No. 10) *</w:t>
      </w:r>
    </w:p>
    <w:p>
      <w:pPr>
        <w:spacing w:after="0" w:line="200" w:lineRule="exact"/>
        <w:rPr>
          <w:sz w:val="24"/>
          <w:szCs w:val="24"/>
          <w:color w:val="auto"/>
        </w:rPr>
      </w:pPr>
    </w:p>
    <w:p>
      <w:pPr>
        <w:spacing w:after="0" w:line="380" w:lineRule="exact"/>
        <w:rPr>
          <w:sz w:val="24"/>
          <w:szCs w:val="24"/>
          <w:color w:val="auto"/>
        </w:rPr>
      </w:pPr>
    </w:p>
    <w:p>
      <w:pPr>
        <w:jc w:val="center"/>
        <w:ind w:right="1514"/>
        <w:spacing w:after="0"/>
        <w:rPr>
          <w:sz w:val="20"/>
          <w:szCs w:val="20"/>
          <w:color w:val="auto"/>
        </w:rPr>
      </w:pPr>
      <w:r>
        <w:rPr>
          <w:rFonts w:ascii="Arial" w:cs="Arial" w:eastAsia="Arial" w:hAnsi="Arial"/>
          <w:sz w:val="20"/>
          <w:szCs w:val="20"/>
          <w:b w:val="1"/>
          <w:bCs w:val="1"/>
          <w:color w:val="auto"/>
        </w:rPr>
        <w:t>Frequency Electronics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1338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33850" cy="8890"/>
                    </a:xfrm>
                    <a:prstGeom prst="rect">
                      <a:avLst/>
                    </a:prstGeom>
                    <a:noFill/>
                  </pic:spPr>
                </pic:pic>
              </a:graphicData>
            </a:graphic>
          </wp:anchor>
        </w:drawing>
      </w:r>
    </w:p>
    <w:p>
      <w:pPr>
        <w:spacing w:after="0" w:line="34" w:lineRule="exact"/>
        <w:rPr>
          <w:sz w:val="24"/>
          <w:szCs w:val="24"/>
          <w:color w:val="auto"/>
        </w:rPr>
      </w:pPr>
    </w:p>
    <w:p>
      <w:pPr>
        <w:jc w:val="center"/>
        <w:ind w:right="1514"/>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1514"/>
        <w:spacing w:after="0"/>
        <w:rPr>
          <w:sz w:val="20"/>
          <w:szCs w:val="20"/>
          <w:color w:val="auto"/>
        </w:rPr>
      </w:pPr>
      <w:r>
        <w:rPr>
          <w:rFonts w:ascii="Arial" w:cs="Arial" w:eastAsia="Arial" w:hAnsi="Arial"/>
          <w:sz w:val="20"/>
          <w:szCs w:val="20"/>
          <w:b w:val="1"/>
          <w:bCs w:val="1"/>
          <w:color w:val="auto"/>
        </w:rPr>
        <w:t>Common Stock, par value $1.00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1338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33850" cy="8890"/>
                    </a:xfrm>
                    <a:prstGeom prst="rect">
                      <a:avLst/>
                    </a:prstGeom>
                    <a:noFill/>
                  </pic:spPr>
                </pic:pic>
              </a:graphicData>
            </a:graphic>
          </wp:anchor>
        </w:drawing>
      </w:r>
    </w:p>
    <w:p>
      <w:pPr>
        <w:spacing w:after="0" w:line="58" w:lineRule="exact"/>
        <w:rPr>
          <w:sz w:val="24"/>
          <w:szCs w:val="24"/>
          <w:color w:val="auto"/>
        </w:rPr>
      </w:pPr>
    </w:p>
    <w:p>
      <w:pPr>
        <w:jc w:val="center"/>
        <w:ind w:right="151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654"/>
        <w:spacing w:after="0"/>
        <w:rPr>
          <w:sz w:val="20"/>
          <w:szCs w:val="20"/>
          <w:color w:val="auto"/>
        </w:rPr>
      </w:pPr>
      <w:r>
        <w:rPr>
          <w:rFonts w:ascii="Arial" w:cs="Arial" w:eastAsia="Arial" w:hAnsi="Arial"/>
          <w:sz w:val="20"/>
          <w:szCs w:val="20"/>
          <w:b w:val="1"/>
          <w:bCs w:val="1"/>
          <w:color w:val="auto"/>
        </w:rPr>
        <w:t>358010106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1286510</wp:posOffset>
            </wp:positionH>
            <wp:positionV relativeFrom="paragraph">
              <wp:posOffset>26035</wp:posOffset>
            </wp:positionV>
            <wp:extent cx="28384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58" w:lineRule="exact"/>
        <w:rPr>
          <w:sz w:val="24"/>
          <w:szCs w:val="24"/>
          <w:color w:val="auto"/>
        </w:rPr>
      </w:pPr>
    </w:p>
    <w:p>
      <w:pPr>
        <w:jc w:val="center"/>
        <w:ind w:right="165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365"/>
        <w:spacing w:after="0"/>
        <w:rPr>
          <w:sz w:val="20"/>
          <w:szCs w:val="20"/>
          <w:color w:val="auto"/>
        </w:rPr>
      </w:pPr>
      <w:r>
        <w:rPr>
          <w:rFonts w:ascii="Arial" w:cs="Arial" w:eastAsia="Arial" w:hAnsi="Arial"/>
          <w:sz w:val="20"/>
          <w:szCs w:val="20"/>
          <w:b w:val="1"/>
          <w:bCs w:val="1"/>
          <w:color w:val="auto"/>
        </w:rPr>
        <w:t>December 31,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1286510</wp:posOffset>
            </wp:positionH>
            <wp:positionV relativeFrom="paragraph">
              <wp:posOffset>26035</wp:posOffset>
            </wp:positionV>
            <wp:extent cx="28384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44" w:lineRule="exact"/>
        <w:rPr>
          <w:sz w:val="24"/>
          <w:szCs w:val="24"/>
          <w:color w:val="auto"/>
        </w:rPr>
      </w:pPr>
    </w:p>
    <w:p>
      <w:pPr>
        <w:ind w:left="2085"/>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685" w:hanging="685"/>
        <w:spacing w:after="0"/>
        <w:tabs>
          <w:tab w:leader="none" w:pos="685"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64" w:lineRule="exact"/>
        <w:rPr>
          <w:sz w:val="24"/>
          <w:szCs w:val="24"/>
          <w:color w:val="auto"/>
        </w:rPr>
      </w:pPr>
    </w:p>
    <w:p>
      <w:pPr>
        <w:ind w:left="685" w:hanging="685"/>
        <w:spacing w:after="0"/>
        <w:tabs>
          <w:tab w:leader="none" w:pos="685"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364" w:lineRule="exact"/>
        <w:rPr>
          <w:rFonts w:ascii="MS PGothic" w:cs="MS PGothic" w:eastAsia="MS PGothic" w:hAnsi="MS PGothic"/>
          <w:sz w:val="25"/>
          <w:szCs w:val="25"/>
          <w:color w:val="auto"/>
        </w:rPr>
      </w:pPr>
    </w:p>
    <w:p>
      <w:pPr>
        <w:ind w:left="685" w:hanging="685"/>
        <w:spacing w:after="0"/>
        <w:tabs>
          <w:tab w:leader="none" w:pos="685"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ind w:left="5" w:right="1519"/>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32" w:lineRule="exact"/>
        <w:rPr>
          <w:sz w:val="24"/>
          <w:szCs w:val="24"/>
          <w:color w:val="auto"/>
        </w:rPr>
      </w:pPr>
    </w:p>
    <w:p>
      <w:pPr>
        <w:jc w:val="both"/>
        <w:ind w:left="5" w:right="1179"/>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51" w:right="1440" w:bottom="1440" w:gutter="0" w:footer="0" w:header="0"/>
        </w:sectPr>
      </w:pPr>
    </w:p>
    <w:bookmarkStart w:id="1" w:name="page2"/>
    <w:bookmarkEnd w:id="1"/>
    <w:p>
      <w:pPr>
        <w:ind w:left="5"/>
        <w:spacing w:after="0"/>
        <w:tabs>
          <w:tab w:leader="none" w:pos="1305" w:val="left"/>
          <w:tab w:leader="none" w:pos="4065" w:val="left"/>
          <w:tab w:leader="none" w:pos="828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358010106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2 of 5</w:t>
      </w:r>
    </w:p>
    <w:p>
      <w:pPr>
        <w:spacing w:after="0" w:line="195" w:lineRule="exact"/>
        <w:rPr>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585"/>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202" w:lineRule="exact"/>
        <w:rPr>
          <w:rFonts w:ascii="Arial" w:cs="Arial" w:eastAsia="Arial" w:hAnsi="Arial"/>
          <w:sz w:val="20"/>
          <w:szCs w:val="20"/>
          <w:color w:val="auto"/>
        </w:rPr>
      </w:pPr>
    </w:p>
    <w:p>
      <w:pPr>
        <w:ind w:left="585" w:right="1899"/>
        <w:spacing w:after="0" w:line="236"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Frequency Electronics Inc. 401(k) Plan</w:t>
      </w:r>
    </w:p>
    <w:p>
      <w:pPr>
        <w:spacing w:after="0" w:line="171" w:lineRule="exact"/>
        <w:rPr>
          <w:rFonts w:ascii="Arial" w:cs="Arial" w:eastAsia="Arial" w:hAnsi="Arial"/>
          <w:sz w:val="20"/>
          <w:szCs w:val="20"/>
          <w:color w:val="auto"/>
        </w:rPr>
      </w:pPr>
    </w:p>
    <w:p>
      <w:pPr>
        <w:ind w:left="585"/>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41" w:lineRule="exact"/>
        <w:rPr>
          <w:rFonts w:ascii="Arial" w:cs="Arial" w:eastAsia="Arial" w:hAnsi="Arial"/>
          <w:sz w:val="20"/>
          <w:szCs w:val="20"/>
          <w:color w:val="auto"/>
        </w:rPr>
      </w:pPr>
    </w:p>
    <w:p>
      <w:pPr>
        <w:ind w:left="1525" w:hanging="296"/>
        <w:spacing w:after="0" w:line="258" w:lineRule="exact"/>
        <w:tabs>
          <w:tab w:leader="none" w:pos="1525"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255" w:lineRule="exact"/>
        <w:rPr>
          <w:rFonts w:ascii="Arial" w:cs="Arial" w:eastAsia="Arial" w:hAnsi="Arial"/>
          <w:sz w:val="20"/>
          <w:szCs w:val="20"/>
          <w:color w:val="auto"/>
        </w:rPr>
      </w:pPr>
    </w:p>
    <w:p>
      <w:pPr>
        <w:ind w:left="1525" w:hanging="296"/>
        <w:spacing w:after="0" w:line="258" w:lineRule="exact"/>
        <w:tabs>
          <w:tab w:leader="none" w:pos="1525"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397"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-327025</wp:posOffset>
            </wp:positionV>
            <wp:extent cx="559943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-653415</wp:posOffset>
            </wp:positionV>
            <wp:extent cx="559943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-1630680</wp:posOffset>
            </wp:positionV>
            <wp:extent cx="559943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158" w:lineRule="exact"/>
        <w:rPr>
          <w:sz w:val="20"/>
          <w:szCs w:val="20"/>
          <w:color w:val="auto"/>
        </w:rPr>
      </w:pPr>
    </w:p>
    <w:tbl>
      <w:tblPr>
        <w:tblLayout w:type="fixed"/>
        <w:tblInd w:w="65" w:type="dxa"/>
        <w:tblCellMar>
          <w:top w:w="0" w:type="dxa"/>
          <w:left w:w="0" w:type="dxa"/>
          <w:bottom w:w="0" w:type="dxa"/>
          <w:right w:w="0" w:type="dxa"/>
        </w:tblCellMar>
      </w:tblPr>
      <w:tr>
        <w:trPr>
          <w:trHeight w:val="261"/>
        </w:trPr>
        <w:tc>
          <w:tcPr>
            <w:tcW w:w="4600" w:type="dxa"/>
            <w:vAlign w:val="bottom"/>
            <w:gridSpan w:val="3"/>
          </w:tcPr>
          <w:p>
            <w:pPr>
              <w:jc w:val="center"/>
              <w:ind w:right="1301"/>
              <w:spacing w:after="0"/>
              <w:rPr>
                <w:sz w:val="20"/>
                <w:szCs w:val="20"/>
                <w:color w:val="auto"/>
              </w:rPr>
            </w:pPr>
            <w:r>
              <w:rPr>
                <w:rFonts w:ascii="Arial" w:cs="Arial" w:eastAsia="Arial" w:hAnsi="Arial"/>
                <w:sz w:val="20"/>
                <w:szCs w:val="20"/>
                <w:b w:val="1"/>
                <w:bCs w:val="1"/>
                <w:color w:val="auto"/>
              </w:rPr>
              <w:t>Delaware</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22"/>
        </w:trPr>
        <w:tc>
          <w:tcPr>
            <w:tcW w:w="1460" w:type="dxa"/>
            <w:vAlign w:val="bottom"/>
          </w:tcPr>
          <w:p>
            <w:pPr>
              <w:jc w:val="center"/>
              <w:spacing w:after="0"/>
              <w:rPr>
                <w:sz w:val="20"/>
                <w:szCs w:val="20"/>
                <w:color w:val="auto"/>
              </w:rPr>
            </w:pPr>
            <w:r>
              <w:rPr>
                <w:rFonts w:ascii="Arial" w:cs="Arial" w:eastAsia="Arial" w:hAnsi="Arial"/>
                <w:sz w:val="20"/>
                <w:szCs w:val="20"/>
                <w:color w:val="auto"/>
                <w:w w:val="98"/>
              </w:rPr>
              <w:t>Number of</w:t>
            </w: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90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rPr>
              <w:t>Shares</w:t>
            </w:r>
          </w:p>
        </w:tc>
        <w:tc>
          <w:tcPr>
            <w:tcW w:w="2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8"/>
              </w:rPr>
              <w:t>Beneficially</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6.</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669,325</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Owned by Each</w:t>
            </w:r>
          </w:p>
        </w:tc>
        <w:tc>
          <w:tcPr>
            <w:tcW w:w="240" w:type="dxa"/>
            <w:vAlign w:val="bottom"/>
            <w:vMerge w:val="continue"/>
          </w:tcPr>
          <w:p>
            <w:pPr>
              <w:spacing w:after="0"/>
              <w:rPr>
                <w:sz w:val="18"/>
                <w:szCs w:val="18"/>
                <w:color w:val="auto"/>
              </w:rPr>
            </w:pPr>
          </w:p>
        </w:tc>
        <w:tc>
          <w:tcPr>
            <w:tcW w:w="29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Reporting</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7"/>
              </w:rPr>
              <w:t>Person With:</w:t>
            </w:r>
          </w:p>
        </w:tc>
        <w:tc>
          <w:tcPr>
            <w:tcW w:w="240" w:type="dxa"/>
            <w:vAlign w:val="bottom"/>
            <w:vMerge w:val="continue"/>
          </w:tcPr>
          <w:p>
            <w:pPr>
              <w:spacing w:after="0"/>
              <w:rPr>
                <w:sz w:val="20"/>
                <w:szCs w:val="20"/>
                <w:color w:val="auto"/>
              </w:rPr>
            </w:pPr>
          </w:p>
        </w:tc>
        <w:tc>
          <w:tcPr>
            <w:tcW w:w="2900" w:type="dxa"/>
            <w:vAlign w:val="bottom"/>
            <w:vMerge w:val="continue"/>
          </w:tcPr>
          <w:p>
            <w:pPr>
              <w:spacing w:after="0"/>
              <w:rPr>
                <w:sz w:val="20"/>
                <w:szCs w:val="20"/>
                <w:color w:val="auto"/>
              </w:rPr>
            </w:pPr>
          </w:p>
        </w:tc>
        <w:tc>
          <w:tcPr>
            <w:tcW w:w="12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146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90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669,325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973455</wp:posOffset>
            </wp:positionH>
            <wp:positionV relativeFrom="paragraph">
              <wp:posOffset>-5715</wp:posOffset>
            </wp:positionV>
            <wp:extent cx="459613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973455</wp:posOffset>
            </wp:positionH>
            <wp:positionV relativeFrom="paragraph">
              <wp:posOffset>-332105</wp:posOffset>
            </wp:positionV>
            <wp:extent cx="459613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973455</wp:posOffset>
            </wp:positionH>
            <wp:positionV relativeFrom="paragraph">
              <wp:posOffset>-657860</wp:posOffset>
            </wp:positionV>
            <wp:extent cx="459613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973455</wp:posOffset>
            </wp:positionH>
            <wp:positionV relativeFrom="paragraph">
              <wp:posOffset>-983615</wp:posOffset>
            </wp:positionV>
            <wp:extent cx="459613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-1455420</wp:posOffset>
            </wp:positionV>
            <wp:extent cx="559943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229" w:lineRule="exact"/>
        <w:rPr>
          <w:sz w:val="20"/>
          <w:szCs w:val="20"/>
          <w:color w:val="auto"/>
        </w:rPr>
      </w:pPr>
    </w:p>
    <w:p>
      <w:pPr>
        <w:ind w:left="585" w:hanging="585"/>
        <w:spacing w:after="0"/>
        <w:tabs>
          <w:tab w:leader="none" w:pos="585"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669,325</w:t>
      </w:r>
    </w:p>
    <w:p>
      <w:pPr>
        <w:spacing w:after="0" w:line="309" w:lineRule="exact"/>
        <w:rPr>
          <w:rFonts w:ascii="Arial" w:cs="Arial" w:eastAsia="Arial" w:hAnsi="Arial"/>
          <w:sz w:val="20"/>
          <w:szCs w:val="20"/>
          <w:color w:val="auto"/>
        </w:rPr>
      </w:pPr>
    </w:p>
    <w:p>
      <w:pPr>
        <w:ind w:left="1225" w:hanging="1225"/>
        <w:spacing w:after="0"/>
        <w:tabs>
          <w:tab w:leader="none" w:pos="1225"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-343535</wp:posOffset>
            </wp:positionV>
            <wp:extent cx="559943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225"/>
        <w:spacing w:after="0" w:line="231" w:lineRule="exact"/>
        <w:rPr>
          <w:sz w:val="20"/>
          <w:szCs w:val="20"/>
          <w:color w:val="auto"/>
        </w:rPr>
      </w:pPr>
      <w:r>
        <w:rPr>
          <w:rFonts w:ascii="MS PGothic" w:cs="MS PGothic" w:eastAsia="MS PGothic" w:hAnsi="MS PGothic"/>
          <w:sz w:val="25"/>
          <w:szCs w:val="2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36830</wp:posOffset>
            </wp:positionV>
            <wp:extent cx="559943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352" w:lineRule="exact"/>
        <w:rPr>
          <w:sz w:val="20"/>
          <w:szCs w:val="20"/>
          <w:color w:val="auto"/>
        </w:rPr>
      </w:pPr>
    </w:p>
    <w:p>
      <w:pPr>
        <w:ind w:left="585" w:hanging="585"/>
        <w:spacing w:after="0"/>
        <w:tabs>
          <w:tab w:leader="none" w:pos="585"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7.67%</w:t>
      </w:r>
    </w:p>
    <w:p>
      <w:pPr>
        <w:spacing w:after="0" w:line="309" w:lineRule="exact"/>
        <w:rPr>
          <w:rFonts w:ascii="Arial" w:cs="Arial" w:eastAsia="Arial" w:hAnsi="Arial"/>
          <w:sz w:val="20"/>
          <w:szCs w:val="20"/>
          <w:color w:val="auto"/>
        </w:rPr>
      </w:pPr>
    </w:p>
    <w:p>
      <w:pPr>
        <w:ind w:left="585" w:hanging="585"/>
        <w:spacing w:after="0"/>
        <w:tabs>
          <w:tab w:leader="none" w:pos="585"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559943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225"/>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559943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ectPr>
          <w:pgSz w:w="11900" w:h="16838" w:orient="portrait"/>
          <w:cols w:equalWidth="0" w:num="1">
            <w:col w:w="10184"/>
          </w:cols>
          <w:pgMar w:left="275" w:top="743"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b w:val="1"/>
          <w:bCs w:val="1"/>
          <w:color w:val="auto"/>
        </w:rPr>
        <w:t>358010106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5" w:lineRule="exact"/>
        <w:rPr>
          <w:sz w:val="20"/>
          <w:szCs w:val="20"/>
          <w:color w:val="auto"/>
        </w:rPr>
      </w:pPr>
    </w:p>
    <w:p>
      <w:pPr>
        <w:sectPr>
          <w:pgSz w:w="11900" w:h="16838" w:orient="portrait"/>
          <w:cols w:equalWidth="0" w:num="4">
            <w:col w:w="805" w:space="520"/>
            <w:col w:w="2040" w:space="720"/>
            <w:col w:w="3500" w:space="720"/>
            <w:col w:w="1879"/>
          </w:cols>
          <w:pgMar w:left="275" w:top="743" w:right="1440" w:bottom="1440" w:gutter="0" w:footer="0" w:header="0"/>
        </w:sect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43" w:right="1440" w:bottom="1440" w:gutter="0" w:footer="0" w:header="0"/>
          <w:type w:val="continuous"/>
        </w:sectPr>
      </w:pPr>
    </w:p>
    <w:p>
      <w:pPr>
        <w:spacing w:after="0" w:line="265"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jc w:val="center"/>
        <w:ind w:right="3079"/>
        <w:spacing w:after="0"/>
        <w:rPr>
          <w:sz w:val="20"/>
          <w:szCs w:val="20"/>
          <w:color w:val="auto"/>
        </w:rPr>
      </w:pPr>
      <w:r>
        <w:rPr>
          <w:rFonts w:ascii="Arial" w:cs="Arial" w:eastAsia="Arial" w:hAnsi="Arial"/>
          <w:sz w:val="19"/>
          <w:szCs w:val="19"/>
          <w:b w:val="1"/>
          <w:bCs w:val="1"/>
          <w:color w:val="auto"/>
        </w:rPr>
        <w:t>Frequency Electronics Inc.</w:t>
      </w:r>
    </w:p>
    <w:p>
      <w:pPr>
        <w:spacing w:after="0" w:line="224" w:lineRule="exact"/>
        <w:rPr>
          <w:sz w:val="20"/>
          <w:szCs w:val="20"/>
          <w:color w:val="auto"/>
        </w:rPr>
      </w:pPr>
    </w:p>
    <w:p>
      <w:pPr>
        <w:sectPr>
          <w:pgSz w:w="11900" w:h="16838" w:orient="portrait"/>
          <w:cols w:equalWidth="0" w:num="2">
            <w:col w:w="3865" w:space="720"/>
            <w:col w:w="5599"/>
          </w:cols>
          <w:pgMar w:left="275" w:top="743" w:right="1440" w:bottom="1440" w:gutter="0" w:footer="0" w:header="0"/>
          <w:type w:val="continuous"/>
        </w:sectPr>
      </w:pPr>
    </w:p>
    <w:p>
      <w:pPr>
        <w:spacing w:after="0" w:line="17" w:lineRule="exact"/>
        <w:rPr>
          <w:sz w:val="20"/>
          <w:szCs w:val="20"/>
          <w:color w:val="auto"/>
        </w:rPr>
      </w:pPr>
    </w:p>
    <w:p>
      <w:pPr>
        <w:ind w:left="305" w:hanging="305"/>
        <w:spacing w:after="0"/>
        <w:tabs>
          <w:tab w:leader="none" w:pos="305" w:val="left"/>
        </w:tabs>
        <w:numPr>
          <w:ilvl w:val="0"/>
          <w:numId w:val="6"/>
        </w:numPr>
        <w:rPr>
          <w:rFonts w:ascii="Arial" w:cs="Arial" w:eastAsia="Arial" w:hAnsi="Arial"/>
          <w:sz w:val="20"/>
          <w:szCs w:val="20"/>
          <w:color w:val="auto"/>
        </w:rPr>
      </w:pPr>
      <w:r>
        <w:rPr>
          <w:rFonts w:ascii="Arial" w:cs="Arial" w:eastAsia="Arial" w:hAnsi="Arial"/>
          <w:sz w:val="20"/>
          <w:szCs w:val="20"/>
          <w:color w:val="auto"/>
        </w:rPr>
        <w:t xml:space="preserve">Address of Issuer’s Principal Executive Offices:  </w:t>
      </w:r>
      <w:r>
        <w:rPr>
          <w:rFonts w:ascii="Arial" w:cs="Arial" w:eastAsia="Arial" w:hAnsi="Arial"/>
          <w:sz w:val="20"/>
          <w:szCs w:val="20"/>
          <w:b w:val="1"/>
          <w:bCs w:val="1"/>
          <w:color w:val="auto"/>
        </w:rPr>
        <w:t>55 Charles Lindbergh Blvd</w:t>
      </w:r>
    </w:p>
    <w:p>
      <w:pPr>
        <w:spacing w:after="0" w:line="40" w:lineRule="exact"/>
        <w:rPr>
          <w:rFonts w:ascii="Arial" w:cs="Arial" w:eastAsia="Arial" w:hAnsi="Arial"/>
          <w:sz w:val="20"/>
          <w:szCs w:val="20"/>
          <w:color w:val="auto"/>
        </w:rPr>
      </w:pPr>
    </w:p>
    <w:p>
      <w:pPr>
        <w:ind w:left="4585"/>
        <w:spacing w:after="0"/>
        <w:rPr>
          <w:rFonts w:ascii="Arial" w:cs="Arial" w:eastAsia="Arial" w:hAnsi="Arial"/>
          <w:sz w:val="20"/>
          <w:szCs w:val="20"/>
          <w:color w:val="auto"/>
        </w:rPr>
      </w:pPr>
      <w:r>
        <w:rPr>
          <w:rFonts w:ascii="Arial" w:cs="Arial" w:eastAsia="Arial" w:hAnsi="Arial"/>
          <w:sz w:val="20"/>
          <w:szCs w:val="20"/>
          <w:b w:val="1"/>
          <w:bCs w:val="1"/>
          <w:color w:val="auto"/>
        </w:rPr>
        <w:t>Mitchel Field NY 11553</w:t>
      </w:r>
    </w:p>
    <w:p>
      <w:pPr>
        <w:spacing w:after="0" w:line="22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545" w:right="1939"/>
        <w:spacing w:after="0" w:line="281"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Frequency Electronics Inc. 401(k) Plan</w:t>
      </w:r>
    </w:p>
    <w:p>
      <w:pPr>
        <w:spacing w:after="0" w:line="2" w:lineRule="exact"/>
        <w:rPr>
          <w:sz w:val="20"/>
          <w:szCs w:val="20"/>
          <w:color w:val="auto"/>
        </w:rPr>
      </w:pPr>
    </w:p>
    <w:p>
      <w:pPr>
        <w:ind w:left="5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545"/>
        <w:spacing w:after="0"/>
        <w:rPr>
          <w:sz w:val="20"/>
          <w:szCs w:val="20"/>
          <w:color w:val="auto"/>
        </w:rPr>
      </w:pPr>
      <w:r>
        <w:rPr>
          <w:rFonts w:ascii="Arial" w:cs="Arial" w:eastAsia="Arial" w:hAnsi="Arial"/>
          <w:sz w:val="20"/>
          <w:szCs w:val="20"/>
          <w:color w:val="auto"/>
        </w:rPr>
        <w:t>Wilmington DE 19805-1265</w:t>
      </w:r>
    </w:p>
    <w:p>
      <w:pPr>
        <w:sectPr>
          <w:pgSz w:w="11900" w:h="16838" w:orient="portrait"/>
          <w:cols w:equalWidth="0" w:num="1">
            <w:col w:w="10184"/>
          </w:cols>
          <w:pgMar w:left="275" w:top="743" w:right="1440" w:bottom="1440" w:gutter="0" w:footer="0" w:header="0"/>
          <w:type w:val="continuous"/>
        </w:sectPr>
      </w:pPr>
    </w:p>
    <w:p>
      <w:pPr>
        <w:spacing w:after="0" w:line="229" w:lineRule="exact"/>
        <w:rPr>
          <w:sz w:val="20"/>
          <w:szCs w:val="20"/>
          <w:color w:val="auto"/>
        </w:rPr>
      </w:pPr>
    </w:p>
    <w:p>
      <w:pPr>
        <w:ind w:left="545"/>
        <w:spacing w:after="0"/>
        <w:rPr>
          <w:sz w:val="20"/>
          <w:szCs w:val="20"/>
          <w:color w:val="auto"/>
        </w:rPr>
      </w:pPr>
      <w:r>
        <w:rPr>
          <w:rFonts w:ascii="Arial" w:cs="Arial" w:eastAsia="Arial" w:hAnsi="Arial"/>
          <w:sz w:val="19"/>
          <w:szCs w:val="19"/>
          <w:color w:val="auto"/>
        </w:rPr>
        <w:t>Citizenship:</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Delaware</w:t>
      </w:r>
    </w:p>
    <w:p>
      <w:pPr>
        <w:spacing w:after="0" w:line="224" w:lineRule="exact"/>
        <w:rPr>
          <w:sz w:val="20"/>
          <w:szCs w:val="20"/>
          <w:color w:val="auto"/>
        </w:rPr>
      </w:pPr>
    </w:p>
    <w:p>
      <w:pPr>
        <w:sectPr>
          <w:pgSz w:w="11900" w:h="16838" w:orient="portrait"/>
          <w:cols w:equalWidth="0" w:num="2">
            <w:col w:w="2225" w:space="720"/>
            <w:col w:w="7239"/>
          </w:cols>
          <w:pgMar w:left="275" w:top="743" w:right="1440"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19"/>
          <w:szCs w:val="19"/>
          <w:color w:val="auto"/>
        </w:rPr>
        <w:t>(d) Title if Class of Securities: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Common Stock, par value $1.00 per share</w:t>
      </w:r>
    </w:p>
    <w:p>
      <w:pPr>
        <w:spacing w:after="0" w:line="224" w:lineRule="exact"/>
        <w:rPr>
          <w:sz w:val="20"/>
          <w:szCs w:val="20"/>
          <w:color w:val="auto"/>
        </w:rPr>
      </w:pPr>
    </w:p>
    <w:p>
      <w:pPr>
        <w:sectPr>
          <w:pgSz w:w="11900" w:h="16838" w:orient="portrait"/>
          <w:cols w:equalWidth="0" w:num="2">
            <w:col w:w="3305" w:space="720"/>
            <w:col w:w="6159"/>
          </w:cols>
          <w:pgMar w:left="275" w:top="743" w:right="1440"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19"/>
          <w:szCs w:val="19"/>
          <w:color w:val="auto"/>
        </w:rPr>
        <w:t>(e) CUSIP Number: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358010106</w:t>
      </w:r>
    </w:p>
    <w:p>
      <w:pPr>
        <w:spacing w:after="0" w:line="224" w:lineRule="exact"/>
        <w:rPr>
          <w:sz w:val="20"/>
          <w:szCs w:val="20"/>
          <w:color w:val="auto"/>
        </w:rPr>
      </w:pPr>
    </w:p>
    <w:p>
      <w:pPr>
        <w:sectPr>
          <w:pgSz w:w="11900" w:h="16838" w:orient="portrait"/>
          <w:cols w:equalWidth="0" w:num="2">
            <w:col w:w="3305" w:space="720"/>
            <w:col w:w="6159"/>
          </w:cols>
          <w:pgMar w:left="275" w:top="743" w:right="1440" w:bottom="1440" w:gutter="0" w:footer="0" w:header="0"/>
          <w:type w:val="continuous"/>
        </w:sectPr>
      </w:pPr>
    </w:p>
    <w:p>
      <w:pPr>
        <w:spacing w:after="0" w:line="17"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ind w:left="5"/>
        <w:spacing w:after="0"/>
        <w:tabs>
          <w:tab w:leader="none" w:pos="525" w:val="left"/>
          <w:tab w:leader="none" w:pos="1305"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545" w:right="11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ind w:left="545" w:right="1039" w:hanging="545"/>
        <w:spacing w:after="0" w:line="230" w:lineRule="auto"/>
        <w:tabs>
          <w:tab w:leader="none" w:pos="5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Frequency Electronics Inc. 401(k) Plan (“401(k) Plan”),</w:t>
      </w:r>
      <w:r>
        <w:rPr>
          <w:rFonts w:ascii="Arial" w:cs="Arial" w:eastAsia="Arial" w:hAnsi="Arial"/>
          <w:sz w:val="20"/>
          <w:szCs w:val="20"/>
          <w:color w:val="auto"/>
        </w:rPr>
        <w:t xml:space="preserve">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401(k) Plan Trust (collectively,</w:t>
      </w:r>
      <w:r>
        <w:rPr>
          <w:rFonts w:ascii="Arial" w:cs="Arial" w:eastAsia="Arial" w:hAnsi="Arial"/>
          <w:sz w:val="20"/>
          <w:szCs w:val="20"/>
          <w:color w:val="auto"/>
        </w:rPr>
        <w:t xml:space="preserve"> </w:t>
      </w:r>
      <w:r>
        <w:rPr>
          <w:rFonts w:ascii="Arial" w:cs="Arial" w:eastAsia="Arial" w:hAnsi="Arial"/>
          <w:sz w:val="20"/>
          <w:szCs w:val="20"/>
          <w:b w:val="1"/>
          <w:bCs w:val="1"/>
          <w:color w:val="auto"/>
        </w:rPr>
        <w:t>the “Trust”)</w:t>
      </w:r>
      <w:r>
        <w:rPr>
          <w:rFonts w:ascii="Arial" w:cs="Arial" w:eastAsia="Arial" w:hAnsi="Arial"/>
          <w:sz w:val="20"/>
          <w:szCs w:val="20"/>
          <w:color w:val="auto"/>
        </w:rPr>
        <w:t>. As of December 31, 2017.</w:t>
      </w:r>
      <w:r>
        <w:rPr>
          <w:rFonts w:ascii="Arial" w:cs="Arial" w:eastAsia="Arial" w:hAnsi="Arial"/>
          <w:sz w:val="20"/>
          <w:szCs w:val="20"/>
          <w:b w:val="1"/>
          <w:bCs w:val="1"/>
          <w:color w:val="auto"/>
        </w:rPr>
        <w:t xml:space="preserve"> Frequency Electronics Inc. 401(k) Plan Trust </w:t>
      </w:r>
      <w:r>
        <w:rPr>
          <w:rFonts w:ascii="Arial" w:cs="Arial" w:eastAsia="Arial" w:hAnsi="Arial"/>
          <w:sz w:val="20"/>
          <w:szCs w:val="20"/>
          <w:color w:val="auto"/>
        </w:rPr>
        <w:t>held</w:t>
      </w:r>
      <w:r>
        <w:rPr>
          <w:rFonts w:ascii="Arial" w:cs="Arial" w:eastAsia="Arial" w:hAnsi="Arial"/>
          <w:sz w:val="20"/>
          <w:szCs w:val="20"/>
          <w:b w:val="1"/>
          <w:bCs w:val="1"/>
          <w:color w:val="auto"/>
        </w:rPr>
        <w:t xml:space="preserve"> 669,325 </w:t>
      </w:r>
      <w:r>
        <w:rPr>
          <w:rFonts w:ascii="Arial" w:cs="Arial" w:eastAsia="Arial" w:hAnsi="Arial"/>
          <w:sz w:val="20"/>
          <w:szCs w:val="20"/>
          <w:color w:val="auto"/>
        </w:rPr>
        <w:t>shares of the Issuer's common stock. The securities reported include all shares held of</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record by the Trustee. The Trustee follows the directions of the Employer, </w:t>
      </w:r>
      <w:r>
        <w:rPr>
          <w:rFonts w:ascii="Arial" w:cs="Arial" w:eastAsia="Arial" w:hAnsi="Arial"/>
          <w:sz w:val="20"/>
          <w:szCs w:val="20"/>
          <w:b w:val="1"/>
          <w:bCs w:val="1"/>
          <w:color w:val="auto"/>
        </w:rPr>
        <w:t>Frequency Electronics</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Inc. </w:t>
      </w:r>
      <w:r>
        <w:rPr>
          <w:rFonts w:ascii="Arial" w:cs="Arial" w:eastAsia="Arial" w:hAnsi="Arial"/>
          <w:sz w:val="20"/>
          <w:szCs w:val="20"/>
          <w:color w:val="auto"/>
        </w:rPr>
        <w:t>(the “Employer”), or other parties designated in the trust agreement between the Employer</w:t>
      </w:r>
      <w:r>
        <w:rPr>
          <w:rFonts w:ascii="Arial" w:cs="Arial" w:eastAsia="Arial" w:hAnsi="Arial"/>
          <w:sz w:val="20"/>
          <w:szCs w:val="20"/>
          <w:b w:val="1"/>
          <w:bCs w:val="1"/>
          <w:color w:val="auto"/>
        </w:rPr>
        <w:t xml:space="preserve"> </w:t>
      </w:r>
      <w:r>
        <w:rPr>
          <w:rFonts w:ascii="Arial" w:cs="Arial" w:eastAsia="Arial" w:hAnsi="Arial"/>
          <w:sz w:val="20"/>
          <w:szCs w:val="20"/>
          <w:color w:val="auto"/>
        </w:rPr>
        <w:t>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545" w:right="1079" w:hanging="545"/>
        <w:spacing w:after="0" w:line="241" w:lineRule="auto"/>
        <w:tabs>
          <w:tab w:leader="none" w:pos="5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669,325</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7.67%</w:t>
      </w:r>
      <w:r>
        <w:rPr>
          <w:rFonts w:ascii="Arial" w:cs="Arial" w:eastAsia="Arial" w:hAnsi="Arial"/>
          <w:sz w:val="20"/>
          <w:szCs w:val="20"/>
          <w:color w:val="auto"/>
        </w:rPr>
        <w:t xml:space="preserve"> of the Issuer’s outstanding shares of common stock. The percent of class is based on shares outstanding as of December 31, 2017, as provided by the Issuer.</w:t>
      </w:r>
    </w:p>
    <w:p>
      <w:pPr>
        <w:sectPr>
          <w:pgSz w:w="11900" w:h="16838" w:orient="portrait"/>
          <w:cols w:equalWidth="0" w:num="1">
            <w:col w:w="10184"/>
          </w:cols>
          <w:pgMar w:left="275" w:top="743" w:right="1440" w:bottom="1440" w:gutter="0" w:footer="0" w:header="0"/>
          <w:type w:val="continuous"/>
        </w:sectPr>
      </w:pPr>
    </w:p>
    <w:bookmarkStart w:id="3" w:name="page4"/>
    <w:bookmarkEnd w:id="3"/>
    <w:p>
      <w:pPr>
        <w:ind w:left="5"/>
        <w:spacing w:after="0"/>
        <w:tabs>
          <w:tab w:leader="none" w:pos="1465" w:val="left"/>
          <w:tab w:leader="none" w:pos="4365" w:val="left"/>
          <w:tab w:leader="none" w:pos="826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358010106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4 of 5</w:t>
      </w:r>
    </w:p>
    <w:p>
      <w:pPr>
        <w:spacing w:after="0" w:line="209" w:lineRule="exact"/>
        <w:rPr>
          <w:sz w:val="20"/>
          <w:szCs w:val="20"/>
          <w:color w:val="auto"/>
        </w:rPr>
      </w:pPr>
    </w:p>
    <w:p>
      <w:pPr>
        <w:ind w:left="545" w:hanging="545"/>
        <w:spacing w:after="0"/>
        <w:tabs>
          <w:tab w:leader="none" w:pos="545"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669,325</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669,325</w:t>
            </w:r>
          </w:p>
        </w:tc>
      </w:tr>
    </w:tbl>
    <w:p>
      <w:pPr>
        <w:spacing w:after="0" w:line="23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ind w:left="5" w:right="109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43" w:right="1440" w:bottom="1440" w:gutter="0" w:footer="0" w:header="0"/>
        </w:sectPr>
      </w:pPr>
    </w:p>
    <w:bookmarkStart w:id="4" w:name="page5"/>
    <w:bookmarkEnd w:id="4"/>
    <w:p>
      <w:pPr>
        <w:spacing w:after="0"/>
        <w:tabs>
          <w:tab w:leader="none" w:pos="1300" w:val="left"/>
          <w:tab w:leader="none" w:pos="4060" w:val="left"/>
          <w:tab w:leader="none" w:pos="82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358010106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5 of 5</w:t>
      </w:r>
    </w:p>
    <w:p>
      <w:pPr>
        <w:spacing w:after="0" w:line="185" w:lineRule="exact"/>
        <w:rPr>
          <w:sz w:val="20"/>
          <w:szCs w:val="20"/>
          <w:color w:val="auto"/>
        </w:rPr>
      </w:pPr>
    </w:p>
    <w:p>
      <w:pPr>
        <w:ind w:left="3920"/>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145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323" w:lineRule="exact"/>
        <w:rPr>
          <w:sz w:val="20"/>
          <w:szCs w:val="20"/>
          <w:color w:val="auto"/>
        </w:rPr>
      </w:pPr>
    </w:p>
    <w:p>
      <w:pPr>
        <w:ind w:left="452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10795</wp:posOffset>
            </wp:positionV>
            <wp:extent cx="29845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84500" cy="8890"/>
                    </a:xfrm>
                    <a:prstGeom prst="rect">
                      <a:avLst/>
                    </a:prstGeom>
                    <a:noFill/>
                  </pic:spPr>
                </pic:pic>
              </a:graphicData>
            </a:graphic>
          </wp:anchor>
        </w:drawing>
      </w:r>
    </w:p>
    <w:p>
      <w:pPr>
        <w:spacing w:after="0" w:line="10"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Kristin M. Camp</w:t>
      </w:r>
    </w:p>
    <w:p>
      <w:pPr>
        <w:ind w:left="4520"/>
        <w:spacing w:after="0" w:line="236" w:lineRule="auto"/>
        <w:rPr>
          <w:sz w:val="20"/>
          <w:szCs w:val="20"/>
          <w:color w:val="auto"/>
        </w:rPr>
      </w:pPr>
      <w:r>
        <w:rPr>
          <w:rFonts w:ascii="Arial" w:cs="Arial" w:eastAsia="Arial" w:hAnsi="Arial"/>
          <w:sz w:val="20"/>
          <w:szCs w:val="20"/>
          <w:b w:val="1"/>
          <w:bCs w:val="1"/>
          <w:color w:val="auto"/>
        </w:rPr>
        <w:t>President</w:t>
      </w:r>
    </w:p>
    <w:p>
      <w:pPr>
        <w:ind w:left="4520"/>
        <w:spacing w:after="0"/>
        <w:rPr>
          <w:sz w:val="20"/>
          <w:szCs w:val="20"/>
          <w:color w:val="auto"/>
        </w:rPr>
      </w:pPr>
      <w:r>
        <w:rPr>
          <w:rFonts w:ascii="Arial" w:cs="Arial" w:eastAsia="Arial" w:hAnsi="Arial"/>
          <w:sz w:val="20"/>
          <w:szCs w:val="20"/>
          <w:b w:val="1"/>
          <w:bCs w:val="1"/>
          <w:color w:val="auto"/>
        </w:rPr>
        <w:t>January 17, 2018</w:t>
      </w:r>
    </w:p>
    <w:sectPr>
      <w:pgSz w:w="11900" w:h="16838" w:orient="portrait"/>
      <w:cols w:equalWidth="0" w:num="1">
        <w:col w:w="10179"/>
      </w:cols>
      <w:pgMar w:left="280" w:top="74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2"/>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2019-12-16T22:55:49Z</dcterms:created>
  <dcterms:modified xsi:type="dcterms:W3CDTF">2019-12-16T22:55:49Z</dcterms:modified>
</cp:coreProperties>
</file>