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545" w:val="left"/>
          <w:tab w:leader="none" w:pos="844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7"/>
          <w:szCs w:val="17"/>
          <w:b w:val="1"/>
          <w:bCs w:val="1"/>
          <w:color w:val="auto"/>
        </w:rPr>
        <w:t>Page 1 of 5</w:t>
      </w:r>
    </w:p>
    <w:p>
      <w:pPr>
        <w:spacing w:after="0" w:line="393" w:lineRule="exact"/>
        <w:rPr>
          <w:sz w:val="24"/>
          <w:szCs w:val="24"/>
          <w:color w:val="auto"/>
        </w:rPr>
      </w:pPr>
    </w:p>
    <w:p>
      <w:pPr>
        <w:jc w:val="center"/>
        <w:ind w:right="77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77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77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605"/>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2685"/>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805"/>
        <w:spacing w:after="0"/>
        <w:rPr>
          <w:sz w:val="20"/>
          <w:szCs w:val="20"/>
          <w:color w:val="auto"/>
        </w:rPr>
      </w:pPr>
      <w:r>
        <w:rPr>
          <w:rFonts w:ascii="Arial" w:cs="Arial" w:eastAsia="Arial" w:hAnsi="Arial"/>
          <w:sz w:val="20"/>
          <w:szCs w:val="20"/>
          <w:color w:val="auto"/>
        </w:rPr>
        <w:t>(Amendment No. 1)*</w:t>
      </w:r>
    </w:p>
    <w:p>
      <w:pPr>
        <w:spacing w:after="0" w:line="200" w:lineRule="exact"/>
        <w:rPr>
          <w:sz w:val="24"/>
          <w:szCs w:val="24"/>
          <w:color w:val="auto"/>
        </w:rPr>
      </w:pPr>
    </w:p>
    <w:p>
      <w:pPr>
        <w:spacing w:after="0" w:line="356" w:lineRule="exact"/>
        <w:rPr>
          <w:sz w:val="24"/>
          <w:szCs w:val="24"/>
          <w:color w:val="auto"/>
        </w:rPr>
      </w:pPr>
    </w:p>
    <w:p>
      <w:pPr>
        <w:jc w:val="center"/>
        <w:ind w:right="454"/>
        <w:spacing w:after="0"/>
        <w:rPr>
          <w:sz w:val="20"/>
          <w:szCs w:val="20"/>
          <w:color w:val="auto"/>
        </w:rPr>
      </w:pPr>
      <w:r>
        <w:rPr>
          <w:rFonts w:ascii="Arial" w:cs="Arial" w:eastAsia="Arial" w:hAnsi="Arial"/>
          <w:sz w:val="20"/>
          <w:szCs w:val="20"/>
          <w:b w:val="1"/>
          <w:bCs w:val="1"/>
          <w:color w:val="auto"/>
        </w:rPr>
        <w:t>Home Bancorp Wisconsin,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780415</wp:posOffset>
            </wp:positionH>
            <wp:positionV relativeFrom="paragraph">
              <wp:posOffset>26035</wp:posOffset>
            </wp:positionV>
            <wp:extent cx="46221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622165" cy="8890"/>
                    </a:xfrm>
                    <a:prstGeom prst="rect">
                      <a:avLst/>
                    </a:prstGeom>
                    <a:noFill/>
                  </pic:spPr>
                </pic:pic>
              </a:graphicData>
            </a:graphic>
          </wp:anchor>
        </w:drawing>
      </w:r>
    </w:p>
    <w:p>
      <w:pPr>
        <w:spacing w:after="0" w:line="34" w:lineRule="exact"/>
        <w:rPr>
          <w:sz w:val="24"/>
          <w:szCs w:val="24"/>
          <w:color w:val="auto"/>
        </w:rPr>
      </w:pPr>
    </w:p>
    <w:p>
      <w:pPr>
        <w:jc w:val="center"/>
        <w:ind w:right="454"/>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454"/>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780415</wp:posOffset>
            </wp:positionH>
            <wp:positionV relativeFrom="paragraph">
              <wp:posOffset>26035</wp:posOffset>
            </wp:positionV>
            <wp:extent cx="46221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622165" cy="8890"/>
                    </a:xfrm>
                    <a:prstGeom prst="rect">
                      <a:avLst/>
                    </a:prstGeom>
                    <a:noFill/>
                  </pic:spPr>
                </pic:pic>
              </a:graphicData>
            </a:graphic>
          </wp:anchor>
        </w:drawing>
      </w:r>
    </w:p>
    <w:p>
      <w:pPr>
        <w:spacing w:after="0" w:line="58" w:lineRule="exact"/>
        <w:rPr>
          <w:sz w:val="24"/>
          <w:szCs w:val="24"/>
          <w:color w:val="auto"/>
        </w:rPr>
      </w:pPr>
    </w:p>
    <w:p>
      <w:pPr>
        <w:jc w:val="center"/>
        <w:ind w:right="45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634"/>
        <w:spacing w:after="0"/>
        <w:rPr>
          <w:sz w:val="20"/>
          <w:szCs w:val="20"/>
          <w:color w:val="auto"/>
        </w:rPr>
      </w:pPr>
      <w:r>
        <w:rPr>
          <w:rFonts w:ascii="Arial" w:cs="Arial" w:eastAsia="Arial" w:hAnsi="Arial"/>
          <w:sz w:val="20"/>
          <w:szCs w:val="20"/>
          <w:b w:val="1"/>
          <w:bCs w:val="1"/>
          <w:color w:val="auto"/>
        </w:rPr>
        <w:t>43689Q100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1440815</wp:posOffset>
            </wp:positionH>
            <wp:positionV relativeFrom="paragraph">
              <wp:posOffset>26035</wp:posOffset>
            </wp:positionV>
            <wp:extent cx="31902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58" w:lineRule="exact"/>
        <w:rPr>
          <w:sz w:val="24"/>
          <w:szCs w:val="24"/>
          <w:color w:val="auto"/>
        </w:rPr>
      </w:pPr>
    </w:p>
    <w:p>
      <w:pPr>
        <w:jc w:val="center"/>
        <w:ind w:right="63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jc w:val="center"/>
        <w:ind w:right="634"/>
        <w:spacing w:after="0"/>
        <w:rPr>
          <w:sz w:val="20"/>
          <w:szCs w:val="20"/>
          <w:color w:val="auto"/>
        </w:rPr>
      </w:pPr>
      <w:r>
        <w:rPr>
          <w:rFonts w:ascii="Arial" w:cs="Arial" w:eastAsia="Arial" w:hAnsi="Arial"/>
          <w:sz w:val="20"/>
          <w:szCs w:val="20"/>
          <w:b w:val="1"/>
          <w:bCs w:val="1"/>
          <w:color w:val="auto"/>
        </w:rPr>
        <w:t>December 31,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1440815</wp:posOffset>
            </wp:positionH>
            <wp:positionV relativeFrom="paragraph">
              <wp:posOffset>26035</wp:posOffset>
            </wp:positionV>
            <wp:extent cx="31902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44" w:lineRule="exact"/>
        <w:rPr>
          <w:sz w:val="24"/>
          <w:szCs w:val="24"/>
          <w:color w:val="auto"/>
        </w:rPr>
      </w:pPr>
    </w:p>
    <w:p>
      <w:pPr>
        <w:jc w:val="center"/>
        <w:ind w:right="774"/>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10" w:lineRule="exact"/>
        <w:rPr>
          <w:sz w:val="24"/>
          <w:szCs w:val="24"/>
          <w:color w:val="auto"/>
        </w:rPr>
      </w:pPr>
    </w:p>
    <w:p>
      <w:pPr>
        <w:ind w:left="765" w:hanging="765"/>
        <w:spacing w:after="0"/>
        <w:tabs>
          <w:tab w:leader="none" w:pos="765" w:val="left"/>
        </w:tabs>
        <w:numPr>
          <w:ilvl w:val="0"/>
          <w:numId w:val="1"/>
        </w:numPr>
        <w:rPr>
          <w:rFonts w:ascii="Arial" w:cs="Arial" w:eastAsia="Arial" w:hAnsi="Arial"/>
          <w:sz w:val="18"/>
          <w:szCs w:val="18"/>
          <w:color w:val="auto"/>
        </w:rPr>
      </w:pPr>
      <w:r>
        <w:rPr>
          <w:rFonts w:ascii="Arial" w:cs="Arial" w:eastAsia="Arial" w:hAnsi="Arial"/>
          <w:sz w:val="20"/>
          <w:szCs w:val="20"/>
          <w:color w:val="auto"/>
        </w:rPr>
        <w:t>Rule 13d-1(b)</w:t>
      </w:r>
    </w:p>
    <w:p>
      <w:pPr>
        <w:spacing w:after="0" w:line="310" w:lineRule="exact"/>
        <w:rPr>
          <w:sz w:val="24"/>
          <w:szCs w:val="24"/>
          <w:color w:val="auto"/>
        </w:rPr>
      </w:pPr>
    </w:p>
    <w:p>
      <w:pPr>
        <w:ind w:left="765" w:hanging="765"/>
        <w:spacing w:after="0"/>
        <w:tabs>
          <w:tab w:leader="none" w:pos="76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13d-1(c)</w:t>
      </w:r>
    </w:p>
    <w:p>
      <w:pPr>
        <w:spacing w:after="0" w:line="310" w:lineRule="exact"/>
        <w:rPr>
          <w:rFonts w:ascii="MS PGothic" w:cs="MS PGothic" w:eastAsia="MS PGothic" w:hAnsi="MS PGothic"/>
          <w:sz w:val="18"/>
          <w:szCs w:val="18"/>
          <w:color w:val="auto"/>
        </w:rPr>
      </w:pPr>
    </w:p>
    <w:p>
      <w:pPr>
        <w:ind w:left="765" w:hanging="765"/>
        <w:spacing w:after="0"/>
        <w:tabs>
          <w:tab w:leader="none" w:pos="76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both"/>
        <w:ind w:left="5" w:right="779"/>
        <w:spacing w:after="0" w:line="23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46" w:right="1440" w:bottom="1440" w:gutter="0" w:footer="0" w:header="0"/>
        </w:sectPr>
      </w:pPr>
    </w:p>
    <w:bookmarkStart w:id="1" w:name="page2"/>
    <w:bookmarkEnd w:id="1"/>
    <w:p>
      <w:pPr>
        <w:ind w:left="5"/>
        <w:spacing w:after="0"/>
        <w:tabs>
          <w:tab w:leader="none" w:pos="1385" w:val="left"/>
          <w:tab w:leader="none" w:pos="4285" w:val="left"/>
          <w:tab w:leader="none" w:pos="820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7"/>
          <w:szCs w:val="17"/>
          <w:b w:val="1"/>
          <w:bCs w:val="1"/>
          <w:color w:val="auto"/>
        </w:rPr>
        <w:t>Page 2 of 5</w:t>
      </w:r>
    </w:p>
    <w:p>
      <w:pPr>
        <w:spacing w:after="0" w:line="200" w:lineRule="exact"/>
        <w:rPr>
          <w:sz w:val="20"/>
          <w:szCs w:val="20"/>
          <w:color w:val="auto"/>
        </w:rPr>
      </w:pPr>
    </w:p>
    <w:p>
      <w:pPr>
        <w:spacing w:after="0" w:line="206" w:lineRule="exact"/>
        <w:rPr>
          <w:sz w:val="20"/>
          <w:szCs w:val="20"/>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 of Reporting Persons.</w:t>
      </w:r>
    </w:p>
    <w:p>
      <w:pPr>
        <w:ind w:left="605"/>
        <w:spacing w:after="0"/>
        <w:rPr>
          <w:rFonts w:ascii="Arial" w:cs="Arial" w:eastAsia="Arial" w:hAnsi="Arial"/>
          <w:sz w:val="18"/>
          <w:szCs w:val="18"/>
          <w:color w:val="auto"/>
        </w:rPr>
      </w:pPr>
      <w:r>
        <w:rPr>
          <w:rFonts w:ascii="Arial" w:cs="Arial" w:eastAsia="Arial" w:hAnsi="Arial"/>
          <w:sz w:val="20"/>
          <w:szCs w:val="20"/>
          <w:color w:val="auto"/>
        </w:rPr>
        <w:t>I.R.S. Identification No. of above persons (entities only).</w:t>
      </w:r>
    </w:p>
    <w:p>
      <w:pPr>
        <w:spacing w:after="0" w:line="174" w:lineRule="exact"/>
        <w:rPr>
          <w:rFonts w:ascii="Arial" w:cs="Arial" w:eastAsia="Arial" w:hAnsi="Arial"/>
          <w:sz w:val="18"/>
          <w:szCs w:val="18"/>
          <w:color w:val="auto"/>
        </w:rPr>
      </w:pPr>
    </w:p>
    <w:p>
      <w:pPr>
        <w:ind w:left="605"/>
        <w:spacing w:after="0"/>
        <w:rPr>
          <w:rFonts w:ascii="Arial" w:cs="Arial" w:eastAsia="Arial" w:hAnsi="Arial"/>
          <w:sz w:val="18"/>
          <w:szCs w:val="18"/>
          <w:color w:val="auto"/>
        </w:rPr>
      </w:pPr>
      <w:r>
        <w:rPr>
          <w:rFonts w:ascii="Arial" w:cs="Arial" w:eastAsia="Arial" w:hAnsi="Arial"/>
          <w:sz w:val="20"/>
          <w:szCs w:val="20"/>
          <w:color w:val="auto"/>
        </w:rPr>
        <w:t>Delaware Charter Guarantee &amp; Trust Company dba Principal Trust Company as Trustee</w:t>
      </w:r>
    </w:p>
    <w:p>
      <w:pPr>
        <w:ind w:left="605" w:right="1219"/>
        <w:spacing w:after="0" w:line="236" w:lineRule="auto"/>
        <w:rPr>
          <w:rFonts w:ascii="Arial" w:cs="Arial" w:eastAsia="Arial" w:hAnsi="Arial"/>
          <w:sz w:val="18"/>
          <w:szCs w:val="18"/>
          <w:color w:val="auto"/>
        </w:rPr>
      </w:pPr>
      <w:r>
        <w:rPr>
          <w:rFonts w:ascii="Arial" w:cs="Arial" w:eastAsia="Arial" w:hAnsi="Arial"/>
          <w:sz w:val="20"/>
          <w:szCs w:val="20"/>
          <w:color w:val="auto"/>
        </w:rPr>
        <w:t xml:space="preserve">for the the </w:t>
      </w:r>
      <w:r>
        <w:rPr>
          <w:rFonts w:ascii="Arial" w:cs="Arial" w:eastAsia="Arial" w:hAnsi="Arial"/>
          <w:sz w:val="20"/>
          <w:szCs w:val="20"/>
          <w:b w:val="1"/>
          <w:bCs w:val="1"/>
          <w:color w:val="auto"/>
        </w:rPr>
        <w:t>Home Savings Bank Employee Stock Ownership Plan and Home Savings Bank</w:t>
      </w:r>
      <w:r>
        <w:rPr>
          <w:rFonts w:ascii="Arial" w:cs="Arial" w:eastAsia="Arial" w:hAnsi="Arial"/>
          <w:sz w:val="20"/>
          <w:szCs w:val="20"/>
          <w:color w:val="auto"/>
        </w:rPr>
        <w:t xml:space="preserve"> </w:t>
      </w:r>
      <w:r>
        <w:rPr>
          <w:rFonts w:ascii="Arial" w:cs="Arial" w:eastAsia="Arial" w:hAnsi="Arial"/>
          <w:sz w:val="20"/>
          <w:szCs w:val="20"/>
          <w:b w:val="1"/>
          <w:bCs w:val="1"/>
          <w:color w:val="auto"/>
        </w:rPr>
        <w:t>401(k) Plan.</w:t>
      </w:r>
    </w:p>
    <w:p>
      <w:pPr>
        <w:spacing w:after="0" w:line="171" w:lineRule="exact"/>
        <w:rPr>
          <w:rFonts w:ascii="Arial" w:cs="Arial" w:eastAsia="Arial" w:hAnsi="Arial"/>
          <w:sz w:val="18"/>
          <w:szCs w:val="18"/>
          <w:color w:val="auto"/>
        </w:rPr>
      </w:pPr>
    </w:p>
    <w:p>
      <w:pPr>
        <w:ind w:left="605"/>
        <w:spacing w:after="0"/>
        <w:rPr>
          <w:rFonts w:ascii="Arial" w:cs="Arial" w:eastAsia="Arial" w:hAnsi="Arial"/>
          <w:sz w:val="18"/>
          <w:szCs w:val="18"/>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47" w:lineRule="exact"/>
        <w:rPr>
          <w:rFonts w:ascii="Arial" w:cs="Arial" w:eastAsia="Arial" w:hAnsi="Arial"/>
          <w:sz w:val="18"/>
          <w:szCs w:val="18"/>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58" w:lineRule="exact"/>
        <w:rPr>
          <w:rFonts w:ascii="Arial" w:cs="Arial" w:eastAsia="Arial" w:hAnsi="Arial"/>
          <w:sz w:val="18"/>
          <w:szCs w:val="18"/>
          <w:color w:val="auto"/>
        </w:rPr>
      </w:pPr>
    </w:p>
    <w:p>
      <w:pPr>
        <w:ind w:left="1545" w:hanging="289"/>
        <w:spacing w:after="0" w:line="230" w:lineRule="exact"/>
        <w:tabs>
          <w:tab w:leader="none" w:pos="1545"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202" w:lineRule="exact"/>
        <w:rPr>
          <w:rFonts w:ascii="Arial" w:cs="Arial" w:eastAsia="Arial" w:hAnsi="Arial"/>
          <w:sz w:val="20"/>
          <w:szCs w:val="20"/>
          <w:color w:val="auto"/>
        </w:rPr>
      </w:pPr>
    </w:p>
    <w:p>
      <w:pPr>
        <w:ind w:left="1545" w:hanging="289"/>
        <w:spacing w:after="0" w:line="230" w:lineRule="exact"/>
        <w:tabs>
          <w:tab w:leader="none" w:pos="1545"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367" w:lineRule="exact"/>
        <w:rPr>
          <w:rFonts w:ascii="Arial" w:cs="Arial" w:eastAsia="Arial" w:hAnsi="Arial"/>
          <w:sz w:val="20"/>
          <w:szCs w:val="20"/>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SEC Use Only</w:t>
      </w:r>
    </w:p>
    <w:p>
      <w:pPr>
        <w:spacing w:after="0" w:line="323" w:lineRule="exact"/>
        <w:rPr>
          <w:rFonts w:ascii="Arial" w:cs="Arial" w:eastAsia="Arial" w:hAnsi="Arial"/>
          <w:sz w:val="18"/>
          <w:szCs w:val="18"/>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-353060</wp:posOffset>
            </wp:positionV>
            <wp:extent cx="41148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-704850</wp:posOffset>
            </wp:positionV>
            <wp:extent cx="41148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-1605280</wp:posOffset>
            </wp:positionV>
            <wp:extent cx="41148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145" w:lineRule="exact"/>
        <w:rPr>
          <w:sz w:val="20"/>
          <w:szCs w:val="20"/>
          <w:color w:val="auto"/>
        </w:rPr>
      </w:pPr>
    </w:p>
    <w:tbl>
      <w:tblPr>
        <w:tblLayout w:type="fixed"/>
        <w:tblInd w:w="465" w:type="dxa"/>
        <w:tblCellMar>
          <w:top w:w="0" w:type="dxa"/>
          <w:left w:w="0" w:type="dxa"/>
          <w:bottom w:w="0" w:type="dxa"/>
          <w:right w:w="0" w:type="dxa"/>
        </w:tblCellMar>
      </w:tblPr>
      <w:tr>
        <w:trPr>
          <w:trHeight w:val="261"/>
        </w:trPr>
        <w:tc>
          <w:tcPr>
            <w:tcW w:w="1720" w:type="dxa"/>
            <w:vAlign w:val="bottom"/>
          </w:tcPr>
          <w:p>
            <w:pPr>
              <w:ind w:left="800"/>
              <w:spacing w:after="0"/>
              <w:rPr>
                <w:sz w:val="20"/>
                <w:szCs w:val="20"/>
                <w:color w:val="auto"/>
              </w:rPr>
            </w:pPr>
            <w:r>
              <w:rPr>
                <w:rFonts w:ascii="Arial" w:cs="Arial" w:eastAsia="Arial" w:hAnsi="Arial"/>
                <w:sz w:val="20"/>
                <w:szCs w:val="20"/>
                <w:b w:val="1"/>
                <w:bCs w:val="1"/>
                <w:color w:val="auto"/>
              </w:rPr>
              <w:t>Delaware</w:t>
            </w:r>
          </w:p>
        </w:tc>
        <w:tc>
          <w:tcPr>
            <w:tcW w:w="320" w:type="dxa"/>
            <w:vAlign w:val="bottom"/>
          </w:tcPr>
          <w:p>
            <w:pPr>
              <w:spacing w:after="0"/>
              <w:rPr>
                <w:sz w:val="22"/>
                <w:szCs w:val="22"/>
                <w:color w:val="auto"/>
              </w:rPr>
            </w:pPr>
          </w:p>
        </w:tc>
        <w:tc>
          <w:tcPr>
            <w:tcW w:w="31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30"/>
        </w:trPr>
        <w:tc>
          <w:tcPr>
            <w:tcW w:w="1720" w:type="dxa"/>
            <w:vAlign w:val="bottom"/>
          </w:tcPr>
          <w:p>
            <w:pPr>
              <w:jc w:val="center"/>
              <w:ind w:right="349"/>
              <w:spacing w:after="0"/>
              <w:rPr>
                <w:sz w:val="20"/>
                <w:szCs w:val="20"/>
                <w:color w:val="auto"/>
              </w:rPr>
            </w:pPr>
            <w:r>
              <w:rPr>
                <w:rFonts w:ascii="Arial" w:cs="Arial" w:eastAsia="Arial" w:hAnsi="Arial"/>
                <w:sz w:val="18"/>
                <w:szCs w:val="18"/>
                <w:color w:val="auto"/>
                <w:w w:val="99"/>
              </w:rPr>
              <w:t>Number of</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5.</w:t>
            </w:r>
          </w:p>
        </w:tc>
        <w:tc>
          <w:tcPr>
            <w:tcW w:w="3120" w:type="dxa"/>
            <w:vAlign w:val="bottom"/>
          </w:tcPr>
          <w:p>
            <w:pPr>
              <w:ind w:left="100"/>
              <w:spacing w:after="0"/>
              <w:rPr>
                <w:sz w:val="20"/>
                <w:szCs w:val="20"/>
                <w:color w:val="auto"/>
              </w:rPr>
            </w:pPr>
            <w:r>
              <w:rPr>
                <w:rFonts w:ascii="Arial" w:cs="Arial" w:eastAsia="Arial" w:hAnsi="Arial"/>
                <w:sz w:val="20"/>
                <w:szCs w:val="20"/>
                <w:color w:val="auto"/>
              </w:rPr>
              <w:t>Sole Voting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3"/>
        </w:trPr>
        <w:tc>
          <w:tcPr>
            <w:tcW w:w="1720" w:type="dxa"/>
            <w:vAlign w:val="bottom"/>
          </w:tcPr>
          <w:p>
            <w:pPr>
              <w:jc w:val="center"/>
              <w:ind w:right="349"/>
              <w:spacing w:after="0" w:line="202" w:lineRule="exact"/>
              <w:rPr>
                <w:sz w:val="20"/>
                <w:szCs w:val="20"/>
                <w:color w:val="auto"/>
              </w:rPr>
            </w:pPr>
            <w:r>
              <w:rPr>
                <w:rFonts w:ascii="Arial" w:cs="Arial" w:eastAsia="Arial" w:hAnsi="Arial"/>
                <w:sz w:val="18"/>
                <w:szCs w:val="18"/>
                <w:color w:val="auto"/>
                <w:w w:val="98"/>
              </w:rPr>
              <w:t>Shares</w:t>
            </w:r>
          </w:p>
        </w:tc>
        <w:tc>
          <w:tcPr>
            <w:tcW w:w="32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1720" w:type="dxa"/>
            <w:vAlign w:val="bottom"/>
          </w:tcPr>
          <w:p>
            <w:pPr>
              <w:jc w:val="center"/>
              <w:ind w:right="349"/>
              <w:spacing w:after="0"/>
              <w:rPr>
                <w:sz w:val="20"/>
                <w:szCs w:val="20"/>
                <w:color w:val="auto"/>
              </w:rPr>
            </w:pPr>
            <w:r>
              <w:rPr>
                <w:rFonts w:ascii="Arial" w:cs="Arial" w:eastAsia="Arial" w:hAnsi="Arial"/>
                <w:sz w:val="18"/>
                <w:szCs w:val="18"/>
                <w:color w:val="auto"/>
              </w:rPr>
              <w:t>Beneficially</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6.</w:t>
            </w:r>
          </w:p>
        </w:tc>
        <w:tc>
          <w:tcPr>
            <w:tcW w:w="3120" w:type="dxa"/>
            <w:vAlign w:val="bottom"/>
          </w:tcPr>
          <w:p>
            <w:pPr>
              <w:ind w:left="100"/>
              <w:spacing w:after="0"/>
              <w:rPr>
                <w:sz w:val="20"/>
                <w:szCs w:val="20"/>
                <w:color w:val="auto"/>
              </w:rPr>
            </w:pPr>
            <w:r>
              <w:rPr>
                <w:rFonts w:ascii="Arial" w:cs="Arial" w:eastAsia="Arial" w:hAnsi="Arial"/>
                <w:sz w:val="20"/>
                <w:szCs w:val="20"/>
                <w:color w:val="auto"/>
              </w:rPr>
              <w:t>Shared Voting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91,028</w:t>
            </w:r>
          </w:p>
        </w:tc>
        <w:tc>
          <w:tcPr>
            <w:tcW w:w="0" w:type="dxa"/>
            <w:vAlign w:val="bottom"/>
          </w:tcPr>
          <w:p>
            <w:pPr>
              <w:spacing w:after="0"/>
              <w:rPr>
                <w:sz w:val="1"/>
                <w:szCs w:val="1"/>
                <w:color w:val="auto"/>
              </w:rPr>
            </w:pPr>
          </w:p>
        </w:tc>
      </w:tr>
      <w:tr>
        <w:trPr>
          <w:trHeight w:val="161"/>
        </w:trPr>
        <w:tc>
          <w:tcPr>
            <w:tcW w:w="1720" w:type="dxa"/>
            <w:vAlign w:val="bottom"/>
          </w:tcPr>
          <w:p>
            <w:pPr>
              <w:jc w:val="center"/>
              <w:ind w:right="349"/>
              <w:spacing w:after="0" w:line="161" w:lineRule="exact"/>
              <w:rPr>
                <w:sz w:val="20"/>
                <w:szCs w:val="20"/>
                <w:color w:val="auto"/>
              </w:rPr>
            </w:pPr>
            <w:r>
              <w:rPr>
                <w:rFonts w:ascii="Arial" w:cs="Arial" w:eastAsia="Arial" w:hAnsi="Arial"/>
                <w:sz w:val="18"/>
                <w:szCs w:val="18"/>
                <w:color w:val="auto"/>
              </w:rPr>
              <w:t>Owned by Each</w:t>
            </w:r>
          </w:p>
        </w:tc>
        <w:tc>
          <w:tcPr>
            <w:tcW w:w="32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1720" w:type="dxa"/>
            <w:vAlign w:val="bottom"/>
          </w:tcPr>
          <w:p>
            <w:pPr>
              <w:jc w:val="center"/>
              <w:ind w:right="369"/>
              <w:spacing w:after="0" w:line="202" w:lineRule="exact"/>
              <w:rPr>
                <w:sz w:val="20"/>
                <w:szCs w:val="20"/>
                <w:color w:val="auto"/>
              </w:rPr>
            </w:pPr>
            <w:r>
              <w:rPr>
                <w:rFonts w:ascii="Arial" w:cs="Arial" w:eastAsia="Arial" w:hAnsi="Arial"/>
                <w:sz w:val="18"/>
                <w:szCs w:val="18"/>
                <w:color w:val="auto"/>
                <w:w w:val="99"/>
              </w:rPr>
              <w:t>Reporting</w:t>
            </w:r>
          </w:p>
        </w:tc>
        <w:tc>
          <w:tcPr>
            <w:tcW w:w="320" w:type="dxa"/>
            <w:vAlign w:val="bottom"/>
            <w:vMerge w:val="restart"/>
          </w:tcPr>
          <w:p>
            <w:pPr>
              <w:jc w:val="right"/>
              <w:ind w:right="10"/>
              <w:spacing w:after="0"/>
              <w:rPr>
                <w:sz w:val="20"/>
                <w:szCs w:val="20"/>
                <w:color w:val="auto"/>
              </w:rPr>
            </w:pPr>
            <w:r>
              <w:rPr>
                <w:rFonts w:ascii="Arial" w:cs="Arial" w:eastAsia="Arial" w:hAnsi="Arial"/>
                <w:sz w:val="18"/>
                <w:szCs w:val="18"/>
                <w:color w:val="auto"/>
              </w:rPr>
              <w:t>7.</w:t>
            </w:r>
          </w:p>
        </w:tc>
        <w:tc>
          <w:tcPr>
            <w:tcW w:w="3120" w:type="dxa"/>
            <w:vAlign w:val="bottom"/>
            <w:vMerge w:val="restart"/>
          </w:tcPr>
          <w:p>
            <w:pPr>
              <w:ind w:left="100"/>
              <w:spacing w:after="0"/>
              <w:rPr>
                <w:sz w:val="20"/>
                <w:szCs w:val="20"/>
                <w:color w:val="auto"/>
              </w:rPr>
            </w:pPr>
            <w:r>
              <w:rPr>
                <w:rFonts w:ascii="Arial" w:cs="Arial" w:eastAsia="Arial" w:hAnsi="Arial"/>
                <w:sz w:val="20"/>
                <w:szCs w:val="20"/>
                <w:color w:val="auto"/>
              </w:rPr>
              <w:t>Sole Dispositive Power:</w:t>
            </w:r>
          </w:p>
        </w:tc>
        <w:tc>
          <w:tcPr>
            <w:tcW w:w="13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7"/>
        </w:trPr>
        <w:tc>
          <w:tcPr>
            <w:tcW w:w="1720" w:type="dxa"/>
            <w:vAlign w:val="bottom"/>
          </w:tcPr>
          <w:p>
            <w:pPr>
              <w:jc w:val="center"/>
              <w:ind w:right="349"/>
              <w:spacing w:after="0"/>
              <w:rPr>
                <w:sz w:val="20"/>
                <w:szCs w:val="20"/>
                <w:color w:val="auto"/>
              </w:rPr>
            </w:pPr>
            <w:r>
              <w:rPr>
                <w:rFonts w:ascii="Arial" w:cs="Arial" w:eastAsia="Arial" w:hAnsi="Arial"/>
                <w:sz w:val="18"/>
                <w:szCs w:val="18"/>
                <w:color w:val="auto"/>
              </w:rPr>
              <w:t>Person With:</w:t>
            </w:r>
          </w:p>
        </w:tc>
        <w:tc>
          <w:tcPr>
            <w:tcW w:w="320" w:type="dxa"/>
            <w:vAlign w:val="bottom"/>
            <w:vMerge w:val="continue"/>
          </w:tcPr>
          <w:p>
            <w:pPr>
              <w:spacing w:after="0"/>
              <w:rPr>
                <w:sz w:val="18"/>
                <w:szCs w:val="18"/>
                <w:color w:val="auto"/>
              </w:rPr>
            </w:pPr>
          </w:p>
        </w:tc>
        <w:tc>
          <w:tcPr>
            <w:tcW w:w="3120" w:type="dxa"/>
            <w:vAlign w:val="bottom"/>
            <w:vMerge w:val="continue"/>
          </w:tcPr>
          <w:p>
            <w:pPr>
              <w:spacing w:after="0"/>
              <w:rPr>
                <w:sz w:val="18"/>
                <w:szCs w:val="18"/>
                <w:color w:val="auto"/>
              </w:rPr>
            </w:pPr>
          </w:p>
        </w:tc>
        <w:tc>
          <w:tcPr>
            <w:tcW w:w="1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3"/>
        </w:trPr>
        <w:tc>
          <w:tcPr>
            <w:tcW w:w="1720" w:type="dxa"/>
            <w:vAlign w:val="bottom"/>
          </w:tcPr>
          <w:p>
            <w:pPr>
              <w:spacing w:after="0"/>
              <w:rPr>
                <w:sz w:val="24"/>
                <w:szCs w:val="24"/>
                <w:color w:val="auto"/>
              </w:rPr>
            </w:pP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8.</w:t>
            </w:r>
          </w:p>
        </w:tc>
        <w:tc>
          <w:tcPr>
            <w:tcW w:w="3120" w:type="dxa"/>
            <w:vAlign w:val="bottom"/>
          </w:tcPr>
          <w:p>
            <w:pPr>
              <w:ind w:left="100"/>
              <w:spacing w:after="0"/>
              <w:rPr>
                <w:sz w:val="20"/>
                <w:szCs w:val="20"/>
                <w:color w:val="auto"/>
              </w:rPr>
            </w:pPr>
            <w:r>
              <w:rPr>
                <w:rFonts w:ascii="Arial" w:cs="Arial" w:eastAsia="Arial" w:hAnsi="Arial"/>
                <w:sz w:val="20"/>
                <w:szCs w:val="20"/>
                <w:color w:val="auto"/>
              </w:rPr>
              <w:t>Shared Dispositive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91,028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1402080</wp:posOffset>
            </wp:positionH>
            <wp:positionV relativeFrom="paragraph">
              <wp:posOffset>-5715</wp:posOffset>
            </wp:positionV>
            <wp:extent cx="4450715"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1402080</wp:posOffset>
            </wp:positionH>
            <wp:positionV relativeFrom="paragraph">
              <wp:posOffset>-306070</wp:posOffset>
            </wp:positionV>
            <wp:extent cx="4450715"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1402080</wp:posOffset>
            </wp:positionH>
            <wp:positionV relativeFrom="paragraph">
              <wp:posOffset>-606425</wp:posOffset>
            </wp:positionV>
            <wp:extent cx="4450715"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1402080</wp:posOffset>
            </wp:positionH>
            <wp:positionV relativeFrom="paragraph">
              <wp:posOffset>-906780</wp:posOffset>
            </wp:positionV>
            <wp:extent cx="4450715"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-1326515</wp:posOffset>
            </wp:positionV>
            <wp:extent cx="41148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69" w:lineRule="exact"/>
        <w:rPr>
          <w:sz w:val="20"/>
          <w:szCs w:val="20"/>
          <w:color w:val="auto"/>
        </w:rPr>
      </w:pPr>
    </w:p>
    <w:p>
      <w:pPr>
        <w:ind w:left="605" w:hanging="605"/>
        <w:spacing w:after="0"/>
        <w:tabs>
          <w:tab w:leader="none" w:pos="605" w:val="left"/>
        </w:tabs>
        <w:numPr>
          <w:ilvl w:val="0"/>
          <w:numId w:val="4"/>
        </w:numPr>
        <w:rPr>
          <w:rFonts w:ascii="Arial" w:cs="Arial" w:eastAsia="Arial" w:hAnsi="Arial"/>
          <w:sz w:val="18"/>
          <w:szCs w:val="18"/>
          <w:color w:val="auto"/>
        </w:rPr>
      </w:pPr>
      <w:r>
        <w:rPr>
          <w:rFonts w:ascii="Arial" w:cs="Arial" w:eastAsia="Arial" w:hAnsi="Arial"/>
          <w:sz w:val="20"/>
          <w:szCs w:val="20"/>
          <w:color w:val="auto"/>
        </w:rPr>
        <w:t>Aggregate Amount Beneficially owned by Each Reporting Person</w:t>
      </w:r>
    </w:p>
    <w:p>
      <w:pPr>
        <w:ind w:left="1265"/>
        <w:spacing w:after="0"/>
        <w:rPr>
          <w:rFonts w:ascii="Arial" w:cs="Arial" w:eastAsia="Arial" w:hAnsi="Arial"/>
          <w:sz w:val="18"/>
          <w:szCs w:val="18"/>
          <w:color w:val="auto"/>
        </w:rPr>
      </w:pPr>
      <w:r>
        <w:rPr>
          <w:rFonts w:ascii="Arial" w:cs="Arial" w:eastAsia="Arial" w:hAnsi="Arial"/>
          <w:sz w:val="20"/>
          <w:szCs w:val="20"/>
          <w:b w:val="1"/>
          <w:bCs w:val="1"/>
          <w:color w:val="auto"/>
        </w:rPr>
        <w:t>91,028</w:t>
      </w:r>
    </w:p>
    <w:p>
      <w:pPr>
        <w:spacing w:after="0" w:line="308" w:lineRule="exact"/>
        <w:rPr>
          <w:rFonts w:ascii="Arial" w:cs="Arial" w:eastAsia="Arial" w:hAnsi="Arial"/>
          <w:sz w:val="18"/>
          <w:szCs w:val="18"/>
          <w:color w:val="auto"/>
        </w:rPr>
      </w:pPr>
    </w:p>
    <w:p>
      <w:pPr>
        <w:ind w:left="605" w:hanging="605"/>
        <w:spacing w:after="0"/>
        <w:tabs>
          <w:tab w:leader="none" w:pos="605" w:val="left"/>
        </w:tabs>
        <w:numPr>
          <w:ilvl w:val="0"/>
          <w:numId w:val="4"/>
        </w:numPr>
        <w:rPr>
          <w:rFonts w:ascii="Arial" w:cs="Arial" w:eastAsia="Arial" w:hAnsi="Arial"/>
          <w:sz w:val="18"/>
          <w:szCs w:val="18"/>
          <w:color w:val="auto"/>
        </w:rPr>
      </w:pPr>
      <w:r>
        <w:rPr>
          <w:rFonts w:ascii="Arial" w:cs="Arial" w:eastAsia="Arial" w:hAnsi="Arial"/>
          <w:sz w:val="20"/>
          <w:szCs w:val="20"/>
          <w:color w:val="auto"/>
        </w:rPr>
        <w:t>Check if Aggregate Amount in Row (9) Excludes Certain Shares:</w:t>
      </w:r>
    </w:p>
    <w:p>
      <w:pPr>
        <w:ind w:left="1265"/>
        <w:spacing w:after="0" w:line="181" w:lineRule="exact"/>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361" w:lineRule="exact"/>
        <w:rPr>
          <w:rFonts w:ascii="Arial" w:cs="Arial" w:eastAsia="Arial" w:hAnsi="Arial"/>
          <w:sz w:val="18"/>
          <w:szCs w:val="18"/>
          <w:color w:val="auto"/>
        </w:rPr>
      </w:pPr>
    </w:p>
    <w:p>
      <w:pPr>
        <w:ind w:left="605" w:hanging="605"/>
        <w:spacing w:after="0"/>
        <w:tabs>
          <w:tab w:leader="none" w:pos="605" w:val="left"/>
        </w:tabs>
        <w:numPr>
          <w:ilvl w:val="0"/>
          <w:numId w:val="4"/>
        </w:numPr>
        <w:rPr>
          <w:rFonts w:ascii="Arial" w:cs="Arial" w:eastAsia="Arial" w:hAnsi="Arial"/>
          <w:sz w:val="18"/>
          <w:szCs w:val="18"/>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41148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-833120</wp:posOffset>
            </wp:positionV>
            <wp:extent cx="41148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ind w:left="1265"/>
        <w:spacing w:after="0"/>
        <w:rPr>
          <w:sz w:val="20"/>
          <w:szCs w:val="20"/>
          <w:color w:val="auto"/>
        </w:rPr>
      </w:pPr>
      <w:r>
        <w:rPr>
          <w:rFonts w:ascii="Arial" w:cs="Arial" w:eastAsia="Arial" w:hAnsi="Arial"/>
          <w:sz w:val="20"/>
          <w:szCs w:val="20"/>
          <w:b w:val="1"/>
          <w:bCs w:val="1"/>
          <w:color w:val="auto"/>
        </w:rPr>
        <w:t>10.12%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1148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90" w:lineRule="exact"/>
        <w:rPr>
          <w:sz w:val="20"/>
          <w:szCs w:val="20"/>
          <w:color w:val="auto"/>
        </w:rPr>
      </w:pPr>
    </w:p>
    <w:p>
      <w:pPr>
        <w:ind w:left="605" w:hanging="605"/>
        <w:spacing w:after="0"/>
        <w:tabs>
          <w:tab w:leader="none" w:pos="605" w:val="left"/>
        </w:tabs>
        <w:numPr>
          <w:ilvl w:val="0"/>
          <w:numId w:val="5"/>
        </w:numPr>
        <w:rPr>
          <w:rFonts w:ascii="Arial" w:cs="Arial" w:eastAsia="Arial" w:hAnsi="Arial"/>
          <w:sz w:val="18"/>
          <w:szCs w:val="18"/>
          <w:color w:val="auto"/>
        </w:rPr>
      </w:pPr>
      <w:r>
        <w:rPr>
          <w:rFonts w:ascii="Arial" w:cs="Arial" w:eastAsia="Arial" w:hAnsi="Arial"/>
          <w:sz w:val="20"/>
          <w:szCs w:val="20"/>
          <w:color w:val="auto"/>
        </w:rPr>
        <w:t>Type of Reporting Person:</w:t>
      </w:r>
    </w:p>
    <w:p>
      <w:pPr>
        <w:ind w:left="1265"/>
        <w:spacing w:after="0"/>
        <w:rPr>
          <w:rFonts w:ascii="Arial" w:cs="Arial" w:eastAsia="Arial" w:hAnsi="Arial"/>
          <w:sz w:val="18"/>
          <w:szCs w:val="18"/>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1148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ectPr>
          <w:pgSz w:w="11900" w:h="16838" w:orient="portrait"/>
          <w:cols w:equalWidth="0" w:num="1">
            <w:col w:w="10184"/>
          </w:cols>
          <w:pgMar w:left="275" w:top="738"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7"/>
          <w:szCs w:val="17"/>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43689Q100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Page 3 of 5</w:t>
      </w:r>
    </w:p>
    <w:p>
      <w:pPr>
        <w:spacing w:after="0" w:line="191" w:lineRule="exact"/>
        <w:rPr>
          <w:sz w:val="20"/>
          <w:szCs w:val="20"/>
          <w:color w:val="auto"/>
        </w:rPr>
      </w:pPr>
    </w:p>
    <w:p>
      <w:pPr>
        <w:sectPr>
          <w:pgSz w:w="11900" w:h="16838" w:orient="portrait"/>
          <w:cols w:equalWidth="0" w:num="4">
            <w:col w:w="885" w:space="520"/>
            <w:col w:w="2180" w:space="720"/>
            <w:col w:w="3200" w:space="720"/>
            <w:col w:w="1959"/>
          </w:cols>
          <w:pgMar w:left="275" w:top="738" w:right="1440" w:bottom="1440" w:gutter="0" w:footer="0" w:header="0"/>
        </w:sect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38" w:right="1440" w:bottom="1440" w:gutter="0" w:footer="0" w:header="0"/>
          <w:type w:val="continuous"/>
        </w:sectPr>
      </w:pPr>
    </w:p>
    <w:p>
      <w:pPr>
        <w:spacing w:after="0" w:line="346"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30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Home Bancorp Wisconsin, Inc.</w:t>
      </w:r>
    </w:p>
    <w:p>
      <w:pPr>
        <w:spacing w:after="0" w:line="224" w:lineRule="exact"/>
        <w:rPr>
          <w:sz w:val="20"/>
          <w:szCs w:val="20"/>
          <w:color w:val="auto"/>
        </w:rPr>
      </w:pPr>
    </w:p>
    <w:p>
      <w:pPr>
        <w:sectPr>
          <w:pgSz w:w="11900" w:h="16838" w:orient="portrait"/>
          <w:cols w:equalWidth="0" w:num="2">
            <w:col w:w="4525" w:space="720"/>
            <w:col w:w="4939"/>
          </w:cols>
          <w:pgMar w:left="275" w:top="738" w:right="1440" w:bottom="1440" w:gutter="0" w:footer="0" w:header="0"/>
          <w:type w:val="continuous"/>
        </w:sectPr>
      </w:pPr>
    </w:p>
    <w:p>
      <w:pPr>
        <w:spacing w:after="0" w:line="122"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3762 East Washington Avenue</w:t>
      </w:r>
    </w:p>
    <w:p>
      <w:pPr>
        <w:spacing w:after="0" w:line="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Madison, Wisconsin 53704</w:t>
      </w:r>
    </w:p>
    <w:p>
      <w:pPr>
        <w:spacing w:after="0" w:line="200" w:lineRule="exact"/>
        <w:rPr>
          <w:sz w:val="20"/>
          <w:szCs w:val="20"/>
          <w:color w:val="auto"/>
        </w:rPr>
      </w:pPr>
    </w:p>
    <w:p>
      <w:pPr>
        <w:sectPr>
          <w:pgSz w:w="11900" w:h="16838" w:orient="portrait"/>
          <w:cols w:equalWidth="0" w:num="2">
            <w:col w:w="4525" w:space="720"/>
            <w:col w:w="4939"/>
          </w:cols>
          <w:pgMar w:left="275" w:top="738" w:right="1440" w:bottom="1440" w:gutter="0" w:footer="0" w:header="0"/>
          <w:type w:val="continuous"/>
        </w:sectPr>
      </w:pPr>
    </w:p>
    <w:p>
      <w:pPr>
        <w:spacing w:after="0" w:line="110"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334"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310" w:lineRule="exact"/>
        <w:rPr>
          <w:sz w:val="20"/>
          <w:szCs w:val="20"/>
          <w:color w:val="auto"/>
        </w:rPr>
      </w:pPr>
    </w:p>
    <w:p>
      <w:pPr>
        <w:ind w:left="545"/>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545" w:right="1619"/>
        <w:spacing w:after="0" w:line="258" w:lineRule="auto"/>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Home Savings Bank Employee Stock Ownership Plan and Home Savings Bank</w:t>
      </w:r>
      <w:r>
        <w:rPr>
          <w:rFonts w:ascii="Arial" w:cs="Arial" w:eastAsia="Arial" w:hAnsi="Arial"/>
          <w:sz w:val="20"/>
          <w:szCs w:val="20"/>
          <w:color w:val="auto"/>
        </w:rPr>
        <w:t xml:space="preserve"> </w:t>
      </w:r>
      <w:r>
        <w:rPr>
          <w:rFonts w:ascii="Arial" w:cs="Arial" w:eastAsia="Arial" w:hAnsi="Arial"/>
          <w:sz w:val="20"/>
          <w:szCs w:val="20"/>
          <w:b w:val="1"/>
          <w:bCs w:val="1"/>
          <w:color w:val="auto"/>
        </w:rPr>
        <w:t>401(k) Plan.</w:t>
      </w:r>
    </w:p>
    <w:p>
      <w:pPr>
        <w:spacing w:after="0" w:line="16" w:lineRule="exact"/>
        <w:rPr>
          <w:sz w:val="20"/>
          <w:szCs w:val="20"/>
          <w:color w:val="auto"/>
        </w:rPr>
      </w:pPr>
    </w:p>
    <w:p>
      <w:pPr>
        <w:ind w:left="5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545"/>
        <w:spacing w:after="0"/>
        <w:rPr>
          <w:sz w:val="20"/>
          <w:szCs w:val="20"/>
          <w:color w:val="auto"/>
        </w:rPr>
      </w:pPr>
      <w:r>
        <w:rPr>
          <w:rFonts w:ascii="Arial" w:cs="Arial" w:eastAsia="Arial" w:hAnsi="Arial"/>
          <w:sz w:val="20"/>
          <w:szCs w:val="20"/>
          <w:color w:val="auto"/>
        </w:rPr>
        <w:t>Wilmington DE 19805-1265</w:t>
      </w:r>
    </w:p>
    <w:p>
      <w:pPr>
        <w:spacing w:after="0" w:line="286" w:lineRule="exact"/>
        <w:rPr>
          <w:sz w:val="20"/>
          <w:szCs w:val="20"/>
          <w:color w:val="auto"/>
        </w:rPr>
      </w:pPr>
    </w:p>
    <w:p>
      <w:pPr>
        <w:ind w:left="545"/>
        <w:spacing w:after="0"/>
        <w:tabs>
          <w:tab w:leader="none" w:pos="210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310" w:lineRule="exact"/>
        <w:rPr>
          <w:sz w:val="20"/>
          <w:szCs w:val="20"/>
          <w:color w:val="auto"/>
        </w:rPr>
      </w:pPr>
    </w:p>
    <w:p>
      <w:pPr>
        <w:ind w:left="305" w:hanging="305"/>
        <w:spacing w:after="0"/>
        <w:tabs>
          <w:tab w:leader="none" w:pos="305"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310"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380" w:type="dxa"/>
            <w:vAlign w:val="bottom"/>
          </w:tcPr>
          <w:p>
            <w:pPr>
              <w:spacing w:after="0"/>
              <w:rPr>
                <w:sz w:val="20"/>
                <w:szCs w:val="20"/>
                <w:color w:val="auto"/>
              </w:rPr>
            </w:pPr>
            <w:r>
              <w:rPr>
                <w:rFonts w:ascii="Arial" w:cs="Arial" w:eastAsia="Arial" w:hAnsi="Arial"/>
                <w:sz w:val="20"/>
                <w:szCs w:val="20"/>
                <w:color w:val="auto"/>
              </w:rPr>
              <w:t>(e) CUSIP Number:</w:t>
            </w:r>
          </w:p>
        </w:tc>
        <w:tc>
          <w:tcPr>
            <w:tcW w:w="1700" w:type="dxa"/>
            <w:vAlign w:val="bottom"/>
          </w:tcPr>
          <w:p>
            <w:pPr>
              <w:ind w:left="660"/>
              <w:spacing w:after="0"/>
              <w:rPr>
                <w:sz w:val="20"/>
                <w:szCs w:val="20"/>
                <w:color w:val="auto"/>
              </w:rPr>
            </w:pPr>
            <w:r>
              <w:rPr>
                <w:rFonts w:ascii="Arial" w:cs="Arial" w:eastAsia="Arial" w:hAnsi="Arial"/>
                <w:sz w:val="20"/>
                <w:szCs w:val="20"/>
                <w:b w:val="1"/>
                <w:bCs w:val="1"/>
                <w:color w:val="auto"/>
                <w:w w:val="97"/>
              </w:rPr>
              <w:t>43689Q100</w:t>
            </w:r>
          </w:p>
        </w:tc>
      </w:tr>
    </w:tbl>
    <w:p>
      <w:pPr>
        <w:spacing w:after="0" w:line="279"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275" w:lineRule="exact"/>
        <w:rPr>
          <w:sz w:val="20"/>
          <w:szCs w:val="20"/>
          <w:color w:val="auto"/>
        </w:rPr>
      </w:pPr>
    </w:p>
    <w:p>
      <w:pPr>
        <w:ind w:left="765" w:hanging="765"/>
        <w:spacing w:after="0"/>
        <w:tabs>
          <w:tab w:leader="none" w:pos="765" w:val="left"/>
        </w:tabs>
        <w:numPr>
          <w:ilvl w:val="0"/>
          <w:numId w:val="7"/>
        </w:numPr>
        <w:rPr>
          <w:rFonts w:ascii="Arial" w:cs="Arial" w:eastAsia="Arial" w:hAnsi="Arial"/>
          <w:sz w:val="20"/>
          <w:szCs w:val="20"/>
          <w:color w:val="auto"/>
        </w:rPr>
      </w:pPr>
      <w:r>
        <w:rPr>
          <w:rFonts w:ascii="Arial" w:cs="Arial" w:eastAsia="Arial" w:hAnsi="Arial"/>
          <w:sz w:val="18"/>
          <w:szCs w:val="18"/>
          <w:color w:val="auto"/>
        </w:rPr>
        <w:t>x</w:t>
      </w:r>
      <w:r>
        <w:rPr>
          <w:rFonts w:ascii="Arial" w:cs="Arial" w:eastAsia="Arial" w:hAnsi="Arial"/>
          <w:sz w:val="19"/>
          <w:szCs w:val="19"/>
          <w:color w:val="auto"/>
        </w:rPr>
        <w:t>An employee benefit plan or endowment fund in accordance with Rule 13d-1(b)(1)(ii)(F);</w:t>
      </w:r>
    </w:p>
    <w:p>
      <w:pPr>
        <w:spacing w:after="0" w:line="297"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334" w:lineRule="exact"/>
        <w:rPr>
          <w:sz w:val="20"/>
          <w:szCs w:val="20"/>
          <w:color w:val="auto"/>
        </w:rPr>
      </w:pPr>
    </w:p>
    <w:p>
      <w:pPr>
        <w:ind w:left="545" w:right="11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280" w:lineRule="exact"/>
        <w:rPr>
          <w:sz w:val="20"/>
          <w:szCs w:val="20"/>
          <w:color w:val="auto"/>
        </w:rPr>
      </w:pPr>
    </w:p>
    <w:p>
      <w:pPr>
        <w:jc w:val="both"/>
        <w:ind w:left="545" w:right="1039" w:hanging="545"/>
        <w:spacing w:after="0" w:line="229" w:lineRule="auto"/>
        <w:tabs>
          <w:tab w:leader="none" w:pos="545"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Home Savings Bank 401(k) Plan. (“401(k) Plan”)</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Home Savings Bank Employee</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Stock Ownership Plan (“ESOP Plan”) </w:t>
      </w:r>
      <w:r>
        <w:rPr>
          <w:rFonts w:ascii="Arial" w:cs="Arial" w:eastAsia="Arial" w:hAnsi="Arial"/>
          <w:sz w:val="20"/>
          <w:szCs w:val="20"/>
          <w:color w:val="auto"/>
        </w:rPr>
        <w:t>(collectively the “Plans”) are subject to the Employee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401(k) Plan Trust and the</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ESOP Plan Trust </w:t>
      </w:r>
      <w:r>
        <w:rPr>
          <w:rFonts w:ascii="Arial" w:cs="Arial" w:eastAsia="Arial" w:hAnsi="Arial"/>
          <w:sz w:val="20"/>
          <w:szCs w:val="20"/>
          <w:color w:val="auto"/>
        </w:rPr>
        <w:t>(collectively the “Trusts”). As of December 31, 2015, the 401(k) Plan Trust held</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19,093 shares of the Issuer's common stock and the ESOP Plan Trust held 71,935 shares of the Issuer's common stock for an aggregate of </w:t>
      </w:r>
      <w:r>
        <w:rPr>
          <w:rFonts w:ascii="Arial" w:cs="Arial" w:eastAsia="Arial" w:hAnsi="Arial"/>
          <w:sz w:val="20"/>
          <w:szCs w:val="20"/>
          <w:b w:val="1"/>
          <w:bCs w:val="1"/>
          <w:color w:val="auto"/>
        </w:rPr>
        <w:t>91,028</w:t>
      </w:r>
      <w:r>
        <w:rPr>
          <w:rFonts w:ascii="Arial" w:cs="Arial" w:eastAsia="Arial" w:hAnsi="Arial"/>
          <w:sz w:val="20"/>
          <w:szCs w:val="20"/>
          <w:color w:val="auto"/>
        </w:rPr>
        <w:t xml:space="preserve">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Home Bancorp</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283" w:lineRule="exact"/>
        <w:rPr>
          <w:rFonts w:ascii="Arial" w:cs="Arial" w:eastAsia="Arial" w:hAnsi="Arial"/>
          <w:sz w:val="20"/>
          <w:szCs w:val="20"/>
          <w:color w:val="auto"/>
        </w:rPr>
      </w:pPr>
    </w:p>
    <w:p>
      <w:pPr>
        <w:ind w:left="545" w:right="1079" w:hanging="545"/>
        <w:spacing w:after="0" w:line="241" w:lineRule="auto"/>
        <w:tabs>
          <w:tab w:leader="none" w:pos="545"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91,028</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10.12%</w:t>
      </w:r>
      <w:r>
        <w:rPr>
          <w:rFonts w:ascii="Arial" w:cs="Arial" w:eastAsia="Arial" w:hAnsi="Arial"/>
          <w:sz w:val="20"/>
          <w:szCs w:val="20"/>
          <w:color w:val="auto"/>
        </w:rPr>
        <w:t xml:space="preserve"> of the Issuer’s outstanding shares of common stock. The percent of class is based on shares outstanding as of December 31, 2015, as provided by the Issuer.</w:t>
      </w:r>
    </w:p>
    <w:p>
      <w:pPr>
        <w:sectPr>
          <w:pgSz w:w="11900" w:h="16838" w:orient="portrait"/>
          <w:cols w:equalWidth="0" w:num="1">
            <w:col w:w="10184"/>
          </w:cols>
          <w:pgMar w:left="275" w:top="738" w:right="1440" w:bottom="1440" w:gutter="0" w:footer="0" w:header="0"/>
          <w:type w:val="continuous"/>
        </w:sectPr>
      </w:pPr>
    </w:p>
    <w:bookmarkStart w:id="3" w:name="page4"/>
    <w:bookmarkEnd w:id="3"/>
    <w:p>
      <w:pPr>
        <w:ind w:left="5"/>
        <w:spacing w:after="0"/>
        <w:tabs>
          <w:tab w:leader="none" w:pos="1385" w:val="left"/>
          <w:tab w:leader="none" w:pos="4285" w:val="left"/>
          <w:tab w:leader="none" w:pos="820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7"/>
          <w:szCs w:val="17"/>
          <w:b w:val="1"/>
          <w:bCs w:val="1"/>
          <w:color w:val="auto"/>
        </w:rPr>
        <w:t>Page 4 of 5</w:t>
      </w:r>
    </w:p>
    <w:p>
      <w:pPr>
        <w:spacing w:after="0" w:line="200" w:lineRule="exact"/>
        <w:rPr>
          <w:sz w:val="20"/>
          <w:szCs w:val="20"/>
          <w:color w:val="auto"/>
        </w:rPr>
      </w:pPr>
    </w:p>
    <w:p>
      <w:pPr>
        <w:spacing w:after="0" w:line="220" w:lineRule="exact"/>
        <w:rPr>
          <w:sz w:val="20"/>
          <w:szCs w:val="20"/>
          <w:color w:val="auto"/>
        </w:rPr>
      </w:pPr>
    </w:p>
    <w:p>
      <w:pPr>
        <w:ind w:left="545" w:hanging="545"/>
        <w:spacing w:after="0"/>
        <w:tabs>
          <w:tab w:leader="none" w:pos="545" w:val="left"/>
        </w:tabs>
        <w:numPr>
          <w:ilvl w:val="0"/>
          <w:numId w:val="9"/>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620" w:type="dxa"/>
            <w:vAlign w:val="bottom"/>
          </w:tcPr>
          <w:p>
            <w:pPr>
              <w:spacing w:after="0"/>
              <w:rPr>
                <w:sz w:val="20"/>
                <w:szCs w:val="20"/>
                <w:color w:val="auto"/>
              </w:rPr>
            </w:pPr>
            <w:r>
              <w:rPr>
                <w:rFonts w:ascii="Arial" w:cs="Arial" w:eastAsia="Arial" w:hAnsi="Arial"/>
                <w:sz w:val="20"/>
                <w:szCs w:val="20"/>
                <w:color w:val="auto"/>
              </w:rPr>
              <w:t>(i)</w:t>
            </w:r>
          </w:p>
        </w:tc>
        <w:tc>
          <w:tcPr>
            <w:tcW w:w="552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w:t>
            </w:r>
          </w:p>
        </w:tc>
        <w:tc>
          <w:tcPr>
            <w:tcW w:w="552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91,028</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(iii)</w:t>
            </w:r>
          </w:p>
        </w:tc>
        <w:tc>
          <w:tcPr>
            <w:tcW w:w="552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(iv)</w:t>
            </w:r>
          </w:p>
        </w:tc>
        <w:tc>
          <w:tcPr>
            <w:tcW w:w="552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91,028</w:t>
            </w:r>
          </w:p>
        </w:tc>
      </w:tr>
    </w:tbl>
    <w:p>
      <w:pPr>
        <w:spacing w:after="0" w:line="27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334" w:lineRule="exact"/>
        <w:rPr>
          <w:sz w:val="20"/>
          <w:szCs w:val="20"/>
          <w:color w:val="auto"/>
        </w:rPr>
      </w:pPr>
    </w:p>
    <w:p>
      <w:pPr>
        <w:ind w:left="5" w:right="81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38" w:right="1440" w:bottom="1440" w:gutter="0" w:footer="0" w:header="0"/>
        </w:sectPr>
      </w:pPr>
    </w:p>
    <w:bookmarkStart w:id="4" w:name="page5"/>
    <w:bookmarkEnd w:id="4"/>
    <w:p>
      <w:pPr>
        <w:spacing w:after="0"/>
        <w:tabs>
          <w:tab w:leader="none" w:pos="1380" w:val="left"/>
          <w:tab w:leader="none" w:pos="4280" w:val="left"/>
          <w:tab w:leader="none" w:pos="820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7"/>
          <w:szCs w:val="17"/>
          <w:b w:val="1"/>
          <w:bCs w:val="1"/>
          <w:color w:val="auto"/>
        </w:rPr>
        <w:t>Page 5 of 5</w:t>
      </w:r>
    </w:p>
    <w:p>
      <w:pPr>
        <w:spacing w:after="0" w:line="200" w:lineRule="exact"/>
        <w:rPr>
          <w:sz w:val="20"/>
          <w:szCs w:val="20"/>
          <w:color w:val="auto"/>
        </w:rPr>
      </w:pPr>
    </w:p>
    <w:p>
      <w:pPr>
        <w:spacing w:after="0" w:line="214"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right="79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96" w:lineRule="exact"/>
        <w:rPr>
          <w:sz w:val="20"/>
          <w:szCs w:val="20"/>
          <w:color w:val="auto"/>
        </w:rPr>
      </w:pPr>
    </w:p>
    <w:p>
      <w:pPr>
        <w:ind w:left="488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88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10795</wp:posOffset>
            </wp:positionV>
            <wp:extent cx="29159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10" w:lineRule="exact"/>
        <w:rPr>
          <w:sz w:val="20"/>
          <w:szCs w:val="20"/>
          <w:color w:val="auto"/>
        </w:rPr>
      </w:pPr>
    </w:p>
    <w:p>
      <w:pPr>
        <w:ind w:left="4880"/>
        <w:spacing w:after="0"/>
        <w:rPr>
          <w:sz w:val="20"/>
          <w:szCs w:val="20"/>
          <w:color w:val="auto"/>
        </w:rPr>
      </w:pPr>
      <w:r>
        <w:rPr>
          <w:rFonts w:ascii="Arial" w:cs="Arial" w:eastAsia="Arial" w:hAnsi="Arial"/>
          <w:sz w:val="20"/>
          <w:szCs w:val="20"/>
          <w:b w:val="1"/>
          <w:bCs w:val="1"/>
          <w:color w:val="auto"/>
        </w:rPr>
        <w:t>Kristin M. Camp</w:t>
      </w:r>
    </w:p>
    <w:p>
      <w:pPr>
        <w:ind w:left="4880"/>
        <w:spacing w:after="0" w:line="236" w:lineRule="auto"/>
        <w:rPr>
          <w:sz w:val="20"/>
          <w:szCs w:val="20"/>
          <w:color w:val="auto"/>
        </w:rPr>
      </w:pPr>
      <w:r>
        <w:rPr>
          <w:rFonts w:ascii="Arial" w:cs="Arial" w:eastAsia="Arial" w:hAnsi="Arial"/>
          <w:sz w:val="20"/>
          <w:szCs w:val="20"/>
          <w:b w:val="1"/>
          <w:bCs w:val="1"/>
          <w:color w:val="auto"/>
        </w:rPr>
        <w:t>President</w:t>
      </w:r>
    </w:p>
    <w:p>
      <w:pPr>
        <w:ind w:left="4880"/>
        <w:spacing w:after="0"/>
        <w:rPr>
          <w:sz w:val="20"/>
          <w:szCs w:val="20"/>
          <w:color w:val="auto"/>
        </w:rPr>
      </w:pPr>
      <w:r>
        <w:rPr>
          <w:rFonts w:ascii="Arial" w:cs="Arial" w:eastAsia="Arial" w:hAnsi="Arial"/>
          <w:sz w:val="20"/>
          <w:szCs w:val="20"/>
          <w:b w:val="1"/>
          <w:bCs w:val="1"/>
          <w:color w:val="auto"/>
        </w:rPr>
        <w:t>January 12, 2017</w:t>
      </w:r>
    </w:p>
    <w:sectPr>
      <w:pgSz w:w="11900" w:h="16838" w:orient="portrait"/>
      <w:cols w:equalWidth="0" w:num="1">
        <w:col w:w="10179"/>
      </w:cols>
      <w:pgMar w:left="280" w:top="73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x"/>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lvl w:ilvl="1">
      <w:lvlJc w:val="left"/>
      <w:lvlText w:val="(%2)"/>
      <w:numFmt w:val="lowerLetter"/>
      <w:start w:val="1"/>
    </w:lvl>
  </w:abstractNum>
  <w:abstractNum w:abstractNumId="3">
    <w:nsid w:val="2EB141F2"/>
    <w:multiLevelType w:val="hybridMultilevel"/>
    <w:lvl w:ilvl="0">
      <w:lvlJc w:val="left"/>
      <w:lvlText w:val="%1."/>
      <w:numFmt w:val="decimal"/>
      <w:start w:val="9"/>
    </w:lvl>
  </w:abstractNum>
  <w:abstractNum w:abstractNumId="4">
    <w:nsid w:val="41B71EFB"/>
    <w:multiLevelType w:val="hybridMultilevel"/>
    <w:lvl w:ilvl="0">
      <w:lvlJc w:val="left"/>
      <w:lvlText w:val="%1."/>
      <w:numFmt w:val="decimal"/>
      <w:start w:val="12"/>
    </w:lvl>
  </w:abstractNum>
  <w:abstractNum w:abstractNumId="5">
    <w:nsid w:val="79E2A9E3"/>
    <w:multiLevelType w:val="hybridMultilevel"/>
    <w:lvl w:ilvl="0">
      <w:lvlJc w:val="left"/>
      <w:lvlText w:val="(%1)"/>
      <w:numFmt w:val="lowerLetter"/>
      <w:start w:val="4"/>
    </w:lvl>
  </w:abstractNum>
  <w:abstractNum w:abstractNumId="6">
    <w:nsid w:val="7545E146"/>
    <w:multiLevelType w:val="hybridMultilevel"/>
    <w:lvl w:ilvl="0">
      <w:lvlJc w:val="left"/>
      <w:lvlText w:val="(%1)"/>
      <w:numFmt w:val="lowerLetter"/>
      <w:start w:val="6"/>
    </w:lvl>
  </w:abstractNum>
  <w:abstractNum w:abstractNumId="7">
    <w:nsid w:val="515F007C"/>
    <w:multiLevelType w:val="hybridMultilevel"/>
    <w:lvl w:ilvl="0">
      <w:lvlJc w:val="left"/>
      <w:lvlText w:val="(%1)"/>
      <w:numFmt w:val="lowerLetter"/>
      <w:start w:val="1"/>
    </w:lvl>
  </w:abstractNum>
  <w:abstractNum w:abstractNumId="8">
    <w:nsid w:val="5BD062C2"/>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2020-01-16T06:54:06Z</dcterms:created>
  <dcterms:modified xsi:type="dcterms:W3CDTF">2020-01-16T06:54:06Z</dcterms:modified>
</cp:coreProperties>
</file>