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22"/>
          <w:szCs w:val="22"/>
          <w:b w:val="1"/>
          <w:bCs w:val="1"/>
          <w:color w:val="auto"/>
        </w:rPr>
        <w:t>SECURITIES AND EXCHANGE COMMISSION</w:t>
      </w:r>
    </w:p>
    <w:p>
      <w:pPr>
        <w:spacing w:after="0" w:line="260"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Washington, D.C. 20549</w:t>
      </w:r>
    </w:p>
    <w:p>
      <w:pPr>
        <w:spacing w:after="0" w:line="200" w:lineRule="exact"/>
        <w:rPr>
          <w:sz w:val="24"/>
          <w:szCs w:val="24"/>
          <w:color w:val="auto"/>
        </w:rPr>
      </w:pPr>
    </w:p>
    <w:p>
      <w:pPr>
        <w:spacing w:after="0" w:line="201" w:lineRule="exact"/>
        <w:rPr>
          <w:sz w:val="24"/>
          <w:szCs w:val="24"/>
          <w:color w:val="auto"/>
        </w:rPr>
      </w:pPr>
    </w:p>
    <w:p>
      <w:pPr>
        <w:ind w:left="4740"/>
        <w:spacing w:after="0"/>
        <w:rPr>
          <w:sz w:val="20"/>
          <w:szCs w:val="20"/>
          <w:color w:val="auto"/>
        </w:rPr>
      </w:pPr>
      <w:r>
        <w:rPr>
          <w:rFonts w:ascii="Arial" w:cs="Arial" w:eastAsia="Arial" w:hAnsi="Arial"/>
          <w:sz w:val="22"/>
          <w:szCs w:val="22"/>
          <w:color w:val="auto"/>
        </w:rPr>
        <w:t>__________________</w:t>
      </w:r>
    </w:p>
    <w:p>
      <w:pPr>
        <w:spacing w:after="0" w:line="200" w:lineRule="exact"/>
        <w:rPr>
          <w:sz w:val="24"/>
          <w:szCs w:val="24"/>
          <w:color w:val="auto"/>
        </w:rPr>
      </w:pPr>
    </w:p>
    <w:p>
      <w:pPr>
        <w:spacing w:after="0" w:line="200" w:lineRule="exact"/>
        <w:rPr>
          <w:sz w:val="24"/>
          <w:szCs w:val="24"/>
          <w:color w:val="auto"/>
        </w:rPr>
      </w:pPr>
    </w:p>
    <w:p>
      <w:pPr>
        <w:spacing w:after="0" w:line="205"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FORM 8-K</w:t>
      </w:r>
    </w:p>
    <w:p>
      <w:pPr>
        <w:spacing w:after="0" w:line="200" w:lineRule="exact"/>
        <w:rPr>
          <w:sz w:val="24"/>
          <w:szCs w:val="24"/>
          <w:color w:val="auto"/>
        </w:rPr>
      </w:pPr>
    </w:p>
    <w:p>
      <w:pPr>
        <w:spacing w:after="0" w:line="263"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CURRENT REPORT</w:t>
      </w:r>
    </w:p>
    <w:p>
      <w:pPr>
        <w:spacing w:after="0" w:line="200" w:lineRule="exact"/>
        <w:rPr>
          <w:sz w:val="24"/>
          <w:szCs w:val="24"/>
          <w:color w:val="auto"/>
        </w:rPr>
      </w:pPr>
    </w:p>
    <w:p>
      <w:pPr>
        <w:spacing w:after="0" w:line="330"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Pursuant to Section 13 or 15(d) of the</w:t>
      </w:r>
    </w:p>
    <w:p>
      <w:pPr>
        <w:spacing w:after="0" w:line="28"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Securities Exchange Act of 1934</w:t>
      </w:r>
    </w:p>
    <w:p>
      <w:pPr>
        <w:spacing w:after="0" w:line="236"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 xml:space="preserve">Date of Report: </w:t>
      </w:r>
      <w:r>
        <w:rPr>
          <w:rFonts w:ascii="Arial" w:cs="Arial" w:eastAsia="Arial" w:hAnsi="Arial"/>
          <w:sz w:val="22"/>
          <w:szCs w:val="22"/>
          <w:b w:val="1"/>
          <w:bCs w:val="1"/>
          <w:color w:val="auto"/>
        </w:rPr>
        <w:t>December 12, 2017</w:t>
      </w:r>
    </w:p>
    <w:p>
      <w:pPr>
        <w:spacing w:after="0" w:line="28"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(Date of earliest event reported)</w:t>
      </w:r>
    </w:p>
    <w:p>
      <w:pPr>
        <w:spacing w:after="0" w:line="200" w:lineRule="exact"/>
        <w:rPr>
          <w:sz w:val="24"/>
          <w:szCs w:val="24"/>
          <w:color w:val="auto"/>
        </w:rPr>
      </w:pPr>
    </w:p>
    <w:p>
      <w:pPr>
        <w:spacing w:after="0" w:line="315" w:lineRule="exact"/>
        <w:rPr>
          <w:sz w:val="24"/>
          <w:szCs w:val="24"/>
          <w:color w:val="auto"/>
        </w:rPr>
      </w:pPr>
    </w:p>
    <w:p>
      <w:pPr>
        <w:jc w:val="center"/>
        <w:ind w:right="-119"/>
        <w:spacing w:after="0"/>
        <w:rPr>
          <w:sz w:val="20"/>
          <w:szCs w:val="20"/>
          <w:color w:val="auto"/>
        </w:rPr>
      </w:pPr>
      <w:r>
        <w:rPr>
          <w:rFonts w:ascii="Arial" w:cs="Arial" w:eastAsia="Arial" w:hAnsi="Arial"/>
          <w:sz w:val="29"/>
          <w:szCs w:val="29"/>
          <w:b w:val="1"/>
          <w:bCs w:val="1"/>
          <w:color w:val="auto"/>
        </w:rPr>
        <w:t>PRINCIPAL FINANCIAL GROUP, INC.</w:t>
      </w:r>
    </w:p>
    <w:p>
      <w:pPr>
        <w:spacing w:after="0" w:line="41"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(Exact name of registrant as specified in its charter)</w:t>
      </w:r>
    </w:p>
    <w:p>
      <w:pPr>
        <w:spacing w:after="0" w:line="200" w:lineRule="exact"/>
        <w:rPr>
          <w:sz w:val="24"/>
          <w:szCs w:val="24"/>
          <w:color w:val="auto"/>
        </w:rPr>
      </w:pPr>
    </w:p>
    <w:p>
      <w:pPr>
        <w:spacing w:after="0" w:line="375" w:lineRule="exact"/>
        <w:rPr>
          <w:sz w:val="24"/>
          <w:szCs w:val="24"/>
          <w:color w:val="auto"/>
        </w:rPr>
      </w:pPr>
    </w:p>
    <w:tbl>
      <w:tblPr>
        <w:tblLayout w:type="fixed"/>
        <w:tblInd w:w="2660" w:type="dxa"/>
        <w:tblCellMar>
          <w:top w:w="0" w:type="dxa"/>
          <w:left w:w="0" w:type="dxa"/>
          <w:bottom w:w="0" w:type="dxa"/>
          <w:right w:w="0" w:type="dxa"/>
        </w:tblCellMar>
      </w:tblPr>
      <w:tr>
        <w:trPr>
          <w:trHeight w:val="234"/>
        </w:trPr>
        <w:tc>
          <w:tcPr>
            <w:tcW w:w="2100" w:type="dxa"/>
            <w:vAlign w:val="bottom"/>
          </w:tcPr>
          <w:p>
            <w:pPr>
              <w:jc w:val="center"/>
              <w:ind w:right="90"/>
              <w:spacing w:after="0"/>
              <w:rPr>
                <w:sz w:val="20"/>
                <w:szCs w:val="20"/>
                <w:color w:val="auto"/>
              </w:rPr>
            </w:pPr>
            <w:r>
              <w:rPr>
                <w:rFonts w:ascii="Arial" w:cs="Arial" w:eastAsia="Arial" w:hAnsi="Arial"/>
                <w:sz w:val="18"/>
                <w:szCs w:val="18"/>
                <w:b w:val="1"/>
                <w:bCs w:val="1"/>
                <w:color w:val="auto"/>
                <w:w w:val="91"/>
              </w:rPr>
              <w:t>Delaware</w:t>
            </w:r>
          </w:p>
        </w:tc>
        <w:tc>
          <w:tcPr>
            <w:tcW w:w="2260" w:type="dxa"/>
            <w:vAlign w:val="bottom"/>
          </w:tcPr>
          <w:p>
            <w:pPr>
              <w:jc w:val="right"/>
              <w:ind w:right="730"/>
              <w:spacing w:after="0"/>
              <w:rPr>
                <w:sz w:val="20"/>
                <w:szCs w:val="20"/>
                <w:color w:val="auto"/>
              </w:rPr>
            </w:pPr>
            <w:r>
              <w:rPr>
                <w:rFonts w:ascii="Arial" w:cs="Arial" w:eastAsia="Arial" w:hAnsi="Arial"/>
                <w:sz w:val="18"/>
                <w:szCs w:val="18"/>
                <w:b w:val="1"/>
                <w:bCs w:val="1"/>
                <w:color w:val="auto"/>
              </w:rPr>
              <w:t>1-16725</w:t>
            </w:r>
          </w:p>
        </w:tc>
        <w:tc>
          <w:tcPr>
            <w:tcW w:w="1820" w:type="dxa"/>
            <w:vAlign w:val="bottom"/>
          </w:tcPr>
          <w:p>
            <w:pPr>
              <w:jc w:val="center"/>
              <w:ind w:left="50"/>
              <w:spacing w:after="0"/>
              <w:rPr>
                <w:sz w:val="20"/>
                <w:szCs w:val="20"/>
                <w:color w:val="auto"/>
              </w:rPr>
            </w:pPr>
            <w:r>
              <w:rPr>
                <w:rFonts w:ascii="Arial" w:cs="Arial" w:eastAsia="Arial" w:hAnsi="Arial"/>
                <w:sz w:val="18"/>
                <w:szCs w:val="18"/>
                <w:b w:val="1"/>
                <w:bCs w:val="1"/>
                <w:color w:val="auto"/>
                <w:w w:val="91"/>
              </w:rPr>
              <w:t>42-1520346</w:t>
            </w:r>
          </w:p>
        </w:tc>
      </w:tr>
      <w:tr>
        <w:trPr>
          <w:trHeight w:val="270"/>
        </w:trPr>
        <w:tc>
          <w:tcPr>
            <w:tcW w:w="2100" w:type="dxa"/>
            <w:vAlign w:val="bottom"/>
          </w:tcPr>
          <w:p>
            <w:pPr>
              <w:jc w:val="center"/>
              <w:ind w:right="110"/>
              <w:spacing w:after="0"/>
              <w:rPr>
                <w:sz w:val="20"/>
                <w:szCs w:val="20"/>
                <w:color w:val="auto"/>
              </w:rPr>
            </w:pPr>
            <w:r>
              <w:rPr>
                <w:rFonts w:ascii="Arial" w:cs="Arial" w:eastAsia="Arial" w:hAnsi="Arial"/>
                <w:sz w:val="18"/>
                <w:szCs w:val="18"/>
                <w:color w:val="auto"/>
                <w:w w:val="92"/>
              </w:rPr>
              <w:t>(State or other jurisdiction</w:t>
            </w:r>
          </w:p>
        </w:tc>
        <w:tc>
          <w:tcPr>
            <w:tcW w:w="2260" w:type="dxa"/>
            <w:vAlign w:val="bottom"/>
          </w:tcPr>
          <w:p>
            <w:pPr>
              <w:jc w:val="center"/>
              <w:spacing w:after="0"/>
              <w:rPr>
                <w:sz w:val="20"/>
                <w:szCs w:val="20"/>
                <w:color w:val="auto"/>
              </w:rPr>
            </w:pPr>
            <w:r>
              <w:rPr>
                <w:rFonts w:ascii="Arial" w:cs="Arial" w:eastAsia="Arial" w:hAnsi="Arial"/>
                <w:sz w:val="18"/>
                <w:szCs w:val="18"/>
                <w:color w:val="auto"/>
                <w:w w:val="93"/>
              </w:rPr>
              <w:t>(Commission file number)</w:t>
            </w:r>
          </w:p>
        </w:tc>
        <w:tc>
          <w:tcPr>
            <w:tcW w:w="1820" w:type="dxa"/>
            <w:vAlign w:val="bottom"/>
          </w:tcPr>
          <w:p>
            <w:pPr>
              <w:jc w:val="center"/>
              <w:ind w:left="50"/>
              <w:spacing w:after="0"/>
              <w:rPr>
                <w:sz w:val="20"/>
                <w:szCs w:val="20"/>
                <w:color w:val="auto"/>
              </w:rPr>
            </w:pPr>
            <w:r>
              <w:rPr>
                <w:rFonts w:ascii="Arial" w:cs="Arial" w:eastAsia="Arial" w:hAnsi="Arial"/>
                <w:sz w:val="18"/>
                <w:szCs w:val="18"/>
                <w:color w:val="auto"/>
                <w:w w:val="93"/>
              </w:rPr>
              <w:t>(I.R.S. Employer</w:t>
            </w:r>
          </w:p>
        </w:tc>
      </w:tr>
      <w:tr>
        <w:trPr>
          <w:trHeight w:val="270"/>
        </w:trPr>
        <w:tc>
          <w:tcPr>
            <w:tcW w:w="2100" w:type="dxa"/>
            <w:vAlign w:val="bottom"/>
          </w:tcPr>
          <w:p>
            <w:pPr>
              <w:jc w:val="center"/>
              <w:ind w:right="110"/>
              <w:spacing w:after="0"/>
              <w:rPr>
                <w:sz w:val="20"/>
                <w:szCs w:val="20"/>
                <w:color w:val="auto"/>
              </w:rPr>
            </w:pPr>
            <w:r>
              <w:rPr>
                <w:rFonts w:ascii="Arial" w:cs="Arial" w:eastAsia="Arial" w:hAnsi="Arial"/>
                <w:sz w:val="18"/>
                <w:szCs w:val="18"/>
                <w:color w:val="auto"/>
                <w:w w:val="93"/>
              </w:rPr>
              <w:t>of incorporation)</w:t>
            </w:r>
          </w:p>
        </w:tc>
        <w:tc>
          <w:tcPr>
            <w:tcW w:w="2260" w:type="dxa"/>
            <w:vAlign w:val="bottom"/>
          </w:tcPr>
          <w:p>
            <w:pPr>
              <w:spacing w:after="0"/>
              <w:rPr>
                <w:sz w:val="23"/>
                <w:szCs w:val="23"/>
                <w:color w:val="auto"/>
              </w:rPr>
            </w:pPr>
          </w:p>
        </w:tc>
        <w:tc>
          <w:tcPr>
            <w:tcW w:w="1820" w:type="dxa"/>
            <w:vAlign w:val="bottom"/>
          </w:tcPr>
          <w:p>
            <w:pPr>
              <w:jc w:val="center"/>
              <w:ind w:left="70"/>
              <w:spacing w:after="0"/>
              <w:rPr>
                <w:sz w:val="20"/>
                <w:szCs w:val="20"/>
                <w:color w:val="auto"/>
              </w:rPr>
            </w:pPr>
            <w:r>
              <w:rPr>
                <w:rFonts w:ascii="Arial" w:cs="Arial" w:eastAsia="Arial" w:hAnsi="Arial"/>
                <w:sz w:val="18"/>
                <w:szCs w:val="18"/>
                <w:color w:val="auto"/>
                <w:w w:val="94"/>
              </w:rPr>
              <w:t>Identification Number)</w:t>
            </w:r>
          </w:p>
        </w:tc>
      </w:tr>
    </w:tbl>
    <w:p>
      <w:pPr>
        <w:spacing w:after="0" w:line="200" w:lineRule="exact"/>
        <w:rPr>
          <w:sz w:val="24"/>
          <w:szCs w:val="24"/>
          <w:color w:val="auto"/>
        </w:rPr>
      </w:pPr>
    </w:p>
    <w:p>
      <w:pPr>
        <w:spacing w:after="0" w:line="308"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711 High Street, Des Moines, Iowa 50392</w:t>
      </w:r>
    </w:p>
    <w:p>
      <w:pPr>
        <w:spacing w:after="0" w:line="40"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(Address of principal executive offices)</w:t>
      </w:r>
    </w:p>
    <w:p>
      <w:pPr>
        <w:spacing w:after="0" w:line="275"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(515) 247-5111</w:t>
      </w:r>
    </w:p>
    <w:p>
      <w:pPr>
        <w:spacing w:after="0" w:line="40"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(Registrant’s telephone number, including area code)</w:t>
      </w:r>
    </w:p>
    <w:p>
      <w:pPr>
        <w:spacing w:after="0" w:line="279" w:lineRule="exact"/>
        <w:rPr>
          <w:sz w:val="24"/>
          <w:szCs w:val="24"/>
          <w:color w:val="auto"/>
        </w:rPr>
      </w:pPr>
    </w:p>
    <w:p>
      <w:pPr>
        <w:spacing w:after="0" w:line="309"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96" w:lineRule="exact"/>
        <w:rPr>
          <w:sz w:val="24"/>
          <w:szCs w:val="24"/>
          <w:color w:val="auto"/>
        </w:rPr>
      </w:pPr>
    </w:p>
    <w:p>
      <w:pPr>
        <w:ind w:left="120" w:hanging="112"/>
        <w:spacing w:after="0"/>
        <w:tabs>
          <w:tab w:leader="none" w:pos="120" w:val="left"/>
        </w:tabs>
        <w:numPr>
          <w:ilvl w:val="0"/>
          <w:numId w:val="1"/>
        </w:numPr>
        <w:rPr>
          <w:rFonts w:ascii="Arial" w:cs="Arial" w:eastAsia="Arial" w:hAnsi="Arial"/>
          <w:sz w:val="18"/>
          <w:szCs w:val="18"/>
          <w:color w:val="auto"/>
        </w:rPr>
      </w:pPr>
      <w:r>
        <w:rPr>
          <w:rFonts w:ascii="Arial" w:cs="Arial" w:eastAsia="Arial" w:hAnsi="Arial"/>
          <w:sz w:val="18"/>
          <w:szCs w:val="18"/>
          <w:color w:val="auto"/>
        </w:rPr>
        <w:t>]  Written communications pursuant to Rule 425 under the Securities Act (17 CFR 230.425)</w:t>
      </w:r>
    </w:p>
    <w:p>
      <w:pPr>
        <w:spacing w:after="0" w:line="36" w:lineRule="exact"/>
        <w:rPr>
          <w:rFonts w:ascii="Arial" w:cs="Arial" w:eastAsia="Arial" w:hAnsi="Arial"/>
          <w:sz w:val="18"/>
          <w:szCs w:val="18"/>
          <w:color w:val="auto"/>
        </w:rPr>
      </w:pPr>
    </w:p>
    <w:p>
      <w:pPr>
        <w:ind w:left="120" w:hanging="112"/>
        <w:spacing w:after="0"/>
        <w:tabs>
          <w:tab w:leader="none" w:pos="120" w:val="left"/>
        </w:tabs>
        <w:numPr>
          <w:ilvl w:val="0"/>
          <w:numId w:val="1"/>
        </w:numPr>
        <w:rPr>
          <w:rFonts w:ascii="Arial" w:cs="Arial" w:eastAsia="Arial" w:hAnsi="Arial"/>
          <w:sz w:val="18"/>
          <w:szCs w:val="18"/>
          <w:color w:val="auto"/>
        </w:rPr>
      </w:pPr>
      <w:r>
        <w:rPr>
          <w:rFonts w:ascii="Arial" w:cs="Arial" w:eastAsia="Arial" w:hAnsi="Arial"/>
          <w:sz w:val="18"/>
          <w:szCs w:val="18"/>
          <w:color w:val="auto"/>
        </w:rPr>
        <w:t>]  Soliciting material pursuant to Rule 14a-12 under the Exchange Act (17 CFR 240.14a-12)</w:t>
      </w:r>
    </w:p>
    <w:p>
      <w:pPr>
        <w:spacing w:after="0" w:line="36" w:lineRule="exact"/>
        <w:rPr>
          <w:rFonts w:ascii="Arial" w:cs="Arial" w:eastAsia="Arial" w:hAnsi="Arial"/>
          <w:sz w:val="18"/>
          <w:szCs w:val="18"/>
          <w:color w:val="auto"/>
        </w:rPr>
      </w:pPr>
    </w:p>
    <w:p>
      <w:pPr>
        <w:ind w:left="660" w:right="3920" w:hanging="652"/>
        <w:spacing w:after="0" w:line="281" w:lineRule="auto"/>
        <w:tabs>
          <w:tab w:leader="none" w:pos="117" w:val="left"/>
        </w:tabs>
        <w:numPr>
          <w:ilvl w:val="0"/>
          <w:numId w:val="1"/>
        </w:numPr>
        <w:rPr>
          <w:rFonts w:ascii="Arial" w:cs="Arial" w:eastAsia="Arial" w:hAnsi="Arial"/>
          <w:sz w:val="18"/>
          <w:szCs w:val="18"/>
          <w:color w:val="auto"/>
        </w:rPr>
      </w:pPr>
      <w:r>
        <w:rPr>
          <w:rFonts w:ascii="Arial" w:cs="Arial" w:eastAsia="Arial" w:hAnsi="Arial"/>
          <w:sz w:val="18"/>
          <w:szCs w:val="18"/>
          <w:color w:val="auto"/>
        </w:rPr>
        <w:t>] Pre-commencement communications pursuant to Rule 14d-2(b) under the Exchange Act (17 CFR 240.14d-2(b))</w:t>
      </w:r>
    </w:p>
    <w:p>
      <w:pPr>
        <w:spacing w:after="0" w:line="1" w:lineRule="exact"/>
        <w:rPr>
          <w:rFonts w:ascii="Arial" w:cs="Arial" w:eastAsia="Arial" w:hAnsi="Arial"/>
          <w:sz w:val="18"/>
          <w:szCs w:val="18"/>
          <w:color w:val="auto"/>
        </w:rPr>
      </w:pPr>
    </w:p>
    <w:p>
      <w:pPr>
        <w:ind w:left="660" w:right="3940" w:hanging="652"/>
        <w:spacing w:after="0" w:line="309" w:lineRule="auto"/>
        <w:tabs>
          <w:tab w:leader="none" w:pos="117" w:val="left"/>
        </w:tabs>
        <w:numPr>
          <w:ilvl w:val="0"/>
          <w:numId w:val="1"/>
        </w:numPr>
        <w:rPr>
          <w:rFonts w:ascii="Arial" w:cs="Arial" w:eastAsia="Arial" w:hAnsi="Arial"/>
          <w:sz w:val="18"/>
          <w:szCs w:val="18"/>
          <w:color w:val="auto"/>
        </w:rPr>
      </w:pPr>
      <w:r>
        <w:rPr>
          <w:rFonts w:ascii="Arial" w:cs="Arial" w:eastAsia="Arial" w:hAnsi="Arial"/>
          <w:sz w:val="18"/>
          <w:szCs w:val="18"/>
          <w:color w:val="auto"/>
        </w:rPr>
        <w:t>] Pre-commencement communications pursuant to Rule 13e-4(c) under the Exchange Act (17 CFR 240.13e-4(c))</w:t>
      </w:r>
    </w:p>
    <w:p>
      <w:pPr>
        <w:spacing w:after="0" w:line="140" w:lineRule="exact"/>
        <w:rPr>
          <w:sz w:val="24"/>
          <w:szCs w:val="24"/>
          <w:color w:val="auto"/>
        </w:rPr>
      </w:pPr>
    </w:p>
    <w:p>
      <w:pPr>
        <w:ind w:left="4820"/>
        <w:spacing w:after="0"/>
        <w:rPr>
          <w:sz w:val="20"/>
          <w:szCs w:val="20"/>
          <w:color w:val="auto"/>
        </w:rPr>
      </w:pPr>
      <w:r>
        <w:rPr>
          <w:rFonts w:ascii="Arial" w:cs="Arial" w:eastAsia="Arial" w:hAnsi="Arial"/>
          <w:sz w:val="20"/>
          <w:szCs w:val="20"/>
          <w:color w:val="auto"/>
        </w:rPr>
        <w:t>__________________</w:t>
      </w:r>
    </w:p>
    <w:p>
      <w:pPr>
        <w:sectPr>
          <w:pgSz w:w="11900" w:h="16838" w:orient="portrait"/>
          <w:cols w:equalWidth="0" w:num="1">
            <w:col w:w="11300"/>
          </w:cols>
          <w:pgMar w:left="240" w:top="747" w:right="359" w:bottom="1440" w:gutter="0" w:footer="0" w:header="0"/>
        </w:sectPr>
      </w:pPr>
    </w:p>
    <w:bookmarkStart w:id="1" w:name="page2"/>
    <w:bookmarkEnd w:id="1"/>
    <w:p>
      <w:pPr>
        <w:spacing w:after="0"/>
        <w:tabs>
          <w:tab w:leader="none" w:pos="1040" w:val="left"/>
        </w:tabs>
        <w:rPr>
          <w:sz w:val="20"/>
          <w:szCs w:val="20"/>
          <w:color w:val="auto"/>
        </w:rPr>
      </w:pPr>
      <w:r>
        <w:rPr>
          <w:rFonts w:ascii="Arial" w:cs="Arial" w:eastAsia="Arial" w:hAnsi="Arial"/>
          <w:sz w:val="22"/>
          <w:szCs w:val="22"/>
          <w:b w:val="1"/>
          <w:bCs w:val="1"/>
          <w:color w:val="auto"/>
        </w:rPr>
        <w:t>Item 7.01</w:t>
      </w:r>
      <w:r>
        <w:rPr>
          <w:sz w:val="20"/>
          <w:szCs w:val="20"/>
          <w:color w:val="auto"/>
        </w:rPr>
        <w:tab/>
      </w:r>
      <w:r>
        <w:rPr>
          <w:rFonts w:ascii="Arial" w:cs="Arial" w:eastAsia="Arial" w:hAnsi="Arial"/>
          <w:sz w:val="19"/>
          <w:szCs w:val="19"/>
          <w:b w:val="1"/>
          <w:bCs w:val="1"/>
          <w:color w:val="auto"/>
        </w:rPr>
        <w:t>Regulation FD Disclosure</w:t>
      </w:r>
    </w:p>
    <w:p>
      <w:pPr>
        <w:spacing w:after="0" w:line="239" w:lineRule="exact"/>
        <w:rPr>
          <w:sz w:val="20"/>
          <w:szCs w:val="20"/>
          <w:color w:val="auto"/>
        </w:rPr>
      </w:pPr>
    </w:p>
    <w:p>
      <w:pPr>
        <w:jc w:val="both"/>
        <w:spacing w:after="0" w:line="302" w:lineRule="auto"/>
        <w:rPr>
          <w:sz w:val="20"/>
          <w:szCs w:val="20"/>
          <w:color w:val="auto"/>
        </w:rPr>
      </w:pPr>
      <w:r>
        <w:rPr>
          <w:rFonts w:ascii="Arial" w:cs="Arial" w:eastAsia="Arial" w:hAnsi="Arial"/>
          <w:sz w:val="19"/>
          <w:szCs w:val="19"/>
          <w:color w:val="auto"/>
        </w:rPr>
        <w:t>The following information is being furnished under Item 7.01 "Regulation FD Disclosure." This information shall not be deemed "filed" for purposes of Section 18 of the Securities Exchange Act of 1934, as amended (the "Exchange Act") or otherwise subject to the liabilities of that section, nor shall it be deemed incorporated by reference in any filing under the Securities Act of 1933, as amended, or the Exchange Act, except as shall be expressly set forth by specific reference in such a filing.</w:t>
      </w:r>
    </w:p>
    <w:p>
      <w:pPr>
        <w:spacing w:after="0" w:line="143" w:lineRule="exact"/>
        <w:rPr>
          <w:sz w:val="20"/>
          <w:szCs w:val="20"/>
          <w:color w:val="auto"/>
        </w:rPr>
      </w:pPr>
    </w:p>
    <w:p>
      <w:pPr>
        <w:jc w:val="both"/>
        <w:spacing w:after="0" w:line="263" w:lineRule="auto"/>
        <w:rPr>
          <w:sz w:val="20"/>
          <w:szCs w:val="20"/>
          <w:color w:val="auto"/>
        </w:rPr>
      </w:pPr>
      <w:r>
        <w:rPr>
          <w:rFonts w:ascii="Arial" w:cs="Arial" w:eastAsia="Arial" w:hAnsi="Arial"/>
          <w:sz w:val="22"/>
          <w:szCs w:val="22"/>
          <w:color w:val="auto"/>
        </w:rPr>
        <w:t>On December 12, 2017, Principal Financial Group, Inc. announced its outlook for 2018. The text of the announcement is included herewith as Exhibit 99.</w:t>
      </w:r>
    </w:p>
    <w:p>
      <w:pPr>
        <w:spacing w:after="0" w:line="169" w:lineRule="exact"/>
        <w:rPr>
          <w:sz w:val="20"/>
          <w:szCs w:val="20"/>
          <w:color w:val="auto"/>
        </w:rPr>
      </w:pPr>
    </w:p>
    <w:p>
      <w:pPr>
        <w:spacing w:after="0"/>
        <w:tabs>
          <w:tab w:leader="none" w:pos="1040" w:val="left"/>
        </w:tabs>
        <w:rPr>
          <w:sz w:val="20"/>
          <w:szCs w:val="20"/>
          <w:color w:val="auto"/>
        </w:rPr>
      </w:pPr>
      <w:r>
        <w:rPr>
          <w:rFonts w:ascii="Arial" w:cs="Arial" w:eastAsia="Arial" w:hAnsi="Arial"/>
          <w:sz w:val="22"/>
          <w:szCs w:val="22"/>
          <w:b w:val="1"/>
          <w:bCs w:val="1"/>
          <w:color w:val="auto"/>
        </w:rPr>
        <w:t>Item 9.01</w:t>
      </w:r>
      <w:r>
        <w:rPr>
          <w:sz w:val="20"/>
          <w:szCs w:val="20"/>
          <w:color w:val="auto"/>
        </w:rPr>
        <w:tab/>
      </w:r>
      <w:r>
        <w:rPr>
          <w:rFonts w:ascii="Arial" w:cs="Arial" w:eastAsia="Arial" w:hAnsi="Arial"/>
          <w:sz w:val="19"/>
          <w:szCs w:val="19"/>
          <w:b w:val="1"/>
          <w:bCs w:val="1"/>
          <w:color w:val="auto"/>
        </w:rPr>
        <w:t>Financial Statements and Exhibits</w:t>
      </w:r>
    </w:p>
    <w:p>
      <w:pPr>
        <w:spacing w:after="0" w:line="172" w:lineRule="exact"/>
        <w:rPr>
          <w:sz w:val="20"/>
          <w:szCs w:val="20"/>
          <w:color w:val="auto"/>
        </w:rPr>
      </w:pPr>
    </w:p>
    <w:p>
      <w:pPr>
        <w:ind w:left="40"/>
        <w:spacing w:after="0"/>
        <w:tabs>
          <w:tab w:leader="none" w:pos="720" w:val="left"/>
        </w:tabs>
        <w:rPr>
          <w:rFonts w:ascii="Arial" w:cs="Arial" w:eastAsia="Arial" w:hAnsi="Arial"/>
          <w:sz w:val="22"/>
          <w:szCs w:val="22"/>
          <w:u w:val="single" w:color="auto"/>
          <w:color w:val="0000FF"/>
        </w:rPr>
      </w:pPr>
      <w:r>
        <w:rPr>
          <w:rFonts w:ascii="Arial" w:cs="Arial" w:eastAsia="Arial" w:hAnsi="Arial"/>
          <w:sz w:val="22"/>
          <w:szCs w:val="22"/>
          <w:u w:val="single" w:color="auto"/>
          <w:color w:val="0000FF"/>
        </w:rPr>
        <w:t>99</w:t>
      </w:r>
      <w:r>
        <w:rPr>
          <w:sz w:val="20"/>
          <w:szCs w:val="20"/>
          <w:color w:val="auto"/>
        </w:rPr>
        <w:tab/>
      </w:r>
      <w:hyperlink w:anchor="page3">
        <w:r>
          <w:rPr>
            <w:rFonts w:ascii="Arial" w:cs="Arial" w:eastAsia="Arial" w:hAnsi="Arial"/>
            <w:sz w:val="22"/>
            <w:szCs w:val="22"/>
            <w:u w:val="single" w:color="auto"/>
            <w:color w:val="0000FF"/>
          </w:rPr>
          <w:t>Press Release Concerning 2018 Outlook Dated December 12, 2017</w:t>
        </w:r>
      </w:hyperlink>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SIGNATURE</w:t>
      </w:r>
    </w:p>
    <w:p>
      <w:pPr>
        <w:spacing w:after="0" w:line="260" w:lineRule="exact"/>
        <w:rPr>
          <w:sz w:val="20"/>
          <w:szCs w:val="20"/>
          <w:color w:val="auto"/>
        </w:rPr>
      </w:pPr>
    </w:p>
    <w:p>
      <w:pPr>
        <w:ind w:right="260"/>
        <w:spacing w:after="0" w:line="263" w:lineRule="auto"/>
        <w:rPr>
          <w:sz w:val="20"/>
          <w:szCs w:val="20"/>
          <w:color w:val="auto"/>
        </w:rPr>
      </w:pPr>
      <w:r>
        <w:rPr>
          <w:rFonts w:ascii="Arial" w:cs="Arial" w:eastAsia="Arial" w:hAnsi="Arial"/>
          <w:sz w:val="22"/>
          <w:szCs w:val="22"/>
          <w:color w:val="auto"/>
        </w:rPr>
        <w:t>Pursuant to the requirements of the Securities Exchange Act of 1934, the registrant has duly caused this report to be signed on its behalf by the undersigned thereunto duly authorized.</w:t>
      </w:r>
    </w:p>
    <w:p>
      <w:pPr>
        <w:spacing w:after="0" w:line="200" w:lineRule="exact"/>
        <w:rPr>
          <w:sz w:val="20"/>
          <w:szCs w:val="20"/>
          <w:color w:val="auto"/>
        </w:rPr>
      </w:pPr>
    </w:p>
    <w:p>
      <w:pPr>
        <w:spacing w:after="0" w:line="231" w:lineRule="exact"/>
        <w:rPr>
          <w:sz w:val="20"/>
          <w:szCs w:val="20"/>
          <w:color w:val="auto"/>
        </w:rPr>
      </w:pPr>
    </w:p>
    <w:p>
      <w:pPr>
        <w:ind w:left="4660"/>
        <w:spacing w:after="0"/>
        <w:rPr>
          <w:sz w:val="20"/>
          <w:szCs w:val="20"/>
          <w:color w:val="auto"/>
        </w:rPr>
      </w:pPr>
      <w:r>
        <w:rPr>
          <w:rFonts w:ascii="Arial" w:cs="Arial" w:eastAsia="Arial" w:hAnsi="Arial"/>
          <w:sz w:val="22"/>
          <w:szCs w:val="22"/>
          <w:color w:val="auto"/>
        </w:rPr>
        <w:t>PRINCIPAL FINANCIAL GROUP, INC.</w:t>
      </w:r>
    </w:p>
    <w:p>
      <w:pPr>
        <w:spacing w:after="0" w:line="368" w:lineRule="exact"/>
        <w:rPr>
          <w:sz w:val="20"/>
          <w:szCs w:val="20"/>
          <w:color w:val="auto"/>
        </w:rPr>
      </w:pPr>
    </w:p>
    <w:p>
      <w:pPr>
        <w:ind w:left="4660"/>
        <w:spacing w:after="0"/>
        <w:rPr>
          <w:sz w:val="20"/>
          <w:szCs w:val="20"/>
          <w:color w:val="auto"/>
        </w:rPr>
      </w:pPr>
      <w:r>
        <w:rPr>
          <w:rFonts w:ascii="Arial" w:cs="Arial" w:eastAsia="Arial" w:hAnsi="Arial"/>
          <w:sz w:val="22"/>
          <w:szCs w:val="22"/>
          <w:color w:val="auto"/>
        </w:rPr>
        <w:t>By: /s/ John Egan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2946400</wp:posOffset>
            </wp:positionH>
            <wp:positionV relativeFrom="paragraph">
              <wp:posOffset>24765</wp:posOffset>
            </wp:positionV>
            <wp:extent cx="361061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3610610" cy="8890"/>
                    </a:xfrm>
                    <a:prstGeom prst="rect">
                      <a:avLst/>
                    </a:prstGeom>
                    <a:noFill/>
                  </pic:spPr>
                </pic:pic>
              </a:graphicData>
            </a:graphic>
          </wp:anchor>
        </w:drawing>
      </w:r>
    </w:p>
    <w:p>
      <w:pPr>
        <w:spacing w:after="0" w:line="38" w:lineRule="exact"/>
        <w:rPr>
          <w:sz w:val="20"/>
          <w:szCs w:val="20"/>
          <w:color w:val="auto"/>
        </w:rPr>
      </w:pPr>
    </w:p>
    <w:p>
      <w:pPr>
        <w:ind w:left="4660"/>
        <w:spacing w:after="0"/>
        <w:tabs>
          <w:tab w:leader="none" w:pos="5440" w:val="left"/>
        </w:tabs>
        <w:rPr>
          <w:sz w:val="20"/>
          <w:szCs w:val="20"/>
          <w:color w:val="auto"/>
        </w:rPr>
      </w:pPr>
      <w:r>
        <w:rPr>
          <w:rFonts w:ascii="Arial" w:cs="Arial" w:eastAsia="Arial" w:hAnsi="Arial"/>
          <w:sz w:val="22"/>
          <w:szCs w:val="22"/>
          <w:color w:val="auto"/>
        </w:rPr>
        <w:t>Name:</w:t>
        <w:tab/>
        <w:t>John Egan</w:t>
      </w:r>
    </w:p>
    <w:p>
      <w:pPr>
        <w:spacing w:after="0" w:line="44" w:lineRule="exact"/>
        <w:rPr>
          <w:sz w:val="20"/>
          <w:szCs w:val="20"/>
          <w:color w:val="auto"/>
        </w:rPr>
      </w:pPr>
    </w:p>
    <w:p>
      <w:pPr>
        <w:ind w:left="4660"/>
        <w:spacing w:after="0"/>
        <w:rPr>
          <w:sz w:val="20"/>
          <w:szCs w:val="20"/>
          <w:color w:val="auto"/>
        </w:rPr>
      </w:pPr>
      <w:r>
        <w:rPr>
          <w:rFonts w:ascii="Arial" w:cs="Arial" w:eastAsia="Arial" w:hAnsi="Arial"/>
          <w:sz w:val="22"/>
          <w:szCs w:val="22"/>
          <w:color w:val="auto"/>
        </w:rPr>
        <w:t>Title: Vice President - Investor Relations</w:t>
      </w:r>
    </w:p>
    <w:p>
      <w:pPr>
        <w:spacing w:after="0" w:line="368" w:lineRule="exact"/>
        <w:rPr>
          <w:sz w:val="20"/>
          <w:szCs w:val="20"/>
          <w:color w:val="auto"/>
        </w:rPr>
      </w:pPr>
    </w:p>
    <w:p>
      <w:pPr>
        <w:ind w:left="1120"/>
        <w:spacing w:after="0"/>
        <w:rPr>
          <w:sz w:val="20"/>
          <w:szCs w:val="20"/>
          <w:color w:val="auto"/>
        </w:rPr>
      </w:pPr>
      <w:r>
        <w:rPr>
          <w:rFonts w:ascii="Arial" w:cs="Arial" w:eastAsia="Arial" w:hAnsi="Arial"/>
          <w:sz w:val="22"/>
          <w:szCs w:val="22"/>
          <w:color w:val="auto"/>
        </w:rPr>
        <w:t>Date: December 12, 2017</w:t>
      </w:r>
    </w:p>
    <w:p>
      <w:pPr>
        <w:sectPr>
          <w:pgSz w:w="11900" w:h="16838" w:orient="portrait"/>
          <w:cols w:equalWidth="0" w:num="1">
            <w:col w:w="11420"/>
          </w:cols>
          <w:pgMar w:left="240" w:top="585" w:right="239" w:bottom="1440" w:gutter="0" w:footer="0" w:header="0"/>
        </w:sectPr>
      </w:pPr>
    </w:p>
    <w:bookmarkStart w:id="2" w:name="page3"/>
    <w:bookmarkEnd w:id="2"/>
    <w:p>
      <w:pPr>
        <w:jc w:val="right"/>
        <w:spacing w:after="0"/>
        <w:rPr>
          <w:sz w:val="20"/>
          <w:szCs w:val="20"/>
          <w:color w:val="auto"/>
        </w:rPr>
      </w:pPr>
      <w:r>
        <w:rPr>
          <w:rFonts w:ascii="Arial" w:cs="Arial" w:eastAsia="Arial" w:hAnsi="Arial"/>
          <w:sz w:val="20"/>
          <w:szCs w:val="20"/>
          <w:b w:val="1"/>
          <w:bCs w:val="1"/>
          <w:color w:val="auto"/>
        </w:rPr>
        <w:drawing>
          <wp:anchor simplePos="0" relativeHeight="251657728" behindDoc="1" locked="0" layoutInCell="0" allowOverlap="1">
            <wp:simplePos x="0" y="0"/>
            <wp:positionH relativeFrom="page">
              <wp:posOffset>5748655</wp:posOffset>
            </wp:positionH>
            <wp:positionV relativeFrom="page">
              <wp:posOffset>88900</wp:posOffset>
            </wp:positionV>
            <wp:extent cx="1655445" cy="5314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1655445" cy="531495"/>
                    </a:xfrm>
                    <a:prstGeom prst="rect">
                      <a:avLst/>
                    </a:prstGeom>
                    <a:noFill/>
                  </pic:spPr>
                </pic:pic>
              </a:graphicData>
            </a:graphic>
          </wp:anchor>
        </w:drawing>
        <w:t>EXHIBIT 99</w:t>
      </w:r>
    </w:p>
    <w:p>
      <w:pPr>
        <w:spacing w:after="0" w:line="23" w:lineRule="exact"/>
        <w:rPr>
          <w:sz w:val="20"/>
          <w:szCs w:val="20"/>
          <w:color w:val="auto"/>
        </w:rPr>
      </w:pPr>
    </w:p>
    <w:p>
      <w:pPr>
        <w:spacing w:after="0"/>
        <w:tabs>
          <w:tab w:leader="none" w:pos="1040" w:val="left"/>
        </w:tabs>
        <w:rPr>
          <w:sz w:val="20"/>
          <w:szCs w:val="20"/>
          <w:color w:val="auto"/>
        </w:rPr>
      </w:pPr>
      <w:r>
        <w:rPr>
          <w:rFonts w:ascii="Arial" w:cs="Arial" w:eastAsia="Arial" w:hAnsi="Arial"/>
          <w:sz w:val="20"/>
          <w:szCs w:val="20"/>
          <w:color w:val="auto"/>
        </w:rPr>
        <w:t>Release:</w:t>
        <w:tab/>
        <w:t>On receipt,December 12, 2017</w:t>
      </w:r>
    </w:p>
    <w:p>
      <w:pPr>
        <w:spacing w:after="0"/>
        <w:tabs>
          <w:tab w:leader="none" w:pos="1540" w:val="left"/>
        </w:tabs>
        <w:rPr>
          <w:sz w:val="20"/>
          <w:szCs w:val="20"/>
          <w:color w:val="auto"/>
        </w:rPr>
      </w:pPr>
      <w:r>
        <w:rPr>
          <w:rFonts w:ascii="Arial" w:cs="Arial" w:eastAsia="Arial" w:hAnsi="Arial"/>
          <w:sz w:val="20"/>
          <w:szCs w:val="20"/>
          <w:color w:val="auto"/>
        </w:rPr>
        <w:t>Media Contact:</w:t>
      </w:r>
      <w:r>
        <w:rPr>
          <w:sz w:val="20"/>
          <w:szCs w:val="20"/>
          <w:color w:val="auto"/>
        </w:rPr>
        <w:tab/>
      </w:r>
      <w:r>
        <w:rPr>
          <w:rFonts w:ascii="Arial" w:cs="Arial" w:eastAsia="Arial" w:hAnsi="Arial"/>
          <w:sz w:val="19"/>
          <w:szCs w:val="19"/>
          <w:color w:val="auto"/>
        </w:rPr>
        <w:t>Erica Jensen, 515-362-0049, jensen.erica@principal.com</w:t>
      </w:r>
    </w:p>
    <w:p>
      <w:pPr>
        <w:spacing w:after="0"/>
        <w:tabs>
          <w:tab w:leader="none" w:pos="1700" w:val="left"/>
        </w:tabs>
        <w:rPr>
          <w:sz w:val="20"/>
          <w:szCs w:val="20"/>
          <w:color w:val="auto"/>
        </w:rPr>
      </w:pPr>
      <w:r>
        <w:rPr>
          <w:rFonts w:ascii="Arial" w:cs="Arial" w:eastAsia="Arial" w:hAnsi="Arial"/>
          <w:sz w:val="20"/>
          <w:szCs w:val="20"/>
          <w:color w:val="auto"/>
        </w:rPr>
        <w:t>Investor Contact:</w:t>
      </w:r>
      <w:r>
        <w:rPr>
          <w:sz w:val="20"/>
          <w:szCs w:val="20"/>
          <w:color w:val="auto"/>
        </w:rPr>
        <w:tab/>
      </w:r>
      <w:r>
        <w:rPr>
          <w:rFonts w:ascii="Arial" w:cs="Arial" w:eastAsia="Arial" w:hAnsi="Arial"/>
          <w:sz w:val="19"/>
          <w:szCs w:val="19"/>
          <w:color w:val="auto"/>
        </w:rPr>
        <w:t>John Egan, 515-235-9500, egan.john@principal.com</w:t>
      </w:r>
    </w:p>
    <w:p>
      <w:pPr>
        <w:spacing w:after="0" w:line="202"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Principal announces outlook for 2018</w:t>
      </w:r>
    </w:p>
    <w:p>
      <w:pPr>
        <w:spacing w:after="0" w:line="266" w:lineRule="exact"/>
        <w:rPr>
          <w:sz w:val="20"/>
          <w:szCs w:val="20"/>
          <w:color w:val="auto"/>
        </w:rPr>
      </w:pPr>
    </w:p>
    <w:p>
      <w:pPr>
        <w:ind w:right="220"/>
        <w:spacing w:after="0" w:line="241" w:lineRule="auto"/>
        <w:rPr>
          <w:sz w:val="20"/>
          <w:szCs w:val="20"/>
          <w:color w:val="auto"/>
        </w:rPr>
      </w:pPr>
      <w:r>
        <w:rPr>
          <w:rFonts w:ascii="Arial" w:cs="Arial" w:eastAsia="Arial" w:hAnsi="Arial"/>
          <w:sz w:val="20"/>
          <w:szCs w:val="20"/>
          <w:color w:val="auto"/>
        </w:rPr>
        <w:t xml:space="preserve">(Des Moines, Iowa) - Principal Financial Group, Inc. (NYSE:PFG) today announced certain business unit outlook metrics and an update on capital deployment plans for 2018. These metrics provide greater clarity around the key drivers of earnings growth for each of the business units. Company senior leaders will provide additional detail and answer questions during a 30-minute conference call at 10:00 a.m. EST today, Dec. 12, 2017. Slides related to the 2018 outlook are now available at </w:t>
      </w:r>
      <w:r>
        <w:rPr>
          <w:rFonts w:ascii="Arial" w:cs="Arial" w:eastAsia="Arial" w:hAnsi="Arial"/>
          <w:sz w:val="20"/>
          <w:szCs w:val="20"/>
          <w:u w:val="single" w:color="auto"/>
          <w:color w:val="0000FF"/>
        </w:rPr>
        <w:t>principal.com/investor</w:t>
      </w:r>
      <w:r>
        <w:rPr>
          <w:rFonts w:ascii="Arial" w:cs="Arial" w:eastAsia="Arial" w:hAnsi="Arial"/>
          <w:sz w:val="20"/>
          <w:szCs w:val="20"/>
          <w:color w:val="000000"/>
        </w:rPr>
        <w:t>.</w:t>
      </w:r>
    </w:p>
    <w:p>
      <w:pPr>
        <w:spacing w:after="0" w:line="236" w:lineRule="exact"/>
        <w:rPr>
          <w:sz w:val="20"/>
          <w:szCs w:val="20"/>
          <w:color w:val="auto"/>
        </w:rPr>
      </w:pPr>
    </w:p>
    <w:p>
      <w:pPr>
        <w:spacing w:after="0"/>
        <w:rPr>
          <w:sz w:val="20"/>
          <w:szCs w:val="20"/>
          <w:color w:val="auto"/>
        </w:rPr>
      </w:pPr>
      <w:r>
        <w:rPr>
          <w:rFonts w:ascii="Arial" w:cs="Arial" w:eastAsia="Arial" w:hAnsi="Arial"/>
          <w:sz w:val="20"/>
          <w:szCs w:val="20"/>
          <w:color w:val="auto"/>
        </w:rPr>
        <w:t>Below are the 2018 outlook metrics for each business: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330835</wp:posOffset>
            </wp:positionH>
            <wp:positionV relativeFrom="paragraph">
              <wp:posOffset>190500</wp:posOffset>
            </wp:positionV>
            <wp:extent cx="6612255" cy="36360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612255" cy="3636010"/>
                    </a:xfrm>
                    <a:prstGeom prst="rect">
                      <a:avLst/>
                    </a:prstGeom>
                    <a:noFill/>
                  </pic:spPr>
                </pic:pic>
              </a:graphicData>
            </a:graphic>
          </wp:anchor>
        </w:drawing>
      </w:r>
    </w:p>
    <w:p>
      <w:pPr>
        <w:spacing w:after="0" w:line="298" w:lineRule="exact"/>
        <w:rPr>
          <w:sz w:val="20"/>
          <w:szCs w:val="20"/>
          <w:color w:val="auto"/>
        </w:rPr>
      </w:pPr>
    </w:p>
    <w:p>
      <w:pPr>
        <w:ind w:left="560"/>
        <w:spacing w:after="0"/>
        <w:rPr>
          <w:sz w:val="20"/>
          <w:szCs w:val="20"/>
          <w:color w:val="auto"/>
        </w:rPr>
      </w:pPr>
      <w:r>
        <w:rPr>
          <w:rFonts w:ascii="Arial" w:cs="Arial" w:eastAsia="Arial" w:hAnsi="Arial"/>
          <w:sz w:val="18"/>
          <w:szCs w:val="18"/>
          <w:b w:val="1"/>
          <w:bCs w:val="1"/>
          <w:color w:val="auto"/>
        </w:rPr>
        <w:t>Principal Financial Group 2018 Outlook Metrics</w:t>
      </w:r>
    </w:p>
    <w:p>
      <w:pPr>
        <w:spacing w:after="0" w:line="63" w:lineRule="exact"/>
        <w:rPr>
          <w:sz w:val="20"/>
          <w:szCs w:val="20"/>
          <w:color w:val="auto"/>
        </w:rPr>
      </w:pPr>
    </w:p>
    <w:tbl>
      <w:tblPr>
        <w:tblLayout w:type="fixed"/>
        <w:tblInd w:w="520" w:type="dxa"/>
        <w:tblCellMar>
          <w:top w:w="0" w:type="dxa"/>
          <w:left w:w="0" w:type="dxa"/>
          <w:bottom w:w="0" w:type="dxa"/>
          <w:right w:w="0" w:type="dxa"/>
        </w:tblCellMar>
      </w:tblPr>
      <w:tr>
        <w:trPr>
          <w:trHeight w:val="239"/>
        </w:trPr>
        <w:tc>
          <w:tcPr>
            <w:tcW w:w="7600" w:type="dxa"/>
            <w:vAlign w:val="bottom"/>
          </w:tcPr>
          <w:p>
            <w:pPr>
              <w:ind w:left="40"/>
              <w:spacing w:after="0"/>
              <w:rPr>
                <w:sz w:val="20"/>
                <w:szCs w:val="20"/>
                <w:color w:val="auto"/>
              </w:rPr>
            </w:pPr>
            <w:r>
              <w:rPr>
                <w:rFonts w:ascii="Arial" w:cs="Arial" w:eastAsia="Arial" w:hAnsi="Arial"/>
                <w:sz w:val="18"/>
                <w:szCs w:val="18"/>
                <w:b w:val="1"/>
                <w:bCs w:val="1"/>
                <w:color w:val="auto"/>
              </w:rPr>
              <w:t>Retirement &amp; Income Solutions - Fee</w:t>
            </w:r>
          </w:p>
        </w:tc>
        <w:tc>
          <w:tcPr>
            <w:tcW w:w="2820" w:type="dxa"/>
            <w:vAlign w:val="bottom"/>
          </w:tcPr>
          <w:p>
            <w:pPr>
              <w:spacing w:after="0"/>
              <w:rPr>
                <w:sz w:val="20"/>
                <w:szCs w:val="20"/>
                <w:color w:val="auto"/>
              </w:rPr>
            </w:pPr>
          </w:p>
        </w:tc>
      </w:tr>
      <w:tr>
        <w:trPr>
          <w:trHeight w:val="294"/>
        </w:trPr>
        <w:tc>
          <w:tcPr>
            <w:tcW w:w="7600" w:type="dxa"/>
            <w:vAlign w:val="bottom"/>
          </w:tcPr>
          <w:p>
            <w:pPr>
              <w:ind w:left="1480"/>
              <w:spacing w:after="0"/>
              <w:rPr>
                <w:sz w:val="20"/>
                <w:szCs w:val="20"/>
                <w:color w:val="auto"/>
              </w:rPr>
            </w:pPr>
            <w:r>
              <w:rPr>
                <w:rFonts w:ascii="Arial" w:cs="Arial" w:eastAsia="Arial" w:hAnsi="Arial"/>
                <w:sz w:val="18"/>
                <w:szCs w:val="18"/>
                <w:color w:val="auto"/>
              </w:rPr>
              <w:t>Net revenue</w:t>
            </w:r>
            <w:r>
              <w:rPr>
                <w:rFonts w:ascii="Arial" w:cs="Arial" w:eastAsia="Arial" w:hAnsi="Arial"/>
                <w:sz w:val="21"/>
                <w:szCs w:val="21"/>
                <w:color w:val="auto"/>
                <w:vertAlign w:val="superscript"/>
              </w:rPr>
              <w:t>1</w:t>
            </w:r>
            <w:r>
              <w:rPr>
                <w:rFonts w:ascii="Arial" w:cs="Arial" w:eastAsia="Arial" w:hAnsi="Arial"/>
                <w:sz w:val="18"/>
                <w:szCs w:val="18"/>
                <w:color w:val="auto"/>
              </w:rPr>
              <w:t xml:space="preserve"> growth</w:t>
            </w:r>
          </w:p>
        </w:tc>
        <w:tc>
          <w:tcPr>
            <w:tcW w:w="2820" w:type="dxa"/>
            <w:vAlign w:val="bottom"/>
          </w:tcPr>
          <w:p>
            <w:pPr>
              <w:ind w:left="540"/>
              <w:spacing w:after="0"/>
              <w:rPr>
                <w:sz w:val="20"/>
                <w:szCs w:val="20"/>
                <w:color w:val="auto"/>
              </w:rPr>
            </w:pPr>
            <w:r>
              <w:rPr>
                <w:rFonts w:ascii="Arial" w:cs="Arial" w:eastAsia="Arial" w:hAnsi="Arial"/>
                <w:sz w:val="18"/>
                <w:szCs w:val="18"/>
                <w:color w:val="auto"/>
              </w:rPr>
              <w:t>2-5%</w:t>
            </w:r>
          </w:p>
        </w:tc>
      </w:tr>
      <w:tr>
        <w:trPr>
          <w:trHeight w:val="233"/>
        </w:trPr>
        <w:tc>
          <w:tcPr>
            <w:tcW w:w="7600" w:type="dxa"/>
            <w:vAlign w:val="bottom"/>
            <w:tcBorders>
              <w:bottom w:val="single" w:sz="8" w:color="auto"/>
            </w:tcBorders>
          </w:tcPr>
          <w:p>
            <w:pPr>
              <w:ind w:left="1480"/>
              <w:spacing w:after="0" w:line="233" w:lineRule="exact"/>
              <w:rPr>
                <w:sz w:val="20"/>
                <w:szCs w:val="20"/>
                <w:color w:val="auto"/>
              </w:rPr>
            </w:pPr>
            <w:r>
              <w:rPr>
                <w:rFonts w:ascii="Arial" w:cs="Arial" w:eastAsia="Arial" w:hAnsi="Arial"/>
                <w:sz w:val="18"/>
                <w:szCs w:val="18"/>
                <w:color w:val="auto"/>
              </w:rPr>
              <w:t>Pre-tax return on net revenue</w:t>
            </w:r>
            <w:r>
              <w:rPr>
                <w:rFonts w:ascii="Arial" w:cs="Arial" w:eastAsia="Arial" w:hAnsi="Arial"/>
                <w:sz w:val="21"/>
                <w:szCs w:val="21"/>
                <w:color w:val="auto"/>
                <w:vertAlign w:val="superscript"/>
              </w:rPr>
              <w:t>2</w:t>
            </w:r>
          </w:p>
        </w:tc>
        <w:tc>
          <w:tcPr>
            <w:tcW w:w="2820" w:type="dxa"/>
            <w:vAlign w:val="bottom"/>
            <w:tcBorders>
              <w:bottom w:val="single" w:sz="8" w:color="auto"/>
            </w:tcBorders>
          </w:tcPr>
          <w:p>
            <w:pPr>
              <w:ind w:left="540"/>
              <w:spacing w:after="0"/>
              <w:rPr>
                <w:sz w:val="20"/>
                <w:szCs w:val="20"/>
                <w:color w:val="auto"/>
              </w:rPr>
            </w:pPr>
            <w:r>
              <w:rPr>
                <w:rFonts w:ascii="Arial" w:cs="Arial" w:eastAsia="Arial" w:hAnsi="Arial"/>
                <w:sz w:val="18"/>
                <w:szCs w:val="18"/>
                <w:color w:val="auto"/>
              </w:rPr>
              <w:t>30-34%</w:t>
            </w:r>
          </w:p>
        </w:tc>
      </w:tr>
      <w:tr>
        <w:trPr>
          <w:trHeight w:val="237"/>
        </w:trPr>
        <w:tc>
          <w:tcPr>
            <w:tcW w:w="7600" w:type="dxa"/>
            <w:vAlign w:val="bottom"/>
          </w:tcPr>
          <w:p>
            <w:pPr>
              <w:ind w:left="40"/>
              <w:spacing w:after="0"/>
              <w:rPr>
                <w:sz w:val="20"/>
                <w:szCs w:val="20"/>
                <w:color w:val="auto"/>
              </w:rPr>
            </w:pPr>
            <w:r>
              <w:rPr>
                <w:rFonts w:ascii="Arial" w:cs="Arial" w:eastAsia="Arial" w:hAnsi="Arial"/>
                <w:sz w:val="18"/>
                <w:szCs w:val="18"/>
                <w:b w:val="1"/>
                <w:bCs w:val="1"/>
                <w:color w:val="auto"/>
              </w:rPr>
              <w:t>Retirement &amp; Income Solutions - Spread</w:t>
            </w:r>
          </w:p>
        </w:tc>
        <w:tc>
          <w:tcPr>
            <w:tcW w:w="2820" w:type="dxa"/>
            <w:vAlign w:val="bottom"/>
          </w:tcPr>
          <w:p>
            <w:pPr>
              <w:spacing w:after="0"/>
              <w:rPr>
                <w:sz w:val="20"/>
                <w:szCs w:val="20"/>
                <w:color w:val="auto"/>
              </w:rPr>
            </w:pPr>
          </w:p>
        </w:tc>
      </w:tr>
      <w:tr>
        <w:trPr>
          <w:trHeight w:val="257"/>
        </w:trPr>
        <w:tc>
          <w:tcPr>
            <w:tcW w:w="7600" w:type="dxa"/>
            <w:vAlign w:val="bottom"/>
          </w:tcPr>
          <w:p>
            <w:pPr>
              <w:ind w:left="1480"/>
              <w:spacing w:after="0"/>
              <w:rPr>
                <w:sz w:val="20"/>
                <w:szCs w:val="20"/>
                <w:color w:val="auto"/>
              </w:rPr>
            </w:pPr>
            <w:r>
              <w:rPr>
                <w:rFonts w:ascii="Arial" w:cs="Arial" w:eastAsia="Arial" w:hAnsi="Arial"/>
                <w:sz w:val="18"/>
                <w:szCs w:val="18"/>
                <w:color w:val="auto"/>
              </w:rPr>
              <w:t>Net revenue growth</w:t>
            </w:r>
          </w:p>
        </w:tc>
        <w:tc>
          <w:tcPr>
            <w:tcW w:w="2820" w:type="dxa"/>
            <w:vAlign w:val="bottom"/>
          </w:tcPr>
          <w:p>
            <w:pPr>
              <w:ind w:left="540"/>
              <w:spacing w:after="0"/>
              <w:rPr>
                <w:sz w:val="20"/>
                <w:szCs w:val="20"/>
                <w:color w:val="auto"/>
              </w:rPr>
            </w:pPr>
            <w:r>
              <w:rPr>
                <w:rFonts w:ascii="Arial" w:cs="Arial" w:eastAsia="Arial" w:hAnsi="Arial"/>
                <w:sz w:val="18"/>
                <w:szCs w:val="18"/>
                <w:color w:val="auto"/>
              </w:rPr>
              <w:t>5-10%</w:t>
            </w:r>
          </w:p>
        </w:tc>
      </w:tr>
      <w:tr>
        <w:trPr>
          <w:trHeight w:val="264"/>
        </w:trPr>
        <w:tc>
          <w:tcPr>
            <w:tcW w:w="7600" w:type="dxa"/>
            <w:vAlign w:val="bottom"/>
            <w:tcBorders>
              <w:bottom w:val="single" w:sz="8" w:color="auto"/>
            </w:tcBorders>
          </w:tcPr>
          <w:p>
            <w:pPr>
              <w:ind w:left="1480"/>
              <w:spacing w:after="0"/>
              <w:rPr>
                <w:sz w:val="20"/>
                <w:szCs w:val="20"/>
                <w:color w:val="auto"/>
              </w:rPr>
            </w:pPr>
            <w:r>
              <w:rPr>
                <w:rFonts w:ascii="Arial" w:cs="Arial" w:eastAsia="Arial" w:hAnsi="Arial"/>
                <w:sz w:val="18"/>
                <w:szCs w:val="18"/>
                <w:color w:val="auto"/>
              </w:rPr>
              <w:t>Pre-tax return on net revenue</w:t>
            </w:r>
          </w:p>
        </w:tc>
        <w:tc>
          <w:tcPr>
            <w:tcW w:w="2820" w:type="dxa"/>
            <w:vAlign w:val="bottom"/>
            <w:tcBorders>
              <w:bottom w:val="single" w:sz="8" w:color="auto"/>
            </w:tcBorders>
          </w:tcPr>
          <w:p>
            <w:pPr>
              <w:ind w:left="540"/>
              <w:spacing w:after="0"/>
              <w:rPr>
                <w:sz w:val="20"/>
                <w:szCs w:val="20"/>
                <w:color w:val="auto"/>
              </w:rPr>
            </w:pPr>
            <w:r>
              <w:rPr>
                <w:rFonts w:ascii="Arial" w:cs="Arial" w:eastAsia="Arial" w:hAnsi="Arial"/>
                <w:sz w:val="18"/>
                <w:szCs w:val="18"/>
                <w:color w:val="auto"/>
              </w:rPr>
              <w:t>60-65%</w:t>
            </w:r>
          </w:p>
        </w:tc>
      </w:tr>
      <w:tr>
        <w:trPr>
          <w:trHeight w:val="243"/>
        </w:trPr>
        <w:tc>
          <w:tcPr>
            <w:tcW w:w="7600" w:type="dxa"/>
            <w:vAlign w:val="bottom"/>
          </w:tcPr>
          <w:p>
            <w:pPr>
              <w:ind w:left="40"/>
              <w:spacing w:after="0"/>
              <w:rPr>
                <w:sz w:val="20"/>
                <w:szCs w:val="20"/>
                <w:color w:val="auto"/>
              </w:rPr>
            </w:pPr>
            <w:r>
              <w:rPr>
                <w:rFonts w:ascii="Arial" w:cs="Arial" w:eastAsia="Arial" w:hAnsi="Arial"/>
                <w:sz w:val="18"/>
                <w:szCs w:val="18"/>
                <w:b w:val="1"/>
                <w:bCs w:val="1"/>
                <w:color w:val="auto"/>
              </w:rPr>
              <w:t>Principal Global Investors</w:t>
            </w:r>
          </w:p>
        </w:tc>
        <w:tc>
          <w:tcPr>
            <w:tcW w:w="2820" w:type="dxa"/>
            <w:vAlign w:val="bottom"/>
          </w:tcPr>
          <w:p>
            <w:pPr>
              <w:spacing w:after="0"/>
              <w:rPr>
                <w:sz w:val="21"/>
                <w:szCs w:val="21"/>
                <w:color w:val="auto"/>
              </w:rPr>
            </w:pPr>
          </w:p>
        </w:tc>
      </w:tr>
      <w:tr>
        <w:trPr>
          <w:trHeight w:val="294"/>
        </w:trPr>
        <w:tc>
          <w:tcPr>
            <w:tcW w:w="7600" w:type="dxa"/>
            <w:vAlign w:val="bottom"/>
          </w:tcPr>
          <w:p>
            <w:pPr>
              <w:ind w:left="1480"/>
              <w:spacing w:after="0"/>
              <w:rPr>
                <w:sz w:val="20"/>
                <w:szCs w:val="20"/>
                <w:color w:val="auto"/>
              </w:rPr>
            </w:pPr>
            <w:r>
              <w:rPr>
                <w:rFonts w:ascii="Arial" w:cs="Arial" w:eastAsia="Arial" w:hAnsi="Arial"/>
                <w:sz w:val="18"/>
                <w:szCs w:val="18"/>
                <w:color w:val="auto"/>
              </w:rPr>
              <w:t>Operating revenues less pass-through commissions</w:t>
            </w:r>
            <w:r>
              <w:rPr>
                <w:rFonts w:ascii="Arial" w:cs="Arial" w:eastAsia="Arial" w:hAnsi="Arial"/>
                <w:sz w:val="21"/>
                <w:szCs w:val="21"/>
                <w:color w:val="auto"/>
                <w:vertAlign w:val="superscript"/>
              </w:rPr>
              <w:t>3</w:t>
            </w:r>
            <w:r>
              <w:rPr>
                <w:rFonts w:ascii="Arial" w:cs="Arial" w:eastAsia="Arial" w:hAnsi="Arial"/>
                <w:sz w:val="18"/>
                <w:szCs w:val="18"/>
                <w:color w:val="auto"/>
              </w:rPr>
              <w:t xml:space="preserve"> growth</w:t>
            </w:r>
          </w:p>
        </w:tc>
        <w:tc>
          <w:tcPr>
            <w:tcW w:w="2820" w:type="dxa"/>
            <w:vAlign w:val="bottom"/>
          </w:tcPr>
          <w:p>
            <w:pPr>
              <w:ind w:left="540"/>
              <w:spacing w:after="0"/>
              <w:rPr>
                <w:sz w:val="20"/>
                <w:szCs w:val="20"/>
                <w:color w:val="auto"/>
              </w:rPr>
            </w:pPr>
            <w:r>
              <w:rPr>
                <w:rFonts w:ascii="Arial" w:cs="Arial" w:eastAsia="Arial" w:hAnsi="Arial"/>
                <w:sz w:val="18"/>
                <w:szCs w:val="18"/>
                <w:color w:val="auto"/>
              </w:rPr>
              <w:t>4-8%</w:t>
            </w:r>
          </w:p>
        </w:tc>
      </w:tr>
      <w:tr>
        <w:trPr>
          <w:trHeight w:val="233"/>
        </w:trPr>
        <w:tc>
          <w:tcPr>
            <w:tcW w:w="7600" w:type="dxa"/>
            <w:vAlign w:val="bottom"/>
            <w:tcBorders>
              <w:bottom w:val="single" w:sz="8" w:color="auto"/>
            </w:tcBorders>
          </w:tcPr>
          <w:p>
            <w:pPr>
              <w:ind w:left="1480"/>
              <w:spacing w:after="0" w:line="233" w:lineRule="exact"/>
              <w:rPr>
                <w:sz w:val="20"/>
                <w:szCs w:val="20"/>
                <w:color w:val="auto"/>
              </w:rPr>
            </w:pPr>
            <w:r>
              <w:rPr>
                <w:rFonts w:ascii="Arial" w:cs="Arial" w:eastAsia="Arial" w:hAnsi="Arial"/>
                <w:sz w:val="18"/>
                <w:szCs w:val="18"/>
                <w:color w:val="auto"/>
              </w:rPr>
              <w:t>Pre-tax return on operating revenues less pass-through commissions</w:t>
            </w:r>
            <w:r>
              <w:rPr>
                <w:rFonts w:ascii="Arial" w:cs="Arial" w:eastAsia="Arial" w:hAnsi="Arial"/>
                <w:sz w:val="21"/>
                <w:szCs w:val="21"/>
                <w:color w:val="auto"/>
                <w:vertAlign w:val="superscript"/>
              </w:rPr>
              <w:t>4</w:t>
            </w:r>
          </w:p>
        </w:tc>
        <w:tc>
          <w:tcPr>
            <w:tcW w:w="2820" w:type="dxa"/>
            <w:vAlign w:val="bottom"/>
            <w:tcBorders>
              <w:bottom w:val="single" w:sz="8" w:color="auto"/>
            </w:tcBorders>
          </w:tcPr>
          <w:p>
            <w:pPr>
              <w:ind w:left="540"/>
              <w:spacing w:after="0"/>
              <w:rPr>
                <w:sz w:val="20"/>
                <w:szCs w:val="20"/>
                <w:color w:val="auto"/>
              </w:rPr>
            </w:pPr>
            <w:r>
              <w:rPr>
                <w:rFonts w:ascii="Arial" w:cs="Arial" w:eastAsia="Arial" w:hAnsi="Arial"/>
                <w:sz w:val="18"/>
                <w:szCs w:val="18"/>
                <w:color w:val="auto"/>
              </w:rPr>
              <w:t>34-38%</w:t>
            </w:r>
          </w:p>
        </w:tc>
      </w:tr>
      <w:tr>
        <w:trPr>
          <w:trHeight w:val="237"/>
        </w:trPr>
        <w:tc>
          <w:tcPr>
            <w:tcW w:w="7600" w:type="dxa"/>
            <w:vAlign w:val="bottom"/>
          </w:tcPr>
          <w:p>
            <w:pPr>
              <w:ind w:left="40"/>
              <w:spacing w:after="0"/>
              <w:rPr>
                <w:sz w:val="20"/>
                <w:szCs w:val="20"/>
                <w:color w:val="auto"/>
              </w:rPr>
            </w:pPr>
            <w:r>
              <w:rPr>
                <w:rFonts w:ascii="Arial" w:cs="Arial" w:eastAsia="Arial" w:hAnsi="Arial"/>
                <w:sz w:val="18"/>
                <w:szCs w:val="18"/>
                <w:b w:val="1"/>
                <w:bCs w:val="1"/>
                <w:color w:val="auto"/>
              </w:rPr>
              <w:t xml:space="preserve">Principal International </w:t>
            </w:r>
            <w:r>
              <w:rPr>
                <w:rFonts w:ascii="Arial" w:cs="Arial" w:eastAsia="Arial" w:hAnsi="Arial"/>
                <w:sz w:val="18"/>
                <w:szCs w:val="18"/>
                <w:color w:val="auto"/>
              </w:rPr>
              <w:t>(at PFG share, in reported USD)</w:t>
            </w:r>
          </w:p>
        </w:tc>
        <w:tc>
          <w:tcPr>
            <w:tcW w:w="2820" w:type="dxa"/>
            <w:vAlign w:val="bottom"/>
          </w:tcPr>
          <w:p>
            <w:pPr>
              <w:spacing w:after="0"/>
              <w:rPr>
                <w:sz w:val="20"/>
                <w:szCs w:val="20"/>
                <w:color w:val="auto"/>
              </w:rPr>
            </w:pPr>
          </w:p>
        </w:tc>
      </w:tr>
      <w:tr>
        <w:trPr>
          <w:trHeight w:val="294"/>
        </w:trPr>
        <w:tc>
          <w:tcPr>
            <w:tcW w:w="7600" w:type="dxa"/>
            <w:vAlign w:val="bottom"/>
          </w:tcPr>
          <w:p>
            <w:pPr>
              <w:ind w:left="1480"/>
              <w:spacing w:after="0"/>
              <w:rPr>
                <w:sz w:val="20"/>
                <w:szCs w:val="20"/>
                <w:color w:val="auto"/>
              </w:rPr>
            </w:pPr>
            <w:r>
              <w:rPr>
                <w:rFonts w:ascii="Arial" w:cs="Arial" w:eastAsia="Arial" w:hAnsi="Arial"/>
                <w:sz w:val="18"/>
                <w:szCs w:val="18"/>
                <w:color w:val="auto"/>
              </w:rPr>
              <w:t>Combined</w:t>
            </w:r>
            <w:r>
              <w:rPr>
                <w:rFonts w:ascii="Arial" w:cs="Arial" w:eastAsia="Arial" w:hAnsi="Arial"/>
                <w:sz w:val="21"/>
                <w:szCs w:val="21"/>
                <w:color w:val="auto"/>
                <w:vertAlign w:val="superscript"/>
              </w:rPr>
              <w:t>5</w:t>
            </w:r>
            <w:r>
              <w:rPr>
                <w:rFonts w:ascii="Arial" w:cs="Arial" w:eastAsia="Arial" w:hAnsi="Arial"/>
                <w:sz w:val="18"/>
                <w:szCs w:val="18"/>
                <w:color w:val="auto"/>
              </w:rPr>
              <w:t xml:space="preserve"> net revenue growth</w:t>
            </w:r>
          </w:p>
        </w:tc>
        <w:tc>
          <w:tcPr>
            <w:tcW w:w="2820" w:type="dxa"/>
            <w:vAlign w:val="bottom"/>
          </w:tcPr>
          <w:p>
            <w:pPr>
              <w:ind w:left="540"/>
              <w:spacing w:after="0"/>
              <w:rPr>
                <w:sz w:val="20"/>
                <w:szCs w:val="20"/>
                <w:color w:val="auto"/>
              </w:rPr>
            </w:pPr>
            <w:r>
              <w:rPr>
                <w:rFonts w:ascii="Arial" w:cs="Arial" w:eastAsia="Arial" w:hAnsi="Arial"/>
                <w:sz w:val="18"/>
                <w:szCs w:val="18"/>
                <w:color w:val="auto"/>
              </w:rPr>
              <w:t>11-14%</w:t>
            </w:r>
          </w:p>
        </w:tc>
      </w:tr>
      <w:tr>
        <w:trPr>
          <w:trHeight w:val="233"/>
        </w:trPr>
        <w:tc>
          <w:tcPr>
            <w:tcW w:w="7600" w:type="dxa"/>
            <w:vAlign w:val="bottom"/>
            <w:tcBorders>
              <w:bottom w:val="single" w:sz="8" w:color="auto"/>
            </w:tcBorders>
          </w:tcPr>
          <w:p>
            <w:pPr>
              <w:ind w:left="1480"/>
              <w:spacing w:after="0" w:line="233" w:lineRule="exact"/>
              <w:rPr>
                <w:sz w:val="20"/>
                <w:szCs w:val="20"/>
                <w:color w:val="auto"/>
              </w:rPr>
            </w:pPr>
            <w:r>
              <w:rPr>
                <w:rFonts w:ascii="Arial" w:cs="Arial" w:eastAsia="Arial" w:hAnsi="Arial"/>
                <w:sz w:val="18"/>
                <w:szCs w:val="18"/>
                <w:color w:val="auto"/>
              </w:rPr>
              <w:t>Combined pre-tax return on net revenue</w:t>
            </w:r>
            <w:r>
              <w:rPr>
                <w:rFonts w:ascii="Arial" w:cs="Arial" w:eastAsia="Arial" w:hAnsi="Arial"/>
                <w:sz w:val="21"/>
                <w:szCs w:val="21"/>
                <w:color w:val="auto"/>
                <w:vertAlign w:val="superscript"/>
              </w:rPr>
              <w:t>6</w:t>
            </w:r>
          </w:p>
        </w:tc>
        <w:tc>
          <w:tcPr>
            <w:tcW w:w="2820" w:type="dxa"/>
            <w:vAlign w:val="bottom"/>
            <w:tcBorders>
              <w:bottom w:val="single" w:sz="8" w:color="auto"/>
            </w:tcBorders>
          </w:tcPr>
          <w:p>
            <w:pPr>
              <w:ind w:left="540"/>
              <w:spacing w:after="0"/>
              <w:rPr>
                <w:sz w:val="20"/>
                <w:szCs w:val="20"/>
                <w:color w:val="auto"/>
              </w:rPr>
            </w:pPr>
            <w:r>
              <w:rPr>
                <w:rFonts w:ascii="Arial" w:cs="Arial" w:eastAsia="Arial" w:hAnsi="Arial"/>
                <w:sz w:val="18"/>
                <w:szCs w:val="18"/>
                <w:color w:val="auto"/>
              </w:rPr>
              <w:t>38-42%</w:t>
            </w:r>
          </w:p>
        </w:tc>
      </w:tr>
      <w:tr>
        <w:trPr>
          <w:trHeight w:val="237"/>
        </w:trPr>
        <w:tc>
          <w:tcPr>
            <w:tcW w:w="7600" w:type="dxa"/>
            <w:vAlign w:val="bottom"/>
          </w:tcPr>
          <w:p>
            <w:pPr>
              <w:ind w:left="40"/>
              <w:spacing w:after="0"/>
              <w:rPr>
                <w:sz w:val="20"/>
                <w:szCs w:val="20"/>
                <w:color w:val="auto"/>
              </w:rPr>
            </w:pPr>
            <w:r>
              <w:rPr>
                <w:rFonts w:ascii="Arial" w:cs="Arial" w:eastAsia="Arial" w:hAnsi="Arial"/>
                <w:sz w:val="18"/>
                <w:szCs w:val="18"/>
                <w:b w:val="1"/>
                <w:bCs w:val="1"/>
                <w:color w:val="auto"/>
              </w:rPr>
              <w:t>Specialty Benefits</w:t>
            </w:r>
          </w:p>
        </w:tc>
        <w:tc>
          <w:tcPr>
            <w:tcW w:w="2820" w:type="dxa"/>
            <w:vAlign w:val="bottom"/>
          </w:tcPr>
          <w:p>
            <w:pPr>
              <w:spacing w:after="0"/>
              <w:rPr>
                <w:sz w:val="20"/>
                <w:szCs w:val="20"/>
                <w:color w:val="auto"/>
              </w:rPr>
            </w:pPr>
          </w:p>
        </w:tc>
      </w:tr>
      <w:tr>
        <w:trPr>
          <w:trHeight w:val="294"/>
        </w:trPr>
        <w:tc>
          <w:tcPr>
            <w:tcW w:w="7600" w:type="dxa"/>
            <w:vAlign w:val="bottom"/>
          </w:tcPr>
          <w:p>
            <w:pPr>
              <w:ind w:left="1480"/>
              <w:spacing w:after="0"/>
              <w:rPr>
                <w:sz w:val="20"/>
                <w:szCs w:val="20"/>
                <w:color w:val="auto"/>
              </w:rPr>
            </w:pPr>
            <w:r>
              <w:rPr>
                <w:rFonts w:ascii="Arial" w:cs="Arial" w:eastAsia="Arial" w:hAnsi="Arial"/>
                <w:sz w:val="18"/>
                <w:szCs w:val="18"/>
                <w:color w:val="auto"/>
              </w:rPr>
              <w:t>Premium and fees</w:t>
            </w:r>
            <w:r>
              <w:rPr>
                <w:rFonts w:ascii="Arial" w:cs="Arial" w:eastAsia="Arial" w:hAnsi="Arial"/>
                <w:sz w:val="21"/>
                <w:szCs w:val="21"/>
                <w:color w:val="auto"/>
                <w:vertAlign w:val="superscript"/>
              </w:rPr>
              <w:t>7</w:t>
            </w:r>
            <w:r>
              <w:rPr>
                <w:rFonts w:ascii="Arial" w:cs="Arial" w:eastAsia="Arial" w:hAnsi="Arial"/>
                <w:sz w:val="18"/>
                <w:szCs w:val="18"/>
                <w:color w:val="auto"/>
              </w:rPr>
              <w:t xml:space="preserve"> growth</w:t>
            </w:r>
          </w:p>
        </w:tc>
        <w:tc>
          <w:tcPr>
            <w:tcW w:w="2820" w:type="dxa"/>
            <w:vAlign w:val="bottom"/>
          </w:tcPr>
          <w:p>
            <w:pPr>
              <w:ind w:left="540"/>
              <w:spacing w:after="0"/>
              <w:rPr>
                <w:sz w:val="20"/>
                <w:szCs w:val="20"/>
                <w:color w:val="auto"/>
              </w:rPr>
            </w:pPr>
            <w:r>
              <w:rPr>
                <w:rFonts w:ascii="Arial" w:cs="Arial" w:eastAsia="Arial" w:hAnsi="Arial"/>
                <w:sz w:val="18"/>
                <w:szCs w:val="18"/>
                <w:color w:val="auto"/>
              </w:rPr>
              <w:t>7-9%</w:t>
            </w:r>
          </w:p>
        </w:tc>
      </w:tr>
      <w:tr>
        <w:trPr>
          <w:trHeight w:val="205"/>
        </w:trPr>
        <w:tc>
          <w:tcPr>
            <w:tcW w:w="7600" w:type="dxa"/>
            <w:vAlign w:val="bottom"/>
          </w:tcPr>
          <w:p>
            <w:pPr>
              <w:ind w:left="1480"/>
              <w:spacing w:after="0" w:line="205" w:lineRule="exact"/>
              <w:rPr>
                <w:sz w:val="20"/>
                <w:szCs w:val="20"/>
                <w:color w:val="auto"/>
              </w:rPr>
            </w:pPr>
            <w:r>
              <w:rPr>
                <w:rFonts w:ascii="Arial" w:cs="Arial" w:eastAsia="Arial" w:hAnsi="Arial"/>
                <w:sz w:val="18"/>
                <w:szCs w:val="18"/>
                <w:color w:val="auto"/>
              </w:rPr>
              <w:t>Pre-tax return on premium and fees</w:t>
            </w:r>
            <w:r>
              <w:rPr>
                <w:rFonts w:ascii="Arial" w:cs="Arial" w:eastAsia="Arial" w:hAnsi="Arial"/>
                <w:sz w:val="21"/>
                <w:szCs w:val="21"/>
                <w:color w:val="auto"/>
                <w:vertAlign w:val="superscript"/>
              </w:rPr>
              <w:t>8</w:t>
            </w:r>
          </w:p>
        </w:tc>
        <w:tc>
          <w:tcPr>
            <w:tcW w:w="2820" w:type="dxa"/>
            <w:vAlign w:val="bottom"/>
          </w:tcPr>
          <w:p>
            <w:pPr>
              <w:ind w:left="540"/>
              <w:spacing w:after="0" w:line="205" w:lineRule="exact"/>
              <w:rPr>
                <w:sz w:val="20"/>
                <w:szCs w:val="20"/>
                <w:color w:val="auto"/>
              </w:rPr>
            </w:pPr>
            <w:r>
              <w:rPr>
                <w:rFonts w:ascii="Arial" w:cs="Arial" w:eastAsia="Arial" w:hAnsi="Arial"/>
                <w:sz w:val="18"/>
                <w:szCs w:val="18"/>
                <w:color w:val="auto"/>
              </w:rPr>
              <w:t>10-13%</w:t>
            </w:r>
          </w:p>
        </w:tc>
      </w:tr>
      <w:tr>
        <w:trPr>
          <w:trHeight w:val="224"/>
        </w:trPr>
        <w:tc>
          <w:tcPr>
            <w:tcW w:w="7600" w:type="dxa"/>
            <w:vAlign w:val="bottom"/>
            <w:tcBorders>
              <w:bottom w:val="single" w:sz="8" w:color="auto"/>
            </w:tcBorders>
          </w:tcPr>
          <w:p>
            <w:pPr>
              <w:ind w:left="1480"/>
              <w:spacing w:after="0"/>
              <w:rPr>
                <w:sz w:val="20"/>
                <w:szCs w:val="20"/>
                <w:color w:val="auto"/>
              </w:rPr>
            </w:pPr>
            <w:r>
              <w:rPr>
                <w:rFonts w:ascii="Arial" w:cs="Arial" w:eastAsia="Arial" w:hAnsi="Arial"/>
                <w:sz w:val="18"/>
                <w:szCs w:val="18"/>
                <w:color w:val="auto"/>
              </w:rPr>
              <w:t>Loss ratio</w:t>
            </w:r>
          </w:p>
        </w:tc>
        <w:tc>
          <w:tcPr>
            <w:tcW w:w="2820" w:type="dxa"/>
            <w:vAlign w:val="bottom"/>
            <w:tcBorders>
              <w:bottom w:val="single" w:sz="8" w:color="auto"/>
            </w:tcBorders>
          </w:tcPr>
          <w:p>
            <w:pPr>
              <w:ind w:left="540"/>
              <w:spacing w:after="0"/>
              <w:rPr>
                <w:sz w:val="20"/>
                <w:szCs w:val="20"/>
                <w:color w:val="auto"/>
              </w:rPr>
            </w:pPr>
            <w:r>
              <w:rPr>
                <w:rFonts w:ascii="Arial" w:cs="Arial" w:eastAsia="Arial" w:hAnsi="Arial"/>
                <w:sz w:val="18"/>
                <w:szCs w:val="18"/>
                <w:color w:val="auto"/>
              </w:rPr>
              <w:t>62-68%</w:t>
            </w:r>
          </w:p>
        </w:tc>
      </w:tr>
      <w:tr>
        <w:trPr>
          <w:trHeight w:val="243"/>
        </w:trPr>
        <w:tc>
          <w:tcPr>
            <w:tcW w:w="7600" w:type="dxa"/>
            <w:vAlign w:val="bottom"/>
          </w:tcPr>
          <w:p>
            <w:pPr>
              <w:ind w:left="40"/>
              <w:spacing w:after="0"/>
              <w:rPr>
                <w:sz w:val="20"/>
                <w:szCs w:val="20"/>
                <w:color w:val="auto"/>
              </w:rPr>
            </w:pPr>
            <w:r>
              <w:rPr>
                <w:rFonts w:ascii="Arial" w:cs="Arial" w:eastAsia="Arial" w:hAnsi="Arial"/>
                <w:sz w:val="18"/>
                <w:szCs w:val="18"/>
                <w:b w:val="1"/>
                <w:bCs w:val="1"/>
                <w:color w:val="auto"/>
              </w:rPr>
              <w:t>Individual Life</w:t>
            </w:r>
          </w:p>
        </w:tc>
        <w:tc>
          <w:tcPr>
            <w:tcW w:w="2820" w:type="dxa"/>
            <w:vAlign w:val="bottom"/>
          </w:tcPr>
          <w:p>
            <w:pPr>
              <w:spacing w:after="0"/>
              <w:rPr>
                <w:sz w:val="21"/>
                <w:szCs w:val="21"/>
                <w:color w:val="auto"/>
              </w:rPr>
            </w:pPr>
          </w:p>
        </w:tc>
      </w:tr>
      <w:tr>
        <w:trPr>
          <w:trHeight w:val="257"/>
        </w:trPr>
        <w:tc>
          <w:tcPr>
            <w:tcW w:w="7600" w:type="dxa"/>
            <w:vAlign w:val="bottom"/>
          </w:tcPr>
          <w:p>
            <w:pPr>
              <w:ind w:left="1480"/>
              <w:spacing w:after="0"/>
              <w:rPr>
                <w:sz w:val="20"/>
                <w:szCs w:val="20"/>
                <w:color w:val="auto"/>
              </w:rPr>
            </w:pPr>
            <w:r>
              <w:rPr>
                <w:rFonts w:ascii="Arial" w:cs="Arial" w:eastAsia="Arial" w:hAnsi="Arial"/>
                <w:sz w:val="18"/>
                <w:szCs w:val="18"/>
                <w:color w:val="auto"/>
              </w:rPr>
              <w:t>Premium and fees growth</w:t>
            </w:r>
          </w:p>
        </w:tc>
        <w:tc>
          <w:tcPr>
            <w:tcW w:w="2820" w:type="dxa"/>
            <w:vAlign w:val="bottom"/>
          </w:tcPr>
          <w:p>
            <w:pPr>
              <w:ind w:left="540"/>
              <w:spacing w:after="0"/>
              <w:rPr>
                <w:sz w:val="20"/>
                <w:szCs w:val="20"/>
                <w:color w:val="auto"/>
              </w:rPr>
            </w:pPr>
            <w:r>
              <w:rPr>
                <w:rFonts w:ascii="Arial" w:cs="Arial" w:eastAsia="Arial" w:hAnsi="Arial"/>
                <w:sz w:val="18"/>
                <w:szCs w:val="18"/>
                <w:color w:val="auto"/>
              </w:rPr>
              <w:t>3-6%</w:t>
            </w:r>
          </w:p>
        </w:tc>
      </w:tr>
      <w:tr>
        <w:trPr>
          <w:trHeight w:val="257"/>
        </w:trPr>
        <w:tc>
          <w:tcPr>
            <w:tcW w:w="7600" w:type="dxa"/>
            <w:vAlign w:val="bottom"/>
          </w:tcPr>
          <w:p>
            <w:pPr>
              <w:ind w:left="1480"/>
              <w:spacing w:after="0"/>
              <w:rPr>
                <w:sz w:val="20"/>
                <w:szCs w:val="20"/>
                <w:color w:val="auto"/>
              </w:rPr>
            </w:pPr>
            <w:r>
              <w:rPr>
                <w:rFonts w:ascii="Arial" w:cs="Arial" w:eastAsia="Arial" w:hAnsi="Arial"/>
                <w:sz w:val="18"/>
                <w:szCs w:val="18"/>
                <w:color w:val="auto"/>
              </w:rPr>
              <w:t>Pre-tax return on premium and fees</w:t>
            </w:r>
          </w:p>
        </w:tc>
        <w:tc>
          <w:tcPr>
            <w:tcW w:w="2820" w:type="dxa"/>
            <w:vAlign w:val="bottom"/>
          </w:tcPr>
          <w:p>
            <w:pPr>
              <w:ind w:left="540"/>
              <w:spacing w:after="0"/>
              <w:rPr>
                <w:sz w:val="20"/>
                <w:szCs w:val="20"/>
                <w:color w:val="auto"/>
              </w:rPr>
            </w:pPr>
            <w:r>
              <w:rPr>
                <w:rFonts w:ascii="Arial" w:cs="Arial" w:eastAsia="Arial" w:hAnsi="Arial"/>
                <w:sz w:val="18"/>
                <w:szCs w:val="18"/>
                <w:color w:val="auto"/>
              </w:rPr>
              <w:t>14-18%</w:t>
            </w:r>
          </w:p>
        </w:tc>
      </w:tr>
      <w:tr>
        <w:trPr>
          <w:trHeight w:val="27"/>
        </w:trPr>
        <w:tc>
          <w:tcPr>
            <w:tcW w:w="7600" w:type="dxa"/>
            <w:vAlign w:val="bottom"/>
            <w:tcBorders>
              <w:bottom w:val="single" w:sz="8" w:color="auto"/>
            </w:tcBorders>
          </w:tcPr>
          <w:p>
            <w:pPr>
              <w:spacing w:after="0"/>
              <w:rPr>
                <w:sz w:val="2"/>
                <w:szCs w:val="2"/>
                <w:color w:val="auto"/>
              </w:rPr>
            </w:pPr>
          </w:p>
        </w:tc>
        <w:tc>
          <w:tcPr>
            <w:tcW w:w="2820" w:type="dxa"/>
            <w:vAlign w:val="bottom"/>
            <w:tcBorders>
              <w:bottom w:val="single" w:sz="8" w:color="auto"/>
            </w:tcBorders>
          </w:tcPr>
          <w:p>
            <w:pPr>
              <w:spacing w:after="0"/>
              <w:rPr>
                <w:sz w:val="2"/>
                <w:szCs w:val="2"/>
                <w:color w:val="auto"/>
              </w:rPr>
            </w:pPr>
          </w:p>
        </w:tc>
      </w:tr>
      <w:tr>
        <w:trPr>
          <w:trHeight w:val="237"/>
        </w:trPr>
        <w:tc>
          <w:tcPr>
            <w:tcW w:w="7600" w:type="dxa"/>
            <w:vAlign w:val="bottom"/>
          </w:tcPr>
          <w:p>
            <w:pPr>
              <w:ind w:left="40"/>
              <w:spacing w:after="0"/>
              <w:rPr>
                <w:sz w:val="20"/>
                <w:szCs w:val="20"/>
                <w:color w:val="auto"/>
              </w:rPr>
            </w:pPr>
            <w:r>
              <w:rPr>
                <w:rFonts w:ascii="Arial" w:cs="Arial" w:eastAsia="Arial" w:hAnsi="Arial"/>
                <w:sz w:val="18"/>
                <w:szCs w:val="18"/>
                <w:b w:val="1"/>
                <w:bCs w:val="1"/>
                <w:color w:val="auto"/>
              </w:rPr>
              <w:t>Corporate</w:t>
            </w:r>
          </w:p>
        </w:tc>
        <w:tc>
          <w:tcPr>
            <w:tcW w:w="2820" w:type="dxa"/>
            <w:vAlign w:val="bottom"/>
          </w:tcPr>
          <w:p>
            <w:pPr>
              <w:spacing w:after="0"/>
              <w:rPr>
                <w:sz w:val="20"/>
                <w:szCs w:val="20"/>
                <w:color w:val="auto"/>
              </w:rPr>
            </w:pPr>
          </w:p>
        </w:tc>
      </w:tr>
      <w:tr>
        <w:trPr>
          <w:trHeight w:val="257"/>
        </w:trPr>
        <w:tc>
          <w:tcPr>
            <w:tcW w:w="7600" w:type="dxa"/>
            <w:vAlign w:val="bottom"/>
          </w:tcPr>
          <w:p>
            <w:pPr>
              <w:ind w:left="1480"/>
              <w:spacing w:after="0"/>
              <w:rPr>
                <w:sz w:val="20"/>
                <w:szCs w:val="20"/>
                <w:color w:val="auto"/>
              </w:rPr>
            </w:pPr>
            <w:r>
              <w:rPr>
                <w:rFonts w:ascii="Arial" w:cs="Arial" w:eastAsia="Arial" w:hAnsi="Arial"/>
                <w:sz w:val="18"/>
                <w:szCs w:val="18"/>
                <w:color w:val="auto"/>
              </w:rPr>
              <w:t>Pre-tax operating losses</w:t>
            </w:r>
          </w:p>
        </w:tc>
        <w:tc>
          <w:tcPr>
            <w:tcW w:w="2820" w:type="dxa"/>
            <w:vAlign w:val="bottom"/>
          </w:tcPr>
          <w:p>
            <w:pPr>
              <w:ind w:left="540"/>
              <w:spacing w:after="0"/>
              <w:rPr>
                <w:sz w:val="20"/>
                <w:szCs w:val="20"/>
                <w:color w:val="auto"/>
              </w:rPr>
            </w:pPr>
            <w:r>
              <w:rPr>
                <w:rFonts w:ascii="Arial" w:cs="Arial" w:eastAsia="Arial" w:hAnsi="Arial"/>
                <w:sz w:val="18"/>
                <w:szCs w:val="18"/>
                <w:color w:val="auto"/>
              </w:rPr>
              <w:t>$190-$210 million</w:t>
            </w:r>
          </w:p>
        </w:tc>
      </w:tr>
    </w:tbl>
    <w:p>
      <w:pPr>
        <w:spacing w:after="0" w:line="228" w:lineRule="exact"/>
        <w:rPr>
          <w:sz w:val="20"/>
          <w:szCs w:val="20"/>
          <w:color w:val="auto"/>
        </w:rPr>
      </w:pPr>
    </w:p>
    <w:p>
      <w:pPr>
        <w:spacing w:after="0"/>
        <w:rPr>
          <w:sz w:val="20"/>
          <w:szCs w:val="20"/>
          <w:color w:val="auto"/>
        </w:rPr>
      </w:pPr>
      <w:r>
        <w:rPr>
          <w:rFonts w:ascii="Arial" w:cs="Arial" w:eastAsia="Arial" w:hAnsi="Arial"/>
          <w:sz w:val="11"/>
          <w:szCs w:val="11"/>
          <w:b w:val="1"/>
          <w:bCs w:val="1"/>
          <w:color w:val="auto"/>
        </w:rPr>
        <w:t>____________________________________</w:t>
      </w:r>
    </w:p>
    <w:p>
      <w:pPr>
        <w:spacing w:after="0" w:line="65" w:lineRule="exact"/>
        <w:rPr>
          <w:sz w:val="20"/>
          <w:szCs w:val="20"/>
          <w:color w:val="auto"/>
        </w:rPr>
      </w:pPr>
    </w:p>
    <w:p>
      <w:pPr>
        <w:ind w:left="100" w:hanging="92"/>
        <w:spacing w:after="0"/>
        <w:tabs>
          <w:tab w:leader="none" w:pos="100" w:val="left"/>
        </w:tabs>
        <w:numPr>
          <w:ilvl w:val="0"/>
          <w:numId w:val="2"/>
        </w:numPr>
        <w:rPr>
          <w:rFonts w:ascii="Arial" w:cs="Arial" w:eastAsia="Arial" w:hAnsi="Arial"/>
          <w:sz w:val="18"/>
          <w:szCs w:val="18"/>
          <w:color w:val="auto"/>
          <w:vertAlign w:val="superscript"/>
        </w:rPr>
      </w:pPr>
      <w:r>
        <w:rPr>
          <w:rFonts w:ascii="Arial" w:cs="Arial" w:eastAsia="Arial" w:hAnsi="Arial"/>
          <w:sz w:val="14"/>
          <w:szCs w:val="14"/>
          <w:color w:val="auto"/>
        </w:rPr>
        <w:t>Net revenue = operating revenues less benefits, claims and settlement expenses less dividends to policyholders.</w:t>
      </w:r>
    </w:p>
    <w:p>
      <w:pPr>
        <w:spacing w:after="0" w:line="198" w:lineRule="auto"/>
        <w:rPr>
          <w:rFonts w:ascii="Arial" w:cs="Arial" w:eastAsia="Arial" w:hAnsi="Arial"/>
          <w:sz w:val="18"/>
          <w:szCs w:val="18"/>
          <w:color w:val="auto"/>
          <w:vertAlign w:val="superscript"/>
        </w:rPr>
      </w:pPr>
      <w:r>
        <w:rPr>
          <w:rFonts w:ascii="Arial" w:cs="Arial" w:eastAsia="Arial" w:hAnsi="Arial"/>
          <w:sz w:val="17"/>
          <w:szCs w:val="17"/>
          <w:color w:val="auto"/>
          <w:vertAlign w:val="superscript"/>
        </w:rPr>
        <w:t>2</w:t>
      </w:r>
      <w:r>
        <w:rPr>
          <w:rFonts w:ascii="Arial" w:cs="Arial" w:eastAsia="Arial" w:hAnsi="Arial"/>
          <w:sz w:val="14"/>
          <w:szCs w:val="14"/>
          <w:color w:val="auto"/>
        </w:rPr>
        <w:t xml:space="preserve"> Pre-tax return on net revenue = pre-tax operating earnings divided by net revenue.</w:t>
      </w:r>
    </w:p>
    <w:p>
      <w:pPr>
        <w:ind w:right="600"/>
        <w:spacing w:after="0" w:line="218" w:lineRule="auto"/>
        <w:rPr>
          <w:rFonts w:ascii="Arial" w:cs="Arial" w:eastAsia="Arial" w:hAnsi="Arial"/>
          <w:sz w:val="18"/>
          <w:szCs w:val="18"/>
          <w:color w:val="auto"/>
          <w:vertAlign w:val="superscript"/>
        </w:rPr>
      </w:pPr>
      <w:r>
        <w:rPr>
          <w:rFonts w:ascii="Arial" w:cs="Arial" w:eastAsia="Arial" w:hAnsi="Arial"/>
          <w:sz w:val="17"/>
          <w:szCs w:val="17"/>
          <w:color w:val="auto"/>
          <w:vertAlign w:val="superscript"/>
        </w:rPr>
        <w:t>3</w:t>
      </w:r>
      <w:r>
        <w:rPr>
          <w:rFonts w:ascii="Arial" w:cs="Arial" w:eastAsia="Arial" w:hAnsi="Arial"/>
          <w:sz w:val="14"/>
          <w:szCs w:val="14"/>
          <w:color w:val="auto"/>
        </w:rPr>
        <w:t xml:space="preserve"> Operating revenues less pass-through commissions is a non-GAAP measure. The company has determined this measure is more representative of underlying operating revenues growth for Principal Global Investors. In addition, using this metric provides a more meaningful representation of our profit margins.</w:t>
      </w:r>
    </w:p>
    <w:p>
      <w:pPr>
        <w:ind w:right="160"/>
        <w:spacing w:after="0" w:line="218" w:lineRule="auto"/>
        <w:rPr>
          <w:rFonts w:ascii="Arial" w:cs="Arial" w:eastAsia="Arial" w:hAnsi="Arial"/>
          <w:sz w:val="18"/>
          <w:szCs w:val="18"/>
          <w:color w:val="auto"/>
          <w:vertAlign w:val="superscript"/>
        </w:rPr>
      </w:pPr>
      <w:r>
        <w:rPr>
          <w:rFonts w:ascii="Arial" w:cs="Arial" w:eastAsia="Arial" w:hAnsi="Arial"/>
          <w:sz w:val="17"/>
          <w:szCs w:val="17"/>
          <w:color w:val="auto"/>
          <w:vertAlign w:val="superscript"/>
        </w:rPr>
        <w:t>4</w:t>
      </w:r>
      <w:r>
        <w:rPr>
          <w:rFonts w:ascii="Arial" w:cs="Arial" w:eastAsia="Arial" w:hAnsi="Arial"/>
          <w:sz w:val="14"/>
          <w:szCs w:val="14"/>
          <w:color w:val="auto"/>
        </w:rPr>
        <w:t xml:space="preserve"> Pre-tax return on operating revenues less pass-through commissions = pre-tax operating earnings, adjusted for noncontrolling interest divided by operating revenues less pass-through commissions.</w:t>
      </w:r>
    </w:p>
    <w:p>
      <w:pPr>
        <w:ind w:right="100"/>
        <w:spacing w:after="0" w:line="232" w:lineRule="auto"/>
        <w:rPr>
          <w:rFonts w:ascii="Arial" w:cs="Arial" w:eastAsia="Arial" w:hAnsi="Arial"/>
          <w:sz w:val="18"/>
          <w:szCs w:val="18"/>
          <w:color w:val="auto"/>
          <w:vertAlign w:val="superscript"/>
        </w:rPr>
      </w:pPr>
      <w:r>
        <w:rPr>
          <w:rFonts w:ascii="Arial" w:cs="Arial" w:eastAsia="Arial" w:hAnsi="Arial"/>
          <w:sz w:val="17"/>
          <w:szCs w:val="17"/>
          <w:color w:val="auto"/>
          <w:vertAlign w:val="superscript"/>
        </w:rPr>
        <w:t>5</w:t>
      </w:r>
      <w:r>
        <w:rPr>
          <w:rFonts w:ascii="Arial" w:cs="Arial" w:eastAsia="Arial" w:hAnsi="Arial"/>
          <w:sz w:val="14"/>
          <w:szCs w:val="14"/>
          <w:color w:val="auto"/>
        </w:rPr>
        <w:t xml:space="preserve"> PI Combined net revenue is a non-GAAP financial measure. Combined basis = all Principal International companies at 100 percent. The company has determined combined net revenue (at PFG share) is more representative of underlying net revenue growth for Principal International as it reflects our proportionate share of consolidated and equity method subsidiaries. In addition, using this net revenue metric provides a more meaningful representation of our profit margins. The difference between combined net revenue (at PFG share) and pre-tax operating earnings is combined operating expenses (at PFG share).</w:t>
      </w:r>
    </w:p>
    <w:p>
      <w:pPr>
        <w:spacing w:after="0" w:line="2" w:lineRule="exact"/>
        <w:rPr>
          <w:rFonts w:ascii="Arial" w:cs="Arial" w:eastAsia="Arial" w:hAnsi="Arial"/>
          <w:sz w:val="18"/>
          <w:szCs w:val="18"/>
          <w:color w:val="auto"/>
          <w:vertAlign w:val="superscript"/>
        </w:rPr>
      </w:pPr>
    </w:p>
    <w:p>
      <w:pPr>
        <w:ind w:right="3720"/>
        <w:spacing w:after="0" w:line="196" w:lineRule="auto"/>
        <w:rPr>
          <w:rFonts w:ascii="Arial" w:cs="Arial" w:eastAsia="Arial" w:hAnsi="Arial"/>
          <w:sz w:val="18"/>
          <w:szCs w:val="18"/>
          <w:color w:val="auto"/>
          <w:vertAlign w:val="superscript"/>
        </w:rPr>
      </w:pPr>
      <w:r>
        <w:rPr>
          <w:rFonts w:ascii="Arial" w:cs="Arial" w:eastAsia="Arial" w:hAnsi="Arial"/>
          <w:sz w:val="25"/>
          <w:szCs w:val="25"/>
          <w:color w:val="auto"/>
          <w:vertAlign w:val="superscript"/>
        </w:rPr>
        <w:t>6</w:t>
      </w:r>
      <w:r>
        <w:rPr>
          <w:rFonts w:ascii="Arial" w:cs="Arial" w:eastAsia="Arial" w:hAnsi="Arial"/>
          <w:sz w:val="14"/>
          <w:szCs w:val="14"/>
          <w:color w:val="auto"/>
        </w:rPr>
        <w:t xml:space="preserve"> Combined pre-tax return on net revenue = pre-tax operating earnings divided by combined net revenue (at PFG share). </w:t>
      </w:r>
      <w:r>
        <w:rPr>
          <w:rFonts w:ascii="Arial" w:cs="Arial" w:eastAsia="Arial" w:hAnsi="Arial"/>
          <w:sz w:val="17"/>
          <w:szCs w:val="17"/>
          <w:color w:val="auto"/>
          <w:vertAlign w:val="superscript"/>
        </w:rPr>
        <w:t>7</w:t>
      </w:r>
      <w:r>
        <w:rPr>
          <w:rFonts w:ascii="Arial" w:cs="Arial" w:eastAsia="Arial" w:hAnsi="Arial"/>
          <w:sz w:val="14"/>
          <w:szCs w:val="14"/>
          <w:color w:val="auto"/>
        </w:rPr>
        <w:t xml:space="preserve"> Premium and fees = premiums and other considerations plus fees and other revenues.</w:t>
      </w:r>
    </w:p>
    <w:p>
      <w:pPr>
        <w:spacing w:after="0" w:line="1" w:lineRule="exact"/>
        <w:rPr>
          <w:rFonts w:ascii="Arial" w:cs="Arial" w:eastAsia="Arial" w:hAnsi="Arial"/>
          <w:sz w:val="18"/>
          <w:szCs w:val="18"/>
          <w:color w:val="auto"/>
          <w:vertAlign w:val="superscript"/>
        </w:rPr>
      </w:pPr>
    </w:p>
    <w:p>
      <w:pPr>
        <w:spacing w:after="0"/>
        <w:rPr>
          <w:rFonts w:ascii="Arial" w:cs="Arial" w:eastAsia="Arial" w:hAnsi="Arial"/>
          <w:sz w:val="18"/>
          <w:szCs w:val="18"/>
          <w:color w:val="auto"/>
          <w:vertAlign w:val="superscript"/>
        </w:rPr>
      </w:pPr>
      <w:r>
        <w:rPr>
          <w:rFonts w:ascii="Arial" w:cs="Arial" w:eastAsia="Arial" w:hAnsi="Arial"/>
          <w:sz w:val="17"/>
          <w:szCs w:val="17"/>
          <w:color w:val="auto"/>
          <w:vertAlign w:val="superscript"/>
        </w:rPr>
        <w:t>8</w:t>
      </w:r>
      <w:r>
        <w:rPr>
          <w:rFonts w:ascii="Arial" w:cs="Arial" w:eastAsia="Arial" w:hAnsi="Arial"/>
          <w:sz w:val="14"/>
          <w:szCs w:val="14"/>
          <w:color w:val="auto"/>
        </w:rPr>
        <w:t xml:space="preserve"> Pre-tax return on premium and fees = pre-tax operating earnings divided by premium and fees.</w:t>
      </w:r>
    </w:p>
    <w:p>
      <w:pPr>
        <w:sectPr>
          <w:pgSz w:w="11900" w:h="16838" w:orient="portrait"/>
          <w:cols w:equalWidth="0" w:num="1">
            <w:col w:w="11420"/>
          </w:cols>
          <w:pgMar w:left="240" w:top="1192" w:right="239" w:bottom="1440" w:gutter="0" w:footer="0" w:header="0"/>
        </w:sectPr>
      </w:pPr>
    </w:p>
    <w:bookmarkStart w:id="3" w:name="page4"/>
    <w:bookmarkEnd w:id="3"/>
    <w:p>
      <w:pPr>
        <w:spacing w:after="0"/>
        <w:rPr>
          <w:sz w:val="20"/>
          <w:szCs w:val="20"/>
          <w:color w:val="auto"/>
        </w:rPr>
      </w:pPr>
      <w:r>
        <w:rPr>
          <w:rFonts w:ascii="Arial" w:cs="Arial" w:eastAsia="Arial" w:hAnsi="Arial"/>
          <w:sz w:val="20"/>
          <w:szCs w:val="20"/>
          <w:color w:val="auto"/>
        </w:rPr>
        <w:drawing>
          <wp:anchor simplePos="0" relativeHeight="251657728" behindDoc="1" locked="0" layoutInCell="0" allowOverlap="1">
            <wp:simplePos x="0" y="0"/>
            <wp:positionH relativeFrom="page">
              <wp:posOffset>5748655</wp:posOffset>
            </wp:positionH>
            <wp:positionV relativeFrom="page">
              <wp:posOffset>88900</wp:posOffset>
            </wp:positionV>
            <wp:extent cx="1655445" cy="5314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extLst>
                        <a:ext uri="{28A0092B-C50C-407E-A947-70E740481C1C}"/>
                      </a:extLst>
                    </a:blip>
                    <a:srcRect/>
                    <a:stretch>
                      <a:fillRect/>
                    </a:stretch>
                  </pic:blipFill>
                  <pic:spPr bwMode="auto">
                    <a:xfrm>
                      <a:off x="0" y="0"/>
                      <a:ext cx="1655445" cy="531495"/>
                    </a:xfrm>
                    <a:prstGeom prst="rect">
                      <a:avLst/>
                    </a:prstGeom>
                    <a:noFill/>
                  </pic:spPr>
                </pic:pic>
              </a:graphicData>
            </a:graphic>
          </wp:anchor>
        </w:drawing>
        <w:t>The outlook for 2018 incorporates certain assumptions including:</w:t>
      </w:r>
    </w:p>
    <w:p>
      <w:pPr>
        <w:spacing w:after="0" w:line="54" w:lineRule="exact"/>
        <w:rPr>
          <w:sz w:val="20"/>
          <w:szCs w:val="20"/>
          <w:color w:val="auto"/>
        </w:rPr>
      </w:pPr>
    </w:p>
    <w:p>
      <w:pPr>
        <w:ind w:left="980" w:right="180" w:hanging="324"/>
        <w:spacing w:after="0" w:line="239" w:lineRule="auto"/>
        <w:tabs>
          <w:tab w:leader="none" w:pos="980" w:val="left"/>
        </w:tabs>
        <w:numPr>
          <w:ilvl w:val="0"/>
          <w:numId w:val="3"/>
        </w:numPr>
        <w:rPr>
          <w:rFonts w:ascii="Arial" w:cs="Arial" w:eastAsia="Arial" w:hAnsi="Arial"/>
          <w:sz w:val="18"/>
          <w:szCs w:val="18"/>
          <w:color w:val="auto"/>
        </w:rPr>
      </w:pPr>
      <w:r>
        <w:rPr>
          <w:rFonts w:ascii="Arial" w:cs="Arial" w:eastAsia="Arial" w:hAnsi="Arial"/>
          <w:sz w:val="20"/>
          <w:szCs w:val="20"/>
          <w:color w:val="auto"/>
        </w:rPr>
        <w:t>Average S&amp;P 500 index in 2018 between 2,730 and 2,750, assuming a 2 percent quarterly total return on levels as of the end of November 2017;</w:t>
      </w:r>
    </w:p>
    <w:p>
      <w:pPr>
        <w:spacing w:after="0" w:line="1" w:lineRule="exact"/>
        <w:rPr>
          <w:rFonts w:ascii="Arial" w:cs="Arial" w:eastAsia="Arial" w:hAnsi="Arial"/>
          <w:sz w:val="18"/>
          <w:szCs w:val="18"/>
          <w:color w:val="auto"/>
        </w:rPr>
      </w:pPr>
    </w:p>
    <w:p>
      <w:pPr>
        <w:ind w:left="980" w:hanging="324"/>
        <w:spacing w:after="0"/>
        <w:tabs>
          <w:tab w:leader="none" w:pos="980" w:val="left"/>
        </w:tabs>
        <w:numPr>
          <w:ilvl w:val="0"/>
          <w:numId w:val="3"/>
        </w:numPr>
        <w:rPr>
          <w:rFonts w:ascii="Arial" w:cs="Arial" w:eastAsia="Arial" w:hAnsi="Arial"/>
          <w:sz w:val="18"/>
          <w:szCs w:val="18"/>
          <w:color w:val="auto"/>
        </w:rPr>
      </w:pPr>
      <w:r>
        <w:rPr>
          <w:rFonts w:ascii="Arial" w:cs="Arial" w:eastAsia="Arial" w:hAnsi="Arial"/>
          <w:sz w:val="20"/>
          <w:szCs w:val="20"/>
          <w:color w:val="auto"/>
        </w:rPr>
        <w:t>10-year treasury rate approximately 2.50-3.00 percent at year-end 2018;</w:t>
      </w:r>
    </w:p>
    <w:p>
      <w:pPr>
        <w:ind w:left="980" w:hanging="324"/>
        <w:spacing w:after="0" w:line="191" w:lineRule="auto"/>
        <w:tabs>
          <w:tab w:leader="none" w:pos="980" w:val="left"/>
        </w:tabs>
        <w:numPr>
          <w:ilvl w:val="0"/>
          <w:numId w:val="3"/>
        </w:numPr>
        <w:rPr>
          <w:rFonts w:ascii="Arial" w:cs="Arial" w:eastAsia="Arial" w:hAnsi="Arial"/>
          <w:sz w:val="18"/>
          <w:szCs w:val="18"/>
          <w:color w:val="auto"/>
        </w:rPr>
      </w:pPr>
      <w:r>
        <w:rPr>
          <w:rFonts w:ascii="Arial" w:cs="Arial" w:eastAsia="Arial" w:hAnsi="Arial"/>
          <w:sz w:val="20"/>
          <w:szCs w:val="20"/>
          <w:color w:val="auto"/>
        </w:rPr>
        <w:t>Future foreign exchange rates follow external</w:t>
      </w:r>
      <w:r>
        <w:rPr>
          <w:rFonts w:ascii="Arial" w:cs="Arial" w:eastAsia="Arial" w:hAnsi="Arial"/>
          <w:sz w:val="25"/>
          <w:szCs w:val="25"/>
          <w:color w:val="auto"/>
          <w:vertAlign w:val="superscript"/>
        </w:rPr>
        <w:t>9</w:t>
      </w:r>
      <w:r>
        <w:rPr>
          <w:rFonts w:ascii="Arial" w:cs="Arial" w:eastAsia="Arial" w:hAnsi="Arial"/>
          <w:sz w:val="20"/>
          <w:szCs w:val="20"/>
          <w:color w:val="auto"/>
        </w:rPr>
        <w:t xml:space="preserve"> consensus as of November 2017;</w:t>
      </w:r>
    </w:p>
    <w:p>
      <w:pPr>
        <w:ind w:left="980" w:right="300" w:hanging="324"/>
        <w:spacing w:after="0" w:line="212" w:lineRule="auto"/>
        <w:tabs>
          <w:tab w:leader="none" w:pos="980" w:val="left"/>
        </w:tabs>
        <w:numPr>
          <w:ilvl w:val="0"/>
          <w:numId w:val="3"/>
        </w:numPr>
        <w:rPr>
          <w:rFonts w:ascii="Arial" w:cs="Arial" w:eastAsia="Arial" w:hAnsi="Arial"/>
          <w:sz w:val="18"/>
          <w:szCs w:val="18"/>
          <w:color w:val="auto"/>
        </w:rPr>
      </w:pPr>
      <w:r>
        <w:rPr>
          <w:rFonts w:ascii="Arial" w:cs="Arial" w:eastAsia="Arial" w:hAnsi="Arial"/>
          <w:sz w:val="20"/>
          <w:szCs w:val="20"/>
          <w:color w:val="auto"/>
        </w:rPr>
        <w:t>U.S. GAAP total company net income effective tax rate of 16-18 percent; total company operating earnings effective tax rate</w:t>
      </w:r>
      <w:r>
        <w:rPr>
          <w:rFonts w:ascii="Arial" w:cs="Arial" w:eastAsia="Arial" w:hAnsi="Arial"/>
          <w:sz w:val="25"/>
          <w:szCs w:val="25"/>
          <w:color w:val="auto"/>
          <w:vertAlign w:val="superscript"/>
        </w:rPr>
        <w:t>10</w:t>
      </w:r>
      <w:r>
        <w:rPr>
          <w:rFonts w:ascii="Arial" w:cs="Arial" w:eastAsia="Arial" w:hAnsi="Arial"/>
          <w:sz w:val="20"/>
          <w:szCs w:val="20"/>
          <w:color w:val="auto"/>
        </w:rPr>
        <w:t xml:space="preserve"> of 21-23 percent. These tax rates are based on the current tax regulations.</w:t>
      </w:r>
    </w:p>
    <w:p>
      <w:pPr>
        <w:spacing w:after="0" w:line="2" w:lineRule="exact"/>
        <w:rPr>
          <w:rFonts w:ascii="Arial" w:cs="Arial" w:eastAsia="Arial" w:hAnsi="Arial"/>
          <w:sz w:val="18"/>
          <w:szCs w:val="18"/>
          <w:color w:val="auto"/>
        </w:rPr>
      </w:pPr>
    </w:p>
    <w:p>
      <w:pPr>
        <w:ind w:left="1620" w:hanging="315"/>
        <w:spacing w:after="0" w:line="191" w:lineRule="auto"/>
        <w:tabs>
          <w:tab w:leader="none" w:pos="1620" w:val="left"/>
        </w:tabs>
        <w:numPr>
          <w:ilvl w:val="1"/>
          <w:numId w:val="3"/>
        </w:numPr>
        <w:rPr>
          <w:rFonts w:ascii="Arial" w:cs="Arial" w:eastAsia="Arial" w:hAnsi="Arial"/>
          <w:sz w:val="18"/>
          <w:szCs w:val="18"/>
          <w:color w:val="auto"/>
        </w:rPr>
      </w:pPr>
      <w:r>
        <w:rPr>
          <w:rFonts w:ascii="Arial" w:cs="Arial" w:eastAsia="Arial" w:hAnsi="Arial"/>
          <w:sz w:val="20"/>
          <w:szCs w:val="20"/>
          <w:color w:val="auto"/>
        </w:rPr>
        <w:t>Fee effective tax rate</w:t>
      </w:r>
      <w:r>
        <w:rPr>
          <w:rFonts w:ascii="Arial" w:cs="Arial" w:eastAsia="Arial" w:hAnsi="Arial"/>
          <w:sz w:val="25"/>
          <w:szCs w:val="25"/>
          <w:color w:val="auto"/>
          <w:vertAlign w:val="superscript"/>
        </w:rPr>
        <w:t>10</w:t>
      </w:r>
      <w:r>
        <w:rPr>
          <w:rFonts w:ascii="Arial" w:cs="Arial" w:eastAsia="Arial" w:hAnsi="Arial"/>
          <w:sz w:val="20"/>
          <w:szCs w:val="20"/>
          <w:color w:val="auto"/>
        </w:rPr>
        <w:t xml:space="preserve"> of 18-20 percent</w:t>
      </w:r>
    </w:p>
    <w:p>
      <w:pPr>
        <w:ind w:left="1620" w:hanging="315"/>
        <w:spacing w:after="0" w:line="191" w:lineRule="auto"/>
        <w:tabs>
          <w:tab w:leader="none" w:pos="1620" w:val="left"/>
        </w:tabs>
        <w:numPr>
          <w:ilvl w:val="1"/>
          <w:numId w:val="3"/>
        </w:numPr>
        <w:rPr>
          <w:rFonts w:ascii="Arial" w:cs="Arial" w:eastAsia="Arial" w:hAnsi="Arial"/>
          <w:sz w:val="18"/>
          <w:szCs w:val="18"/>
          <w:color w:val="auto"/>
        </w:rPr>
      </w:pPr>
      <w:r>
        <w:rPr>
          <w:rFonts w:ascii="Arial" w:cs="Arial" w:eastAsia="Arial" w:hAnsi="Arial"/>
          <w:sz w:val="20"/>
          <w:szCs w:val="20"/>
          <w:color w:val="auto"/>
        </w:rPr>
        <w:t>Spread effective tax rate</w:t>
      </w:r>
      <w:r>
        <w:rPr>
          <w:rFonts w:ascii="Arial" w:cs="Arial" w:eastAsia="Arial" w:hAnsi="Arial"/>
          <w:sz w:val="25"/>
          <w:szCs w:val="25"/>
          <w:color w:val="auto"/>
          <w:vertAlign w:val="superscript"/>
        </w:rPr>
        <w:t>10</w:t>
      </w:r>
      <w:r>
        <w:rPr>
          <w:rFonts w:ascii="Arial" w:cs="Arial" w:eastAsia="Arial" w:hAnsi="Arial"/>
          <w:sz w:val="20"/>
          <w:szCs w:val="20"/>
          <w:color w:val="auto"/>
        </w:rPr>
        <w:t xml:space="preserve"> of 28-32 percent</w:t>
      </w:r>
    </w:p>
    <w:p>
      <w:pPr>
        <w:ind w:left="1620" w:hanging="315"/>
        <w:spacing w:after="0" w:line="191" w:lineRule="auto"/>
        <w:tabs>
          <w:tab w:leader="none" w:pos="1620" w:val="left"/>
        </w:tabs>
        <w:numPr>
          <w:ilvl w:val="1"/>
          <w:numId w:val="3"/>
        </w:numPr>
        <w:rPr>
          <w:rFonts w:ascii="Arial" w:cs="Arial" w:eastAsia="Arial" w:hAnsi="Arial"/>
          <w:sz w:val="18"/>
          <w:szCs w:val="18"/>
          <w:color w:val="auto"/>
        </w:rPr>
      </w:pPr>
      <w:r>
        <w:rPr>
          <w:rFonts w:ascii="Arial" w:cs="Arial" w:eastAsia="Arial" w:hAnsi="Arial"/>
          <w:sz w:val="20"/>
          <w:szCs w:val="20"/>
          <w:color w:val="auto"/>
        </w:rPr>
        <w:t>Risk effective tax rate</w:t>
      </w:r>
      <w:r>
        <w:rPr>
          <w:rFonts w:ascii="Arial" w:cs="Arial" w:eastAsia="Arial" w:hAnsi="Arial"/>
          <w:sz w:val="25"/>
          <w:szCs w:val="25"/>
          <w:color w:val="auto"/>
          <w:vertAlign w:val="superscript"/>
        </w:rPr>
        <w:t>10</w:t>
      </w:r>
      <w:r>
        <w:rPr>
          <w:rFonts w:ascii="Arial" w:cs="Arial" w:eastAsia="Arial" w:hAnsi="Arial"/>
          <w:sz w:val="20"/>
          <w:szCs w:val="20"/>
          <w:color w:val="auto"/>
        </w:rPr>
        <w:t xml:space="preserve"> of 31-35 percent</w:t>
      </w:r>
    </w:p>
    <w:p>
      <w:pPr>
        <w:ind w:left="1620" w:hanging="315"/>
        <w:spacing w:after="0"/>
        <w:tabs>
          <w:tab w:leader="none" w:pos="1620" w:val="left"/>
        </w:tabs>
        <w:numPr>
          <w:ilvl w:val="1"/>
          <w:numId w:val="3"/>
        </w:numPr>
        <w:rPr>
          <w:rFonts w:ascii="Arial" w:cs="Arial" w:eastAsia="Arial" w:hAnsi="Arial"/>
          <w:sz w:val="18"/>
          <w:szCs w:val="18"/>
          <w:color w:val="auto"/>
        </w:rPr>
      </w:pPr>
      <w:r>
        <w:rPr>
          <w:rFonts w:ascii="Arial" w:cs="Arial" w:eastAsia="Arial" w:hAnsi="Arial"/>
          <w:sz w:val="20"/>
          <w:szCs w:val="20"/>
          <w:color w:val="auto"/>
        </w:rPr>
        <w:t>Corporate effective tax rate at 40 percent;</w:t>
      </w:r>
    </w:p>
    <w:p>
      <w:pPr>
        <w:ind w:left="980" w:right="940" w:hanging="324"/>
        <w:spacing w:after="0" w:line="239" w:lineRule="auto"/>
        <w:tabs>
          <w:tab w:leader="none" w:pos="980" w:val="left"/>
        </w:tabs>
        <w:numPr>
          <w:ilvl w:val="0"/>
          <w:numId w:val="3"/>
        </w:numPr>
        <w:rPr>
          <w:rFonts w:ascii="Arial" w:cs="Arial" w:eastAsia="Arial" w:hAnsi="Arial"/>
          <w:sz w:val="18"/>
          <w:szCs w:val="18"/>
          <w:color w:val="auto"/>
        </w:rPr>
      </w:pPr>
      <w:r>
        <w:rPr>
          <w:rFonts w:ascii="Arial" w:cs="Arial" w:eastAsia="Arial" w:hAnsi="Arial"/>
          <w:sz w:val="20"/>
          <w:szCs w:val="20"/>
          <w:color w:val="auto"/>
        </w:rPr>
        <w:t>$900 million to $1.3 billion of total capital deployed for common stock dividends, strategic acquisitions, share repurchases, and to provide financial flexibility; and</w:t>
      </w:r>
    </w:p>
    <w:p>
      <w:pPr>
        <w:spacing w:after="0" w:line="1" w:lineRule="exact"/>
        <w:rPr>
          <w:rFonts w:ascii="Arial" w:cs="Arial" w:eastAsia="Arial" w:hAnsi="Arial"/>
          <w:sz w:val="18"/>
          <w:szCs w:val="18"/>
          <w:color w:val="auto"/>
        </w:rPr>
      </w:pPr>
    </w:p>
    <w:p>
      <w:pPr>
        <w:ind w:left="980" w:hanging="324"/>
        <w:spacing w:after="0"/>
        <w:tabs>
          <w:tab w:leader="none" w:pos="980" w:val="left"/>
        </w:tabs>
        <w:numPr>
          <w:ilvl w:val="0"/>
          <w:numId w:val="3"/>
        </w:numPr>
        <w:rPr>
          <w:rFonts w:ascii="Arial" w:cs="Arial" w:eastAsia="Arial" w:hAnsi="Arial"/>
          <w:sz w:val="18"/>
          <w:szCs w:val="18"/>
          <w:color w:val="auto"/>
        </w:rPr>
      </w:pPr>
      <w:r>
        <w:rPr>
          <w:rFonts w:ascii="Arial" w:cs="Arial" w:eastAsia="Arial" w:hAnsi="Arial"/>
          <w:sz w:val="20"/>
          <w:szCs w:val="20"/>
          <w:color w:val="auto"/>
        </w:rPr>
        <w:t>Diluted weighted average number of common shares outstanding ranging from 290 - 292 million.</w:t>
      </w:r>
    </w:p>
    <w:p>
      <w:pPr>
        <w:spacing w:after="0" w:line="30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Conference call information</w:t>
      </w:r>
    </w:p>
    <w:p>
      <w:pPr>
        <w:spacing w:after="0" w:line="132" w:lineRule="exact"/>
        <w:rPr>
          <w:sz w:val="20"/>
          <w:szCs w:val="20"/>
          <w:color w:val="auto"/>
        </w:rPr>
      </w:pPr>
    </w:p>
    <w:p>
      <w:pPr>
        <w:spacing w:after="0"/>
        <w:rPr>
          <w:sz w:val="20"/>
          <w:szCs w:val="20"/>
          <w:color w:val="auto"/>
        </w:rPr>
      </w:pPr>
      <w:r>
        <w:rPr>
          <w:rFonts w:ascii="Arial" w:cs="Arial" w:eastAsia="Arial" w:hAnsi="Arial"/>
          <w:sz w:val="20"/>
          <w:szCs w:val="20"/>
          <w:color w:val="auto"/>
        </w:rPr>
        <w:t>The outlook call can be accessed the following ways:</w:t>
      </w:r>
    </w:p>
    <w:p>
      <w:pPr>
        <w:spacing w:after="0" w:line="108" w:lineRule="exact"/>
        <w:rPr>
          <w:sz w:val="20"/>
          <w:szCs w:val="20"/>
          <w:color w:val="auto"/>
        </w:rPr>
      </w:pPr>
    </w:p>
    <w:p>
      <w:pPr>
        <w:ind w:left="660" w:right="100" w:hanging="328"/>
        <w:spacing w:after="0" w:line="239" w:lineRule="auto"/>
        <w:tabs>
          <w:tab w:leader="none" w:pos="660" w:val="left"/>
        </w:tabs>
        <w:numPr>
          <w:ilvl w:val="0"/>
          <w:numId w:val="4"/>
        </w:numPr>
        <w:rPr>
          <w:rFonts w:ascii="Arial" w:cs="Arial" w:eastAsia="Arial" w:hAnsi="Arial"/>
          <w:sz w:val="18"/>
          <w:szCs w:val="18"/>
          <w:color w:val="auto"/>
        </w:rPr>
      </w:pPr>
      <w:r>
        <w:rPr>
          <w:rFonts w:ascii="Arial" w:cs="Arial" w:eastAsia="Arial" w:hAnsi="Arial"/>
          <w:sz w:val="20"/>
          <w:szCs w:val="20"/>
          <w:color w:val="auto"/>
        </w:rPr>
        <w:t xml:space="preserve">Via live Internet webcast. Please go to </w:t>
      </w:r>
      <w:r>
        <w:rPr>
          <w:rFonts w:ascii="Arial" w:cs="Arial" w:eastAsia="Arial" w:hAnsi="Arial"/>
          <w:sz w:val="20"/>
          <w:szCs w:val="20"/>
          <w:u w:val="single" w:color="auto"/>
          <w:color w:val="0000FF"/>
        </w:rPr>
        <w:t>principal.com/investor</w:t>
      </w:r>
      <w:r>
        <w:rPr>
          <w:rFonts w:ascii="Arial" w:cs="Arial" w:eastAsia="Arial" w:hAnsi="Arial"/>
          <w:sz w:val="20"/>
          <w:szCs w:val="20"/>
          <w:color w:val="auto"/>
        </w:rPr>
        <w:t xml:space="preserve"> at least 10-15 minutes prior to the start of the call to register, and to download and install any necessary audio software.</w:t>
      </w:r>
    </w:p>
    <w:p>
      <w:pPr>
        <w:spacing w:after="0" w:line="1" w:lineRule="exact"/>
        <w:rPr>
          <w:rFonts w:ascii="Arial" w:cs="Arial" w:eastAsia="Arial" w:hAnsi="Arial"/>
          <w:sz w:val="18"/>
          <w:szCs w:val="18"/>
          <w:color w:val="auto"/>
        </w:rPr>
      </w:pPr>
    </w:p>
    <w:p>
      <w:pPr>
        <w:ind w:left="660" w:right="160" w:hanging="328"/>
        <w:spacing w:after="0" w:line="239" w:lineRule="auto"/>
        <w:tabs>
          <w:tab w:leader="none" w:pos="660" w:val="left"/>
        </w:tabs>
        <w:numPr>
          <w:ilvl w:val="0"/>
          <w:numId w:val="4"/>
        </w:numPr>
        <w:rPr>
          <w:rFonts w:ascii="Arial" w:cs="Arial" w:eastAsia="Arial" w:hAnsi="Arial"/>
          <w:sz w:val="18"/>
          <w:szCs w:val="18"/>
          <w:color w:val="auto"/>
        </w:rPr>
      </w:pPr>
      <w:r>
        <w:rPr>
          <w:rFonts w:ascii="Arial" w:cs="Arial" w:eastAsia="Arial" w:hAnsi="Arial"/>
          <w:sz w:val="20"/>
          <w:szCs w:val="20"/>
          <w:color w:val="auto"/>
        </w:rPr>
        <w:t>Via telephone by dialing 866-427-0175 (U.S. and Canadian callers) or 706-643-7701 (International callers) approximately 10 minutes prior to the start of the call. The access code is 4295809.</w:t>
      </w:r>
    </w:p>
    <w:p>
      <w:pPr>
        <w:spacing w:after="0" w:line="1" w:lineRule="exact"/>
        <w:rPr>
          <w:rFonts w:ascii="Arial" w:cs="Arial" w:eastAsia="Arial" w:hAnsi="Arial"/>
          <w:sz w:val="18"/>
          <w:szCs w:val="18"/>
          <w:color w:val="auto"/>
        </w:rPr>
      </w:pPr>
    </w:p>
    <w:p>
      <w:pPr>
        <w:ind w:left="660" w:right="420" w:hanging="328"/>
        <w:spacing w:after="0" w:line="239" w:lineRule="auto"/>
        <w:tabs>
          <w:tab w:leader="none" w:pos="660" w:val="left"/>
        </w:tabs>
        <w:numPr>
          <w:ilvl w:val="0"/>
          <w:numId w:val="4"/>
        </w:numPr>
        <w:rPr>
          <w:rFonts w:ascii="Arial" w:cs="Arial" w:eastAsia="Arial" w:hAnsi="Arial"/>
          <w:sz w:val="18"/>
          <w:szCs w:val="18"/>
          <w:color w:val="auto"/>
        </w:rPr>
      </w:pPr>
      <w:r>
        <w:rPr>
          <w:rFonts w:ascii="Arial" w:cs="Arial" w:eastAsia="Arial" w:hAnsi="Arial"/>
          <w:sz w:val="20"/>
          <w:szCs w:val="20"/>
          <w:color w:val="auto"/>
        </w:rPr>
        <w:t>A replay of the outlook call via telephone is available by dialing 855-859-2056 (U.S. and Canadian callers) or 404-537-3406 (International callers). The access code is 4295809.</w:t>
      </w:r>
    </w:p>
    <w:p>
      <w:pPr>
        <w:spacing w:after="0" w:line="1" w:lineRule="exact"/>
        <w:rPr>
          <w:rFonts w:ascii="Arial" w:cs="Arial" w:eastAsia="Arial" w:hAnsi="Arial"/>
          <w:sz w:val="18"/>
          <w:szCs w:val="18"/>
          <w:color w:val="auto"/>
        </w:rPr>
      </w:pPr>
    </w:p>
    <w:p>
      <w:pPr>
        <w:ind w:left="660" w:right="1680" w:hanging="328"/>
        <w:spacing w:after="0" w:line="247" w:lineRule="auto"/>
        <w:tabs>
          <w:tab w:leader="none" w:pos="660" w:val="left"/>
        </w:tabs>
        <w:numPr>
          <w:ilvl w:val="0"/>
          <w:numId w:val="4"/>
        </w:numPr>
        <w:rPr>
          <w:rFonts w:ascii="Arial" w:cs="Arial" w:eastAsia="Arial" w:hAnsi="Arial"/>
          <w:sz w:val="18"/>
          <w:szCs w:val="18"/>
          <w:color w:val="auto"/>
        </w:rPr>
      </w:pPr>
      <w:r>
        <w:rPr>
          <w:rFonts w:ascii="Arial" w:cs="Arial" w:eastAsia="Arial" w:hAnsi="Arial"/>
          <w:sz w:val="20"/>
          <w:szCs w:val="20"/>
          <w:color w:val="auto"/>
        </w:rPr>
        <w:t xml:space="preserve">A replay of the outlook call via webcast as well as a transcript of the call will be available after the call at </w:t>
      </w:r>
      <w:r>
        <w:rPr>
          <w:rFonts w:ascii="Arial" w:cs="Arial" w:eastAsia="Arial" w:hAnsi="Arial"/>
          <w:sz w:val="20"/>
          <w:szCs w:val="20"/>
          <w:u w:val="single" w:color="auto"/>
          <w:color w:val="0000FF"/>
        </w:rPr>
        <w:t>principal.com/investor</w:t>
      </w:r>
      <w:r>
        <w:rPr>
          <w:rFonts w:ascii="Arial" w:cs="Arial" w:eastAsia="Arial" w:hAnsi="Arial"/>
          <w:sz w:val="20"/>
          <w:szCs w:val="20"/>
          <w:color w:val="000000"/>
        </w:rPr>
        <w:t>.</w:t>
      </w:r>
    </w:p>
    <w:p>
      <w:pPr>
        <w:spacing w:after="0" w:line="27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Forward looking and cautionary statements</w:t>
      </w:r>
    </w:p>
    <w:p>
      <w:pPr>
        <w:spacing w:after="0" w:line="24" w:lineRule="exact"/>
        <w:rPr>
          <w:sz w:val="20"/>
          <w:szCs w:val="20"/>
          <w:color w:val="auto"/>
        </w:rPr>
      </w:pPr>
    </w:p>
    <w:p>
      <w:pPr>
        <w:spacing w:after="0" w:line="239" w:lineRule="auto"/>
        <w:rPr>
          <w:sz w:val="20"/>
          <w:szCs w:val="20"/>
          <w:color w:val="auto"/>
        </w:rPr>
      </w:pPr>
      <w:r>
        <w:rPr>
          <w:rFonts w:ascii="Arial" w:cs="Arial" w:eastAsia="Arial" w:hAnsi="Arial"/>
          <w:sz w:val="20"/>
          <w:szCs w:val="20"/>
          <w:color w:val="auto"/>
        </w:rPr>
        <w:t>Certain statements made by the company which are not historical facts may be considered forward-looking statements, including, without limitation, statements as to operating earnings, net income available to common stockholders, net cash flows, realized and unrealized gains and losses, capital and liquidity positions, sales and earnings trends, and management’s beliefs, expectations, goals and opinions. The company does not undertake to update these statements, which are based on a number of assumptions concerning future conditions that may ultimately prove to be inaccurate. Future events and their effects on the company may not be those anticipated, and actual results may differ materially from the results anticipated in these forward-looking statements. The risks, uncertainties and factors that could cause or contribute to such material differences are discussed in the company’s annual report on Form 10-K for the year ended Dec. 31, 2016, and in the company’s quarterly report on Form 10-Q for the quarter ended Sept. 30, 2017, filed by the company with the U.S. Securities and Exchange Commission, as updated or supplemented from time to time in subsequent filings. These risks and uncertainties include, without limitation: adverse capital and credit market conditions may significantly affect the company’s ability to meet liquidity needs, access to capital and cost of capital; conditions in the global capital markets and the economy generally; volatility or declines in the equity, bond or real estate markets; changes in interest rates or credit spreads or a sustained low interest rate environment; the</w:t>
      </w:r>
    </w:p>
    <w:p>
      <w:pPr>
        <w:spacing w:after="0" w:line="7" w:lineRule="exact"/>
        <w:rPr>
          <w:sz w:val="20"/>
          <w:szCs w:val="20"/>
          <w:color w:val="auto"/>
        </w:rPr>
      </w:pPr>
    </w:p>
    <w:p>
      <w:pPr>
        <w:spacing w:after="0"/>
        <w:rPr>
          <w:sz w:val="20"/>
          <w:szCs w:val="20"/>
          <w:color w:val="auto"/>
        </w:rPr>
      </w:pPr>
      <w:r>
        <w:rPr>
          <w:rFonts w:ascii="Arial" w:cs="Arial" w:eastAsia="Arial" w:hAnsi="Arial"/>
          <w:sz w:val="20"/>
          <w:szCs w:val="20"/>
          <w:color w:val="auto"/>
        </w:rPr>
        <w:t>__________________________</w:t>
      </w:r>
    </w:p>
    <w:p>
      <w:pPr>
        <w:ind w:left="120" w:hanging="112"/>
        <w:spacing w:after="0" w:line="187" w:lineRule="auto"/>
        <w:tabs>
          <w:tab w:leader="none" w:pos="120" w:val="left"/>
        </w:tabs>
        <w:numPr>
          <w:ilvl w:val="0"/>
          <w:numId w:val="5"/>
        </w:numPr>
        <w:rPr>
          <w:rFonts w:ascii="Arial" w:cs="Arial" w:eastAsia="Arial" w:hAnsi="Arial"/>
          <w:sz w:val="21"/>
          <w:szCs w:val="21"/>
          <w:color w:val="auto"/>
          <w:vertAlign w:val="superscript"/>
        </w:rPr>
      </w:pPr>
      <w:r>
        <w:rPr>
          <w:rFonts w:ascii="Arial" w:cs="Arial" w:eastAsia="Arial" w:hAnsi="Arial"/>
          <w:sz w:val="14"/>
          <w:szCs w:val="14"/>
          <w:color w:val="auto"/>
        </w:rPr>
        <w:t>Latin America utilizes Central Bank estimates, while Asia uses Bloomberg.</w:t>
      </w:r>
    </w:p>
    <w:p>
      <w:pPr>
        <w:spacing w:after="0" w:line="22" w:lineRule="exact"/>
        <w:rPr>
          <w:sz w:val="20"/>
          <w:szCs w:val="20"/>
          <w:color w:val="auto"/>
        </w:rPr>
      </w:pPr>
    </w:p>
    <w:p>
      <w:pPr>
        <w:ind w:right="260" w:firstLine="8"/>
        <w:spacing w:after="0" w:line="215" w:lineRule="auto"/>
        <w:tabs>
          <w:tab w:leader="none" w:pos="165" w:val="left"/>
        </w:tabs>
        <w:numPr>
          <w:ilvl w:val="0"/>
          <w:numId w:val="6"/>
        </w:numPr>
        <w:rPr>
          <w:rFonts w:ascii="Arial" w:cs="Arial" w:eastAsia="Arial" w:hAnsi="Arial"/>
          <w:sz w:val="21"/>
          <w:szCs w:val="21"/>
          <w:color w:val="auto"/>
          <w:vertAlign w:val="superscript"/>
        </w:rPr>
      </w:pPr>
      <w:r>
        <w:rPr>
          <w:rFonts w:ascii="Arial" w:cs="Arial" w:eastAsia="Arial" w:hAnsi="Arial"/>
          <w:sz w:val="14"/>
          <w:szCs w:val="14"/>
          <w:color w:val="auto"/>
        </w:rPr>
        <w:t>The operating earnings effective tax rate is a non-GAAP measure and differs from the U.S. GAAP net income effective tax rate primarily due to net realized capital gains and losses (NRCG).</w:t>
      </w:r>
    </w:p>
    <w:p>
      <w:pPr>
        <w:sectPr>
          <w:pgSz w:w="11900" w:h="16838" w:orient="portrait"/>
          <w:cols w:equalWidth="0" w:num="1">
            <w:col w:w="11400"/>
          </w:cols>
          <w:pgMar w:left="240" w:top="1270" w:right="259" w:bottom="1440" w:gutter="0" w:footer="0" w:header="0"/>
        </w:sectPr>
      </w:pPr>
    </w:p>
    <w:bookmarkStart w:id="4" w:name="page5"/>
    <w:bookmarkEnd w:id="4"/>
    <w:p>
      <w:pPr>
        <w:spacing w:after="0" w:line="239" w:lineRule="auto"/>
        <w:rPr>
          <w:sz w:val="20"/>
          <w:szCs w:val="20"/>
          <w:color w:val="auto"/>
        </w:rPr>
      </w:pPr>
      <w:r>
        <w:rPr>
          <w:rFonts w:ascii="Arial" w:cs="Arial" w:eastAsia="Arial" w:hAnsi="Arial"/>
          <w:sz w:val="20"/>
          <w:szCs w:val="20"/>
          <w:color w:val="auto"/>
        </w:rPr>
        <w:drawing>
          <wp:anchor simplePos="0" relativeHeight="251657728" behindDoc="1" locked="0" layoutInCell="0" allowOverlap="1">
            <wp:simplePos x="0" y="0"/>
            <wp:positionH relativeFrom="page">
              <wp:posOffset>5748655</wp:posOffset>
            </wp:positionH>
            <wp:positionV relativeFrom="page">
              <wp:posOffset>88900</wp:posOffset>
            </wp:positionV>
            <wp:extent cx="1655445" cy="53149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1655445" cy="531495"/>
                    </a:xfrm>
                    <a:prstGeom prst="rect">
                      <a:avLst/>
                    </a:prstGeom>
                    <a:noFill/>
                  </pic:spPr>
                </pic:pic>
              </a:graphicData>
            </a:graphic>
          </wp:anchor>
        </w:drawing>
        <w:t>company’s investment portfolio is subject to several risks that may diminish the value of its invested assets and the investment returns credited to customers; the company’s valuation of investments and the determination of the amount of allowances and impairments taken on such investments may include methodologies, estimations and assumptions that are subject to differing interpretations; any impairments of or valuation allowances against the company’s deferred tax assets; the company’s actual experience could differ significantly from its pricing and reserving assumptions; the pattern of amortizing the company’s DAC and other actuarial balances on its universal life-type insurance contracts, participating life insurance policies and certain investment contracts may change; the company may not be able to protect its intellectual property and may be subject to infringement claims; the company’s ability to pay stockholder dividends and meet its obligations may be constrained by the limitations on dividends or distributions Iowa insurance laws impose on Principal Life; changes in laws, regulations or accounting standards; results of litigation and regulatory investigations; from time to time the company may become subject to tax audits, tax litigation or similar proceedings, and as a result it may owe additional taxes, interest and penalties in amounts that may be material; applicable laws and the company’s certificate of incorporation and by-laws may discourage takeovers and business combinations that some stockholders might consider in their best interests; competition from companies that may have greater financial resources, broader arrays of products, higher ratings and stronger financial performance; a downgrade in the company’s financial strength or credit ratings; changes in investor preferences; inability to attract and retain qualified employees and sales representatives and develop new distribution sources; international business risks; fluctuations in foreign currency exchange rates; the company may need to fund deficiencies in its “Closed Block” assets that support participating ordinary life insurance policies that had a dividend scale in force at the time of Principal Life’s 1998 conversion into a stock life insurance company; the company’s reinsurers could default on their obligations or increase their rates; risks arising from acquisitions of businesses; and a computer system failure or security breach could disrupt the company’s business and damage its reputation.</w:t>
      </w:r>
    </w:p>
    <w:p>
      <w:pPr>
        <w:spacing w:after="0" w:line="20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Use of Non-GAAP Financial Measures</w:t>
      </w:r>
    </w:p>
    <w:p>
      <w:pPr>
        <w:spacing w:after="0" w:line="24" w:lineRule="exact"/>
        <w:rPr>
          <w:sz w:val="20"/>
          <w:szCs w:val="20"/>
          <w:color w:val="auto"/>
        </w:rPr>
      </w:pPr>
    </w:p>
    <w:p>
      <w:pPr>
        <w:ind w:right="40"/>
        <w:spacing w:after="0"/>
        <w:rPr>
          <w:sz w:val="20"/>
          <w:szCs w:val="20"/>
          <w:color w:val="auto"/>
        </w:rPr>
      </w:pPr>
      <w:r>
        <w:rPr>
          <w:rFonts w:ascii="Arial" w:cs="Arial" w:eastAsia="Arial" w:hAnsi="Arial"/>
          <w:sz w:val="20"/>
          <w:szCs w:val="20"/>
          <w:color w:val="auto"/>
        </w:rPr>
        <w:t>A non-GAAP financial measure is a numerical measure of performance, financial position, or cash flows that includes adjustments from a comparable financial measure presented in accordance with U.S. GAAP. In this press release, the company provides outlook on certain metrics that impact operating earnings (losses) and earnings growth. Operating earnings is a non-GAAP financial measure that management believes is useful to investors because it illustrates the performance of normal, ongoing operations. Operating earnings are determined by adjusting GAAP net income available to common stockholders for net realized capital gains and losses, as adjusted, and other after-tax adjustments the company believes are not indicative of overall operating trends. However, it is possible these adjusting items have occurred in the past and could recur in future reporting periods. Management uses non-GAAP measures for goal setting, as a basis for determining employee compensation, and evaluating performance on a basis comparable to that used by investors and securities analysts.</w:t>
      </w:r>
    </w:p>
    <w:p>
      <w:pPr>
        <w:spacing w:after="0" w:line="289" w:lineRule="exact"/>
        <w:rPr>
          <w:sz w:val="20"/>
          <w:szCs w:val="20"/>
          <w:color w:val="auto"/>
        </w:rPr>
      </w:pPr>
    </w:p>
    <w:p>
      <w:pPr>
        <w:spacing w:after="0"/>
        <w:rPr>
          <w:sz w:val="20"/>
          <w:szCs w:val="20"/>
          <w:color w:val="auto"/>
        </w:rPr>
      </w:pPr>
      <w:r>
        <w:rPr>
          <w:rFonts w:ascii="Arial" w:cs="Arial" w:eastAsia="Arial" w:hAnsi="Arial"/>
          <w:sz w:val="20"/>
          <w:szCs w:val="20"/>
          <w:b w:val="1"/>
          <w:bCs w:val="1"/>
          <w:u w:val="single" w:color="auto"/>
          <w:color w:val="0000FF"/>
        </w:rPr>
        <w:t>About Principal</w:t>
      </w:r>
      <w:r>
        <w:rPr>
          <w:rFonts w:ascii="Arial" w:cs="Arial" w:eastAsia="Arial" w:hAnsi="Arial"/>
          <w:sz w:val="25"/>
          <w:szCs w:val="25"/>
          <w:b w:val="1"/>
          <w:bCs w:val="1"/>
          <w:color w:val="000000"/>
          <w:vertAlign w:val="superscript"/>
        </w:rPr>
        <w:t>®</w:t>
      </w:r>
      <w:r>
        <w:rPr>
          <w:rFonts w:ascii="Arial" w:cs="Arial" w:eastAsia="Arial" w:hAnsi="Arial"/>
          <w:sz w:val="20"/>
          <w:szCs w:val="20"/>
          <w:b w:val="1"/>
          <w:bCs w:val="1"/>
          <w:color w:val="0000FF"/>
        </w:rPr>
        <w:t xml:space="preserve"> </w:t>
      </w:r>
      <w:r>
        <w:rPr>
          <w:rFonts w:ascii="Arial" w:cs="Arial" w:eastAsia="Arial" w:hAnsi="Arial"/>
          <w:sz w:val="20"/>
          <w:szCs w:val="20"/>
          <w:color w:val="000000"/>
          <w:vertAlign w:val="superscript"/>
        </w:rPr>
        <w:t>11</w:t>
      </w:r>
    </w:p>
    <w:p>
      <w:pPr>
        <w:spacing w:after="0" w:line="69" w:lineRule="exact"/>
        <w:rPr>
          <w:sz w:val="20"/>
          <w:szCs w:val="20"/>
          <w:color w:val="auto"/>
        </w:rPr>
      </w:pPr>
    </w:p>
    <w:p>
      <w:pPr>
        <w:ind w:right="260"/>
        <w:spacing w:after="0" w:line="242" w:lineRule="auto"/>
        <w:rPr>
          <w:sz w:val="20"/>
          <w:szCs w:val="20"/>
          <w:color w:val="auto"/>
        </w:rPr>
      </w:pPr>
      <w:r>
        <w:rPr>
          <w:rFonts w:ascii="Arial" w:cs="Arial" w:eastAsia="Arial" w:hAnsi="Arial"/>
          <w:sz w:val="20"/>
          <w:szCs w:val="20"/>
          <w:color w:val="auto"/>
        </w:rPr>
        <w:t xml:space="preserve">Principal helps people and companies around the world build, protect and advance their financial well-being through retirement, insurance and asset management solutions that fit their lives. Our employees are passionate about helping clients of all income and portfolio sizes achieve their goals - offering innovative ideas, investment expertise and real-life solutions to make financial progress possible. To find out more, visit us at </w:t>
      </w:r>
      <w:r>
        <w:rPr>
          <w:rFonts w:ascii="Arial" w:cs="Arial" w:eastAsia="Arial" w:hAnsi="Arial"/>
          <w:sz w:val="20"/>
          <w:szCs w:val="20"/>
          <w:u w:val="single" w:color="auto"/>
          <w:color w:val="0000FF"/>
        </w:rPr>
        <w:t>principal.com</w:t>
      </w:r>
      <w:r>
        <w:rPr>
          <w:rFonts w:ascii="Arial" w:cs="Arial" w:eastAsia="Arial" w:hAnsi="Arial"/>
          <w:sz w:val="20"/>
          <w:szCs w:val="20"/>
          <w:color w:val="auto"/>
        </w:rPr>
        <w:t>.</w:t>
      </w:r>
    </w:p>
    <w:p>
      <w:pPr>
        <w:spacing w:after="0" w:line="166" w:lineRule="exact"/>
        <w:rPr>
          <w:sz w:val="20"/>
          <w:szCs w:val="20"/>
          <w:color w:val="auto"/>
        </w:rPr>
      </w:pPr>
    </w:p>
    <w:p>
      <w:pPr>
        <w:spacing w:after="0"/>
        <w:rPr>
          <w:sz w:val="20"/>
          <w:szCs w:val="20"/>
          <w:color w:val="auto"/>
        </w:rPr>
      </w:pPr>
      <w:r>
        <w:rPr>
          <w:rFonts w:ascii="Arial" w:cs="Arial" w:eastAsia="Arial" w:hAnsi="Arial"/>
          <w:sz w:val="20"/>
          <w:szCs w:val="20"/>
          <w:color w:val="auto"/>
        </w:rPr>
        <w:t>__________________________</w:t>
      </w:r>
    </w:p>
    <w:p>
      <w:pPr>
        <w:spacing w:after="0" w:line="22" w:lineRule="exact"/>
        <w:rPr>
          <w:sz w:val="20"/>
          <w:szCs w:val="20"/>
          <w:color w:val="auto"/>
        </w:rPr>
      </w:pPr>
    </w:p>
    <w:p>
      <w:pPr>
        <w:ind w:right="60" w:firstLine="8"/>
        <w:spacing w:after="0" w:line="215" w:lineRule="auto"/>
        <w:tabs>
          <w:tab w:leader="none" w:pos="165" w:val="left"/>
        </w:tabs>
        <w:numPr>
          <w:ilvl w:val="0"/>
          <w:numId w:val="7"/>
        </w:numPr>
        <w:rPr>
          <w:rFonts w:ascii="Arial" w:cs="Arial" w:eastAsia="Arial" w:hAnsi="Arial"/>
          <w:sz w:val="21"/>
          <w:szCs w:val="21"/>
          <w:color w:val="auto"/>
          <w:vertAlign w:val="superscript"/>
        </w:rPr>
      </w:pPr>
      <w:r>
        <w:rPr>
          <w:rFonts w:ascii="Arial" w:cs="Arial" w:eastAsia="Arial" w:hAnsi="Arial"/>
          <w:sz w:val="14"/>
          <w:szCs w:val="14"/>
          <w:color w:val="auto"/>
        </w:rPr>
        <w:t>Principal, Principal and symbol design and Principal Financial Group are trademarks and service marks of Principal Financial Services, Inc., a member of the Principal Financial Group.</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w:t>
      </w:r>
    </w:p>
    <w:sectPr>
      <w:pgSz w:w="11900" w:h="16838" w:orient="portrait"/>
      <w:cols w:equalWidth="0" w:num="1">
        <w:col w:w="11400"/>
      </w:cols>
      <w:pgMar w:left="240" w:top="1216" w:right="2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25558EC"/>
    <w:multiLevelType w:val="hybridMultilevel"/>
    <w:lvl w:ilvl="0">
      <w:lvlJc w:val="left"/>
      <w:lvlText w:val="["/>
      <w:numFmt w:val="bullet"/>
      <w:start w:val="1"/>
    </w:lvl>
  </w:abstractNum>
  <w:abstractNum w:abstractNumId="1">
    <w:nsid w:val="238E1F29"/>
    <w:multiLevelType w:val="hybridMultilevel"/>
    <w:lvl w:ilvl="0">
      <w:lvlJc w:val="left"/>
      <w:lvlText w:val="1"/>
      <w:numFmt w:val="bullet"/>
      <w:start w:val="1"/>
    </w:lvl>
  </w:abstractNum>
  <w:abstractNum w:abstractNumId="2">
    <w:nsid w:val="46E87CCD"/>
    <w:multiLevelType w:val="hybridMultilevel"/>
    <w:lvl w:ilvl="0">
      <w:lvlJc w:val="left"/>
      <w:lvlText w:val="•"/>
      <w:numFmt w:val="bullet"/>
      <w:start w:val="1"/>
    </w:lvl>
    <w:lvl w:ilvl="1">
      <w:lvlJc w:val="left"/>
      <w:lvlText w:val="◦"/>
      <w:numFmt w:val="bullet"/>
      <w:start w:val="1"/>
    </w:lvl>
  </w:abstractNum>
  <w:abstractNum w:abstractNumId="3">
    <w:nsid w:val="3D1B58BA"/>
    <w:multiLevelType w:val="hybridMultilevel"/>
    <w:lvl w:ilvl="0">
      <w:lvlJc w:val="left"/>
      <w:lvlText w:val="•"/>
      <w:numFmt w:val="bullet"/>
      <w:start w:val="1"/>
    </w:lvl>
  </w:abstractNum>
  <w:abstractNum w:abstractNumId="4">
    <w:nsid w:val="507ED7AB"/>
    <w:multiLevelType w:val="hybridMultilevel"/>
    <w:lvl w:ilvl="0">
      <w:lvlJc w:val="left"/>
      <w:lvlText w:val="9"/>
      <w:numFmt w:val="bullet"/>
      <w:start w:val="1"/>
    </w:lvl>
  </w:abstractNum>
  <w:abstractNum w:abstractNumId="5">
    <w:nsid w:val="2EB141F2"/>
    <w:multiLevelType w:val="hybridMultilevel"/>
    <w:lvl w:ilvl="0">
      <w:lvlJc w:val="left"/>
      <w:lvlText w:val="%1"/>
      <w:numFmt w:val="decimal"/>
      <w:start w:val="10"/>
    </w:lvl>
  </w:abstractNum>
  <w:abstractNum w:abstractNumId="6">
    <w:nsid w:val="41B71EFB"/>
    <w:multiLevelType w:val="hybridMultilevel"/>
    <w:lvl w:ilvl="0">
      <w:lvlJc w:val="left"/>
      <w:lvlText w:val="%1"/>
      <w:numFmt w:val="decimal"/>
      <w:start w:val="1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2020-01-19T00:34:14Z</dcterms:created>
  <dcterms:modified xsi:type="dcterms:W3CDTF">2020-01-19T00:34:14Z</dcterms:modified>
</cp:coreProperties>
</file>