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19"/>
        <w:spacing w:after="0"/>
        <w:rPr>
          <w:sz w:val="20"/>
          <w:szCs w:val="20"/>
          <w:color w:val="auto"/>
        </w:rPr>
      </w:pPr>
      <w:r>
        <w:rPr>
          <w:rFonts w:ascii="Arial" w:cs="Arial" w:eastAsia="Arial" w:hAnsi="Arial"/>
          <w:sz w:val="22"/>
          <w:szCs w:val="22"/>
          <w:b w:val="1"/>
          <w:bCs w:val="1"/>
          <w:color w:val="auto"/>
        </w:rPr>
        <w:t>SECURITIES AND EXCHANGE COMMISSION</w:t>
      </w:r>
    </w:p>
    <w:p>
      <w:pPr>
        <w:spacing w:after="0" w:line="26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Washington, D.C. 20549</w:t>
      </w:r>
    </w:p>
    <w:p>
      <w:pPr>
        <w:spacing w:after="0" w:line="200" w:lineRule="exact"/>
        <w:rPr>
          <w:sz w:val="24"/>
          <w:szCs w:val="24"/>
          <w:color w:val="auto"/>
        </w:rPr>
      </w:pPr>
    </w:p>
    <w:p>
      <w:pPr>
        <w:spacing w:after="0" w:line="201" w:lineRule="exact"/>
        <w:rPr>
          <w:sz w:val="24"/>
          <w:szCs w:val="24"/>
          <w:color w:val="auto"/>
        </w:rPr>
      </w:pPr>
    </w:p>
    <w:p>
      <w:pPr>
        <w:ind w:left="4740"/>
        <w:spacing w:after="0"/>
        <w:rPr>
          <w:sz w:val="20"/>
          <w:szCs w:val="20"/>
          <w:color w:val="auto"/>
        </w:rPr>
      </w:pPr>
      <w:r>
        <w:rPr>
          <w:rFonts w:ascii="Arial" w:cs="Arial" w:eastAsia="Arial" w:hAnsi="Arial"/>
          <w:sz w:val="22"/>
          <w:szCs w:val="22"/>
          <w:color w:val="auto"/>
        </w:rPr>
        <w:t>__________________</w:t>
      </w: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FORM 8-K</w:t>
      </w:r>
    </w:p>
    <w:p>
      <w:pPr>
        <w:spacing w:after="0" w:line="200" w:lineRule="exact"/>
        <w:rPr>
          <w:sz w:val="24"/>
          <w:szCs w:val="24"/>
          <w:color w:val="auto"/>
        </w:rPr>
      </w:pPr>
    </w:p>
    <w:p>
      <w:pPr>
        <w:spacing w:after="0" w:line="263"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CURRENT REPORT</w:t>
      </w:r>
    </w:p>
    <w:p>
      <w:pPr>
        <w:spacing w:after="0" w:line="200" w:lineRule="exact"/>
        <w:rPr>
          <w:sz w:val="24"/>
          <w:szCs w:val="24"/>
          <w:color w:val="auto"/>
        </w:rPr>
      </w:pPr>
    </w:p>
    <w:p>
      <w:pPr>
        <w:spacing w:after="0" w:line="330"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Pursuant to Section 13 or 15(d) of the</w:t>
      </w:r>
    </w:p>
    <w:p>
      <w:pPr>
        <w:spacing w:after="0" w:line="28" w:lineRule="exact"/>
        <w:rPr>
          <w:sz w:val="24"/>
          <w:szCs w:val="24"/>
          <w:color w:val="auto"/>
        </w:rPr>
      </w:pPr>
    </w:p>
    <w:p>
      <w:pPr>
        <w:jc w:val="center"/>
        <w:ind w:right="-119"/>
        <w:spacing w:after="0"/>
        <w:rPr>
          <w:sz w:val="20"/>
          <w:szCs w:val="20"/>
          <w:color w:val="auto"/>
        </w:rPr>
      </w:pPr>
      <w:r>
        <w:rPr>
          <w:rFonts w:ascii="Arial" w:cs="Arial" w:eastAsia="Arial" w:hAnsi="Arial"/>
          <w:sz w:val="22"/>
          <w:szCs w:val="22"/>
          <w:b w:val="1"/>
          <w:bCs w:val="1"/>
          <w:color w:val="auto"/>
        </w:rPr>
        <w:t>Securities Exchange Act of 1934</w:t>
      </w:r>
    </w:p>
    <w:p>
      <w:pPr>
        <w:spacing w:after="0" w:line="236" w:lineRule="exact"/>
        <w:rPr>
          <w:sz w:val="24"/>
          <w:szCs w:val="24"/>
          <w:color w:val="auto"/>
        </w:rPr>
      </w:pPr>
    </w:p>
    <w:p>
      <w:pPr>
        <w:ind w:left="4360"/>
        <w:spacing w:after="0"/>
        <w:rPr>
          <w:sz w:val="20"/>
          <w:szCs w:val="20"/>
          <w:color w:val="auto"/>
        </w:rPr>
      </w:pPr>
      <w:r>
        <w:rPr>
          <w:rFonts w:ascii="Arial" w:cs="Arial" w:eastAsia="Arial" w:hAnsi="Arial"/>
          <w:sz w:val="22"/>
          <w:szCs w:val="22"/>
          <w:color w:val="auto"/>
        </w:rPr>
        <w:t xml:space="preserve">Date of Report: </w:t>
      </w:r>
      <w:r>
        <w:rPr>
          <w:rFonts w:ascii="Arial" w:cs="Arial" w:eastAsia="Arial" w:hAnsi="Arial"/>
          <w:sz w:val="22"/>
          <w:szCs w:val="22"/>
          <w:b w:val="1"/>
          <w:bCs w:val="1"/>
          <w:color w:val="auto"/>
        </w:rPr>
        <w:t>April 27, 2017</w:t>
      </w:r>
    </w:p>
    <w:p>
      <w:pPr>
        <w:spacing w:after="0" w:line="28" w:lineRule="exact"/>
        <w:rPr>
          <w:sz w:val="24"/>
          <w:szCs w:val="24"/>
          <w:color w:val="auto"/>
        </w:rPr>
      </w:pPr>
    </w:p>
    <w:p>
      <w:pPr>
        <w:ind w:left="4340"/>
        <w:spacing w:after="0"/>
        <w:rPr>
          <w:sz w:val="20"/>
          <w:szCs w:val="20"/>
          <w:color w:val="auto"/>
        </w:rPr>
      </w:pPr>
      <w:r>
        <w:rPr>
          <w:rFonts w:ascii="Arial" w:cs="Arial" w:eastAsia="Arial" w:hAnsi="Arial"/>
          <w:sz w:val="22"/>
          <w:szCs w:val="22"/>
          <w:color w:val="auto"/>
        </w:rPr>
        <w:t>(Date of earliest event reported)</w:t>
      </w:r>
    </w:p>
    <w:p>
      <w:pPr>
        <w:spacing w:after="0" w:line="200" w:lineRule="exact"/>
        <w:rPr>
          <w:sz w:val="24"/>
          <w:szCs w:val="24"/>
          <w:color w:val="auto"/>
        </w:rPr>
      </w:pPr>
    </w:p>
    <w:p>
      <w:pPr>
        <w:spacing w:after="0" w:line="315" w:lineRule="exact"/>
        <w:rPr>
          <w:sz w:val="24"/>
          <w:szCs w:val="24"/>
          <w:color w:val="auto"/>
        </w:rPr>
      </w:pPr>
    </w:p>
    <w:p>
      <w:pPr>
        <w:jc w:val="center"/>
        <w:ind w:right="-119"/>
        <w:spacing w:after="0"/>
        <w:rPr>
          <w:sz w:val="20"/>
          <w:szCs w:val="20"/>
          <w:color w:val="auto"/>
        </w:rPr>
      </w:pPr>
      <w:r>
        <w:rPr>
          <w:rFonts w:ascii="Arial" w:cs="Arial" w:eastAsia="Arial" w:hAnsi="Arial"/>
          <w:sz w:val="29"/>
          <w:szCs w:val="29"/>
          <w:b w:val="1"/>
          <w:bCs w:val="1"/>
          <w:color w:val="auto"/>
        </w:rPr>
        <w:t>PRINCIPAL FINANCIAL GROUP, INC.</w:t>
      </w:r>
    </w:p>
    <w:p>
      <w:pPr>
        <w:spacing w:after="0" w:line="41" w:lineRule="exact"/>
        <w:rPr>
          <w:sz w:val="24"/>
          <w:szCs w:val="24"/>
          <w:color w:val="auto"/>
        </w:rPr>
      </w:pPr>
    </w:p>
    <w:p>
      <w:pPr>
        <w:jc w:val="center"/>
        <w:ind w:right="-119"/>
        <w:spacing w:after="0"/>
        <w:rPr>
          <w:sz w:val="20"/>
          <w:szCs w:val="20"/>
          <w:color w:val="auto"/>
        </w:rPr>
      </w:pPr>
      <w:r>
        <w:rPr>
          <w:rFonts w:ascii="Arial" w:cs="Arial" w:eastAsia="Arial" w:hAnsi="Arial"/>
          <w:sz w:val="22"/>
          <w:szCs w:val="22"/>
          <w:color w:val="auto"/>
        </w:rPr>
        <w:t>(Exact name of registrant as specified in its charter)</w:t>
      </w:r>
    </w:p>
    <w:p>
      <w:pPr>
        <w:spacing w:after="0" w:line="200" w:lineRule="exact"/>
        <w:rPr>
          <w:sz w:val="24"/>
          <w:szCs w:val="24"/>
          <w:color w:val="auto"/>
        </w:rPr>
      </w:pPr>
    </w:p>
    <w:p>
      <w:pPr>
        <w:spacing w:after="0" w:line="375" w:lineRule="exact"/>
        <w:rPr>
          <w:sz w:val="24"/>
          <w:szCs w:val="24"/>
          <w:color w:val="auto"/>
        </w:rPr>
      </w:pPr>
    </w:p>
    <w:tbl>
      <w:tblPr>
        <w:tblLayout w:type="fixed"/>
        <w:tblInd w:w="2660" w:type="dxa"/>
        <w:tblCellMar>
          <w:top w:w="0" w:type="dxa"/>
          <w:left w:w="0" w:type="dxa"/>
          <w:bottom w:w="0" w:type="dxa"/>
          <w:right w:w="0" w:type="dxa"/>
        </w:tblCellMar>
      </w:tblPr>
      <w:tr>
        <w:trPr>
          <w:trHeight w:val="234"/>
        </w:trPr>
        <w:tc>
          <w:tcPr>
            <w:tcW w:w="2100" w:type="dxa"/>
            <w:vAlign w:val="bottom"/>
          </w:tcPr>
          <w:p>
            <w:pPr>
              <w:jc w:val="center"/>
              <w:ind w:right="90"/>
              <w:spacing w:after="0"/>
              <w:rPr>
                <w:sz w:val="20"/>
                <w:szCs w:val="20"/>
                <w:color w:val="auto"/>
              </w:rPr>
            </w:pPr>
            <w:r>
              <w:rPr>
                <w:rFonts w:ascii="Arial" w:cs="Arial" w:eastAsia="Arial" w:hAnsi="Arial"/>
                <w:sz w:val="18"/>
                <w:szCs w:val="18"/>
                <w:b w:val="1"/>
                <w:bCs w:val="1"/>
                <w:color w:val="auto"/>
                <w:w w:val="91"/>
              </w:rPr>
              <w:t>Delaware</w:t>
            </w:r>
          </w:p>
        </w:tc>
        <w:tc>
          <w:tcPr>
            <w:tcW w:w="2260" w:type="dxa"/>
            <w:vAlign w:val="bottom"/>
          </w:tcPr>
          <w:p>
            <w:pPr>
              <w:jc w:val="right"/>
              <w:ind w:right="730"/>
              <w:spacing w:after="0"/>
              <w:rPr>
                <w:sz w:val="20"/>
                <w:szCs w:val="20"/>
                <w:color w:val="auto"/>
              </w:rPr>
            </w:pPr>
            <w:r>
              <w:rPr>
                <w:rFonts w:ascii="Arial" w:cs="Arial" w:eastAsia="Arial" w:hAnsi="Arial"/>
                <w:sz w:val="18"/>
                <w:szCs w:val="18"/>
                <w:b w:val="1"/>
                <w:bCs w:val="1"/>
                <w:color w:val="auto"/>
              </w:rPr>
              <w:t>1-16725</w:t>
            </w:r>
          </w:p>
        </w:tc>
        <w:tc>
          <w:tcPr>
            <w:tcW w:w="1820" w:type="dxa"/>
            <w:vAlign w:val="bottom"/>
          </w:tcPr>
          <w:p>
            <w:pPr>
              <w:jc w:val="center"/>
              <w:ind w:left="50"/>
              <w:spacing w:after="0"/>
              <w:rPr>
                <w:sz w:val="20"/>
                <w:szCs w:val="20"/>
                <w:color w:val="auto"/>
              </w:rPr>
            </w:pPr>
            <w:r>
              <w:rPr>
                <w:rFonts w:ascii="Arial" w:cs="Arial" w:eastAsia="Arial" w:hAnsi="Arial"/>
                <w:sz w:val="18"/>
                <w:szCs w:val="18"/>
                <w:b w:val="1"/>
                <w:bCs w:val="1"/>
                <w:color w:val="auto"/>
                <w:w w:val="91"/>
              </w:rPr>
              <w:t>42-1520346</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2"/>
              </w:rPr>
              <w:t>(State or other jurisdiction</w:t>
            </w:r>
          </w:p>
        </w:tc>
        <w:tc>
          <w:tcPr>
            <w:tcW w:w="2260" w:type="dxa"/>
            <w:vAlign w:val="bottom"/>
          </w:tcPr>
          <w:p>
            <w:pPr>
              <w:jc w:val="center"/>
              <w:spacing w:after="0"/>
              <w:rPr>
                <w:sz w:val="20"/>
                <w:szCs w:val="20"/>
                <w:color w:val="auto"/>
              </w:rPr>
            </w:pPr>
            <w:r>
              <w:rPr>
                <w:rFonts w:ascii="Arial" w:cs="Arial" w:eastAsia="Arial" w:hAnsi="Arial"/>
                <w:sz w:val="18"/>
                <w:szCs w:val="18"/>
                <w:color w:val="auto"/>
                <w:w w:val="93"/>
              </w:rPr>
              <w:t>(Commission file number)</w:t>
            </w:r>
          </w:p>
        </w:tc>
        <w:tc>
          <w:tcPr>
            <w:tcW w:w="1820" w:type="dxa"/>
            <w:vAlign w:val="bottom"/>
          </w:tcPr>
          <w:p>
            <w:pPr>
              <w:jc w:val="center"/>
              <w:ind w:left="50"/>
              <w:spacing w:after="0"/>
              <w:rPr>
                <w:sz w:val="20"/>
                <w:szCs w:val="20"/>
                <w:color w:val="auto"/>
              </w:rPr>
            </w:pPr>
            <w:r>
              <w:rPr>
                <w:rFonts w:ascii="Arial" w:cs="Arial" w:eastAsia="Arial" w:hAnsi="Arial"/>
                <w:sz w:val="18"/>
                <w:szCs w:val="18"/>
                <w:color w:val="auto"/>
                <w:w w:val="93"/>
              </w:rPr>
              <w:t>(I.R.S. Employer</w:t>
            </w:r>
          </w:p>
        </w:tc>
      </w:tr>
      <w:tr>
        <w:trPr>
          <w:trHeight w:val="270"/>
        </w:trPr>
        <w:tc>
          <w:tcPr>
            <w:tcW w:w="2100" w:type="dxa"/>
            <w:vAlign w:val="bottom"/>
          </w:tcPr>
          <w:p>
            <w:pPr>
              <w:jc w:val="center"/>
              <w:ind w:right="110"/>
              <w:spacing w:after="0"/>
              <w:rPr>
                <w:sz w:val="20"/>
                <w:szCs w:val="20"/>
                <w:color w:val="auto"/>
              </w:rPr>
            </w:pPr>
            <w:r>
              <w:rPr>
                <w:rFonts w:ascii="Arial" w:cs="Arial" w:eastAsia="Arial" w:hAnsi="Arial"/>
                <w:sz w:val="18"/>
                <w:szCs w:val="18"/>
                <w:color w:val="auto"/>
                <w:w w:val="93"/>
              </w:rPr>
              <w:t>of incorporation)</w:t>
            </w:r>
          </w:p>
        </w:tc>
        <w:tc>
          <w:tcPr>
            <w:tcW w:w="2260" w:type="dxa"/>
            <w:vAlign w:val="bottom"/>
          </w:tcPr>
          <w:p>
            <w:pPr>
              <w:spacing w:after="0"/>
              <w:rPr>
                <w:sz w:val="23"/>
                <w:szCs w:val="23"/>
                <w:color w:val="auto"/>
              </w:rPr>
            </w:pPr>
          </w:p>
        </w:tc>
        <w:tc>
          <w:tcPr>
            <w:tcW w:w="1820" w:type="dxa"/>
            <w:vAlign w:val="bottom"/>
          </w:tcPr>
          <w:p>
            <w:pPr>
              <w:jc w:val="center"/>
              <w:ind w:left="70"/>
              <w:spacing w:after="0"/>
              <w:rPr>
                <w:sz w:val="20"/>
                <w:szCs w:val="20"/>
                <w:color w:val="auto"/>
              </w:rPr>
            </w:pPr>
            <w:r>
              <w:rPr>
                <w:rFonts w:ascii="Arial" w:cs="Arial" w:eastAsia="Arial" w:hAnsi="Arial"/>
                <w:sz w:val="18"/>
                <w:szCs w:val="18"/>
                <w:color w:val="auto"/>
                <w:w w:val="94"/>
              </w:rPr>
              <w:t>Identification Number)</w:t>
            </w:r>
          </w:p>
        </w:tc>
      </w:tr>
    </w:tbl>
    <w:p>
      <w:pPr>
        <w:spacing w:after="0" w:line="200" w:lineRule="exact"/>
        <w:rPr>
          <w:sz w:val="24"/>
          <w:szCs w:val="24"/>
          <w:color w:val="auto"/>
        </w:rPr>
      </w:pPr>
    </w:p>
    <w:p>
      <w:pPr>
        <w:spacing w:after="0" w:line="308"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711 High Street, Des Moines, Iowa 50392</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(Address of principal executive offices)</w:t>
      </w:r>
    </w:p>
    <w:p>
      <w:pPr>
        <w:spacing w:after="0" w:line="275" w:lineRule="exact"/>
        <w:rPr>
          <w:sz w:val="24"/>
          <w:szCs w:val="24"/>
          <w:color w:val="auto"/>
        </w:rPr>
      </w:pPr>
    </w:p>
    <w:p>
      <w:pPr>
        <w:jc w:val="center"/>
        <w:ind w:right="-119"/>
        <w:spacing w:after="0"/>
        <w:rPr>
          <w:sz w:val="20"/>
          <w:szCs w:val="20"/>
          <w:color w:val="auto"/>
        </w:rPr>
      </w:pPr>
      <w:r>
        <w:rPr>
          <w:rFonts w:ascii="Arial" w:cs="Arial" w:eastAsia="Arial" w:hAnsi="Arial"/>
          <w:sz w:val="18"/>
          <w:szCs w:val="18"/>
          <w:b w:val="1"/>
          <w:bCs w:val="1"/>
          <w:color w:val="auto"/>
        </w:rPr>
        <w:t>(515) 247-5111</w:t>
      </w:r>
    </w:p>
    <w:p>
      <w:pPr>
        <w:spacing w:after="0" w:line="40" w:lineRule="exact"/>
        <w:rPr>
          <w:sz w:val="24"/>
          <w:szCs w:val="24"/>
          <w:color w:val="auto"/>
        </w:rPr>
      </w:pPr>
    </w:p>
    <w:p>
      <w:pPr>
        <w:jc w:val="center"/>
        <w:ind w:right="-119"/>
        <w:spacing w:after="0"/>
        <w:rPr>
          <w:sz w:val="20"/>
          <w:szCs w:val="20"/>
          <w:color w:val="auto"/>
        </w:rPr>
      </w:pPr>
      <w:r>
        <w:rPr>
          <w:rFonts w:ascii="Arial" w:cs="Arial" w:eastAsia="Arial" w:hAnsi="Arial"/>
          <w:sz w:val="18"/>
          <w:szCs w:val="18"/>
          <w:color w:val="auto"/>
        </w:rPr>
        <w:t>(Registrant’s telephone number, including area code)</w:t>
      </w:r>
    </w:p>
    <w:p>
      <w:pPr>
        <w:spacing w:after="0" w:line="279" w:lineRule="exact"/>
        <w:rPr>
          <w:sz w:val="24"/>
          <w:szCs w:val="24"/>
          <w:color w:val="auto"/>
        </w:rPr>
      </w:pPr>
    </w:p>
    <w:p>
      <w:pPr>
        <w:spacing w:after="0" w:line="309"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96" w:lineRule="exact"/>
        <w:rPr>
          <w:sz w:val="24"/>
          <w:szCs w:val="24"/>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Written communications pursuant to Rule 425 under the Securities Act (17 CFR 230.425)</w:t>
      </w:r>
    </w:p>
    <w:p>
      <w:pPr>
        <w:spacing w:after="0" w:line="36" w:lineRule="exact"/>
        <w:rPr>
          <w:rFonts w:ascii="Arial" w:cs="Arial" w:eastAsia="Arial" w:hAnsi="Arial"/>
          <w:sz w:val="18"/>
          <w:szCs w:val="18"/>
          <w:color w:val="auto"/>
        </w:rPr>
      </w:pPr>
    </w:p>
    <w:p>
      <w:pPr>
        <w:ind w:left="120" w:hanging="112"/>
        <w:spacing w:after="0"/>
        <w:tabs>
          <w:tab w:leader="none" w:pos="120" w:val="left"/>
        </w:tabs>
        <w:numPr>
          <w:ilvl w:val="0"/>
          <w:numId w:val="1"/>
        </w:numPr>
        <w:rPr>
          <w:rFonts w:ascii="Arial" w:cs="Arial" w:eastAsia="Arial" w:hAnsi="Arial"/>
          <w:sz w:val="18"/>
          <w:szCs w:val="18"/>
          <w:color w:val="auto"/>
        </w:rPr>
      </w:pPr>
      <w:r>
        <w:rPr>
          <w:rFonts w:ascii="Arial" w:cs="Arial" w:eastAsia="Arial" w:hAnsi="Arial"/>
          <w:sz w:val="18"/>
          <w:szCs w:val="18"/>
          <w:color w:val="auto"/>
        </w:rPr>
        <w:t>]  Soliciting material pursuant to Rule 14a-12 under the Exchange Act (17 CFR 240.14a-12)</w:t>
      </w:r>
    </w:p>
    <w:p>
      <w:pPr>
        <w:spacing w:after="0" w:line="36" w:lineRule="exact"/>
        <w:rPr>
          <w:rFonts w:ascii="Arial" w:cs="Arial" w:eastAsia="Arial" w:hAnsi="Arial"/>
          <w:sz w:val="18"/>
          <w:szCs w:val="18"/>
          <w:color w:val="auto"/>
        </w:rPr>
      </w:pPr>
    </w:p>
    <w:p>
      <w:pPr>
        <w:ind w:left="660" w:right="3920" w:hanging="652"/>
        <w:spacing w:after="0" w:line="281"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14d-2(b) under the Exchange Act (17 CFR 240.14d-2(b))</w:t>
      </w:r>
    </w:p>
    <w:p>
      <w:pPr>
        <w:spacing w:after="0" w:line="1" w:lineRule="exact"/>
        <w:rPr>
          <w:rFonts w:ascii="Arial" w:cs="Arial" w:eastAsia="Arial" w:hAnsi="Arial"/>
          <w:sz w:val="18"/>
          <w:szCs w:val="18"/>
          <w:color w:val="auto"/>
        </w:rPr>
      </w:pPr>
    </w:p>
    <w:p>
      <w:pPr>
        <w:ind w:left="660" w:right="3940" w:hanging="652"/>
        <w:spacing w:after="0" w:line="309" w:lineRule="auto"/>
        <w:tabs>
          <w:tab w:leader="none" w:pos="117" w:val="left"/>
        </w:tabs>
        <w:numPr>
          <w:ilvl w:val="0"/>
          <w:numId w:val="1"/>
        </w:numPr>
        <w:rPr>
          <w:rFonts w:ascii="Arial" w:cs="Arial" w:eastAsia="Arial" w:hAnsi="Arial"/>
          <w:sz w:val="18"/>
          <w:szCs w:val="18"/>
          <w:color w:val="auto"/>
        </w:rPr>
      </w:pPr>
      <w:r>
        <w:rPr>
          <w:rFonts w:ascii="Arial" w:cs="Arial" w:eastAsia="Arial" w:hAnsi="Arial"/>
          <w:sz w:val="18"/>
          <w:szCs w:val="18"/>
          <w:color w:val="auto"/>
        </w:rPr>
        <w:t>] Pre-commencement communications pursuant to Rule 13e-4(c) under the Exchange Act (17 CFR 240.13e-4(c))</w:t>
      </w:r>
    </w:p>
    <w:p>
      <w:pPr>
        <w:spacing w:after="0" w:line="140" w:lineRule="exact"/>
        <w:rPr>
          <w:sz w:val="24"/>
          <w:szCs w:val="24"/>
          <w:color w:val="auto"/>
        </w:rPr>
      </w:pPr>
    </w:p>
    <w:p>
      <w:pPr>
        <w:ind w:left="4820"/>
        <w:spacing w:after="0"/>
        <w:rPr>
          <w:sz w:val="20"/>
          <w:szCs w:val="20"/>
          <w:color w:val="auto"/>
        </w:rPr>
      </w:pPr>
      <w:r>
        <w:rPr>
          <w:rFonts w:ascii="Arial" w:cs="Arial" w:eastAsia="Arial" w:hAnsi="Arial"/>
          <w:sz w:val="20"/>
          <w:szCs w:val="20"/>
          <w:color w:val="auto"/>
        </w:rPr>
        <w:t>__________________</w:t>
      </w:r>
    </w:p>
    <w:p>
      <w:pPr>
        <w:sectPr>
          <w:pgSz w:w="11900" w:h="16838" w:orient="portrait"/>
          <w:cols w:equalWidth="0" w:num="1">
            <w:col w:w="11300"/>
          </w:cols>
          <w:pgMar w:left="240" w:top="747" w:right="359" w:bottom="1440" w:gutter="0" w:footer="0" w:header="0"/>
        </w:sectPr>
      </w:pPr>
    </w:p>
    <w:bookmarkStart w:id="1" w:name="page2"/>
    <w:bookmarkEnd w:id="1"/>
    <w:p>
      <w:pPr>
        <w:spacing w:after="0"/>
        <w:rPr>
          <w:sz w:val="20"/>
          <w:szCs w:val="20"/>
          <w:color w:val="auto"/>
        </w:rPr>
      </w:pPr>
      <w:r>
        <w:rPr>
          <w:rFonts w:ascii="Arial" w:cs="Arial" w:eastAsia="Arial" w:hAnsi="Arial"/>
          <w:sz w:val="22"/>
          <w:szCs w:val="22"/>
          <w:b w:val="1"/>
          <w:bCs w:val="1"/>
          <w:color w:val="auto"/>
        </w:rPr>
        <w:t>Item 2.02. Results of Operations and Financial Condition</w:t>
      </w:r>
    </w:p>
    <w:p>
      <w:pPr>
        <w:spacing w:after="0" w:line="226" w:lineRule="exact"/>
        <w:rPr>
          <w:sz w:val="20"/>
          <w:szCs w:val="20"/>
          <w:color w:val="auto"/>
        </w:rPr>
      </w:pPr>
    </w:p>
    <w:p>
      <w:pPr>
        <w:spacing w:after="0" w:line="287" w:lineRule="auto"/>
        <w:rPr>
          <w:sz w:val="20"/>
          <w:szCs w:val="20"/>
          <w:color w:val="auto"/>
        </w:rPr>
      </w:pPr>
      <w:r>
        <w:rPr>
          <w:rFonts w:ascii="Arial" w:cs="Arial" w:eastAsia="Arial" w:hAnsi="Arial"/>
          <w:sz w:val="21"/>
          <w:szCs w:val="21"/>
          <w:color w:val="auto"/>
        </w:rPr>
        <w:t>On April 27, 2017, Principal Financial Group, Inc. publicly announced information regarding its results of operations and financial condition for the quarter ended March 31, 2017. The text of the announcement is included herewith as Exhibit 99.</w:t>
      </w:r>
    </w:p>
    <w:p>
      <w:pPr>
        <w:spacing w:after="0" w:line="14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9.01 Financial Statements and Exhibits</w:t>
      </w:r>
    </w:p>
    <w:p>
      <w:pPr>
        <w:spacing w:after="0" w:line="266" w:lineRule="exact"/>
        <w:rPr>
          <w:sz w:val="20"/>
          <w:szCs w:val="20"/>
          <w:color w:val="auto"/>
        </w:rPr>
      </w:pPr>
    </w:p>
    <w:p>
      <w:pPr>
        <w:spacing w:after="0"/>
        <w:tabs>
          <w:tab w:leader="none" w:pos="460" w:val="left"/>
        </w:tabs>
        <w:rPr>
          <w:sz w:val="20"/>
          <w:szCs w:val="20"/>
          <w:color w:val="auto"/>
        </w:rPr>
      </w:pPr>
      <w:r>
        <w:rPr>
          <w:rFonts w:ascii="Arial" w:cs="Arial" w:eastAsia="Arial" w:hAnsi="Arial"/>
          <w:sz w:val="22"/>
          <w:szCs w:val="22"/>
          <w:color w:val="auto"/>
        </w:rPr>
        <w:t>(d)</w:t>
        <w:tab/>
        <w:t>Exhibits</w:t>
      </w:r>
    </w:p>
    <w:p>
      <w:pPr>
        <w:sectPr>
          <w:pgSz w:w="11900" w:h="16838" w:orient="portrait"/>
          <w:cols w:equalWidth="0" w:num="1">
            <w:col w:w="11340"/>
          </w:cols>
          <w:pgMar w:left="240" w:top="585" w:right="319" w:bottom="1440" w:gutter="0" w:footer="0" w:header="0"/>
        </w:sectPr>
      </w:pPr>
    </w:p>
    <w:p>
      <w:pPr>
        <w:spacing w:after="0" w:line="200" w:lineRule="exact"/>
        <w:rPr>
          <w:sz w:val="20"/>
          <w:szCs w:val="20"/>
          <w:color w:val="auto"/>
        </w:rPr>
      </w:pPr>
    </w:p>
    <w:p>
      <w:pPr>
        <w:spacing w:after="0" w:line="203" w:lineRule="exact"/>
        <w:rPr>
          <w:sz w:val="20"/>
          <w:szCs w:val="20"/>
          <w:color w:val="auto"/>
        </w:rPr>
      </w:pPr>
    </w:p>
    <w:p>
      <w:pPr>
        <w:ind w:left="40"/>
        <w:spacing w:after="0"/>
        <w:rPr>
          <w:sz w:val="20"/>
          <w:szCs w:val="20"/>
          <w:color w:val="auto"/>
        </w:rPr>
      </w:pPr>
      <w:r>
        <w:rPr>
          <w:rFonts w:ascii="Arial" w:cs="Arial" w:eastAsia="Arial" w:hAnsi="Arial"/>
          <w:sz w:val="19"/>
          <w:szCs w:val="19"/>
          <w:b w:val="1"/>
          <w:bCs w:val="1"/>
          <w:color w:val="auto"/>
        </w:rPr>
        <w:t>Exhibit No.</w:t>
      </w:r>
    </w:p>
    <w:p>
      <w:pPr>
        <w:spacing w:after="0" w:line="20" w:lineRule="exact"/>
        <w:rPr>
          <w:sz w:val="20"/>
          <w:szCs w:val="20"/>
          <w:color w:val="auto"/>
        </w:rPr>
      </w:pPr>
      <w:r>
        <w:rPr>
          <w:sz w:val="20"/>
          <w:szCs w:val="20"/>
          <w:color w:val="auto"/>
        </w:rPr>
        <w:br w:type="column"/>
      </w:r>
    </w:p>
    <w:p>
      <w:pPr>
        <w:spacing w:after="0" w:line="383"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Description</w:t>
      </w:r>
    </w:p>
    <w:p>
      <w:pPr>
        <w:spacing w:after="0" w:line="200" w:lineRule="exact"/>
        <w:rPr>
          <w:sz w:val="20"/>
          <w:szCs w:val="20"/>
          <w:color w:val="auto"/>
        </w:rPr>
      </w:pPr>
    </w:p>
    <w:p>
      <w:pPr>
        <w:sectPr>
          <w:pgSz w:w="11900" w:h="16838" w:orient="portrait"/>
          <w:cols w:equalWidth="0" w:num="2">
            <w:col w:w="1600" w:space="720"/>
            <w:col w:w="9020"/>
          </w:cols>
          <w:pgMar w:left="240" w:top="585" w:right="319" w:bottom="1440" w:gutter="0" w:footer="0" w:header="0"/>
          <w:type w:val="continuous"/>
        </w:sectPr>
      </w:pPr>
    </w:p>
    <w:p>
      <w:pPr>
        <w:spacing w:after="0" w:line="209" w:lineRule="exact"/>
        <w:rPr>
          <w:sz w:val="20"/>
          <w:szCs w:val="20"/>
          <w:color w:val="auto"/>
        </w:rPr>
      </w:pPr>
    </w:p>
    <w:p>
      <w:pPr>
        <w:ind w:left="40"/>
        <w:spacing w:after="0"/>
        <w:rPr>
          <w:sz w:val="20"/>
          <w:szCs w:val="20"/>
          <w:color w:val="auto"/>
        </w:rPr>
      </w:pPr>
      <w:r>
        <w:rPr>
          <w:rFonts w:ascii="Arial" w:cs="Arial" w:eastAsia="Arial" w:hAnsi="Arial"/>
          <w:sz w:val="19"/>
          <w:szCs w:val="19"/>
          <w:color w:val="auto"/>
        </w:rPr>
        <w:t>99</w:t>
      </w:r>
    </w:p>
    <w:p>
      <w:pPr>
        <w:spacing w:after="0" w:line="20" w:lineRule="exact"/>
        <w:rPr>
          <w:sz w:val="20"/>
          <w:szCs w:val="20"/>
          <w:color w:val="auto"/>
        </w:rPr>
      </w:pPr>
      <w:r>
        <w:rPr>
          <w:sz w:val="20"/>
          <w:szCs w:val="20"/>
          <w:color w:val="auto"/>
        </w:rPr>
        <w:br w:type="column"/>
      </w:r>
    </w:p>
    <w:p>
      <w:pPr>
        <w:spacing w:after="0" w:line="189" w:lineRule="exact"/>
        <w:rPr>
          <w:sz w:val="20"/>
          <w:szCs w:val="20"/>
          <w:color w:val="auto"/>
        </w:rPr>
      </w:pPr>
    </w:p>
    <w:p>
      <w:pPr>
        <w:spacing w:after="0"/>
        <w:rPr>
          <w:sz w:val="20"/>
          <w:szCs w:val="20"/>
          <w:color w:val="auto"/>
        </w:rPr>
      </w:pPr>
      <w:r>
        <w:rPr>
          <w:rFonts w:ascii="Arial" w:cs="Arial" w:eastAsia="Arial" w:hAnsi="Arial"/>
          <w:sz w:val="19"/>
          <w:szCs w:val="19"/>
          <w:color w:val="auto"/>
        </w:rPr>
        <w:t>First Quarter 2017 Earnings Release</w:t>
      </w:r>
    </w:p>
    <w:p>
      <w:pPr>
        <w:spacing w:after="0" w:line="200" w:lineRule="exact"/>
        <w:rPr>
          <w:sz w:val="20"/>
          <w:szCs w:val="20"/>
          <w:color w:val="auto"/>
        </w:rPr>
      </w:pPr>
    </w:p>
    <w:p>
      <w:pPr>
        <w:sectPr>
          <w:pgSz w:w="11900" w:h="16838" w:orient="portrait"/>
          <w:cols w:equalWidth="0" w:num="2">
            <w:col w:w="1600" w:space="720"/>
            <w:col w:w="9020"/>
          </w:cols>
          <w:pgMar w:left="240" w:top="585" w:right="319" w:bottom="1440" w:gutter="0" w:footer="0" w:header="0"/>
          <w:type w:val="continuous"/>
        </w:sectPr>
      </w:pPr>
    </w:p>
    <w:p>
      <w:pPr>
        <w:spacing w:after="0" w:line="200" w:lineRule="exact"/>
        <w:rPr>
          <w:sz w:val="20"/>
          <w:szCs w:val="20"/>
          <w:color w:val="auto"/>
        </w:rPr>
      </w:pPr>
    </w:p>
    <w:p>
      <w:pPr>
        <w:spacing w:after="0" w:line="313" w:lineRule="exact"/>
        <w:rPr>
          <w:sz w:val="20"/>
          <w:szCs w:val="20"/>
          <w:color w:val="auto"/>
        </w:rPr>
      </w:pPr>
    </w:p>
    <w:p>
      <w:pPr>
        <w:jc w:val="center"/>
        <w:ind w:right="-79"/>
        <w:spacing w:after="0"/>
        <w:rPr>
          <w:sz w:val="20"/>
          <w:szCs w:val="20"/>
          <w:color w:val="auto"/>
        </w:rPr>
      </w:pPr>
      <w:r>
        <w:rPr>
          <w:rFonts w:ascii="Arial" w:cs="Arial" w:eastAsia="Arial" w:hAnsi="Arial"/>
          <w:sz w:val="22"/>
          <w:szCs w:val="22"/>
          <w:color w:val="auto"/>
        </w:rPr>
        <w:t>SIGNATURE</w:t>
      </w:r>
    </w:p>
    <w:p>
      <w:pPr>
        <w:spacing w:after="0" w:line="260" w:lineRule="exact"/>
        <w:rPr>
          <w:sz w:val="20"/>
          <w:szCs w:val="20"/>
          <w:color w:val="auto"/>
        </w:rPr>
      </w:pPr>
    </w:p>
    <w:p>
      <w:pPr>
        <w:ind w:right="180"/>
        <w:spacing w:after="0" w:line="263"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00" w:lineRule="exact"/>
        <w:rPr>
          <w:sz w:val="20"/>
          <w:szCs w:val="20"/>
          <w:color w:val="auto"/>
        </w:rPr>
      </w:pPr>
    </w:p>
    <w:p>
      <w:pPr>
        <w:spacing w:after="0" w:line="231" w:lineRule="exact"/>
        <w:rPr>
          <w:sz w:val="20"/>
          <w:szCs w:val="20"/>
          <w:color w:val="auto"/>
        </w:rPr>
      </w:pPr>
    </w:p>
    <w:p>
      <w:pPr>
        <w:ind w:left="4380"/>
        <w:spacing w:after="0"/>
        <w:rPr>
          <w:sz w:val="20"/>
          <w:szCs w:val="20"/>
          <w:color w:val="auto"/>
        </w:rPr>
      </w:pPr>
      <w:r>
        <w:rPr>
          <w:rFonts w:ascii="Arial" w:cs="Arial" w:eastAsia="Arial" w:hAnsi="Arial"/>
          <w:sz w:val="22"/>
          <w:szCs w:val="22"/>
          <w:color w:val="auto"/>
        </w:rPr>
        <w:t>PRINCIPAL FINANCIAL GROUP, INC.</w:t>
      </w:r>
    </w:p>
    <w:p>
      <w:pPr>
        <w:spacing w:after="0" w:line="368" w:lineRule="exact"/>
        <w:rPr>
          <w:sz w:val="20"/>
          <w:szCs w:val="20"/>
          <w:color w:val="auto"/>
        </w:rPr>
      </w:pPr>
    </w:p>
    <w:p>
      <w:pPr>
        <w:ind w:left="4380"/>
        <w:spacing w:after="0"/>
        <w:rPr>
          <w:sz w:val="20"/>
          <w:szCs w:val="20"/>
          <w:color w:val="auto"/>
        </w:rPr>
      </w:pPr>
      <w:r>
        <w:rPr>
          <w:rFonts w:ascii="Arial" w:cs="Arial" w:eastAsia="Arial" w:hAnsi="Arial"/>
          <w:sz w:val="22"/>
          <w:szCs w:val="22"/>
          <w:color w:val="auto"/>
        </w:rPr>
        <w:t>By: /s/ Deanna D. Strable-Soethout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2766695</wp:posOffset>
            </wp:positionH>
            <wp:positionV relativeFrom="paragraph">
              <wp:posOffset>24765</wp:posOffset>
            </wp:positionV>
            <wp:extent cx="4485005"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485005" cy="8890"/>
                    </a:xfrm>
                    <a:prstGeom prst="rect">
                      <a:avLst/>
                    </a:prstGeom>
                    <a:noFill/>
                  </pic:spPr>
                </pic:pic>
              </a:graphicData>
            </a:graphic>
          </wp:anchor>
        </w:drawing>
      </w:r>
    </w:p>
    <w:p>
      <w:pPr>
        <w:spacing w:after="0" w:line="38" w:lineRule="exact"/>
        <w:rPr>
          <w:sz w:val="20"/>
          <w:szCs w:val="20"/>
          <w:color w:val="auto"/>
        </w:rPr>
      </w:pPr>
    </w:p>
    <w:p>
      <w:pPr>
        <w:ind w:left="4380"/>
        <w:spacing w:after="0"/>
        <w:tabs>
          <w:tab w:leader="none" w:pos="5160" w:val="left"/>
        </w:tabs>
        <w:rPr>
          <w:sz w:val="20"/>
          <w:szCs w:val="20"/>
          <w:color w:val="auto"/>
        </w:rPr>
      </w:pPr>
      <w:r>
        <w:rPr>
          <w:rFonts w:ascii="Arial" w:cs="Arial" w:eastAsia="Arial" w:hAnsi="Arial"/>
          <w:sz w:val="22"/>
          <w:szCs w:val="22"/>
          <w:color w:val="auto"/>
        </w:rPr>
        <w:t>Name:</w:t>
        <w:tab/>
        <w:t>Deanna D. Strable-Soethout</w:t>
      </w:r>
    </w:p>
    <w:p>
      <w:pPr>
        <w:spacing w:after="0" w:line="44" w:lineRule="exact"/>
        <w:rPr>
          <w:sz w:val="20"/>
          <w:szCs w:val="20"/>
          <w:color w:val="auto"/>
        </w:rPr>
      </w:pPr>
    </w:p>
    <w:p>
      <w:pPr>
        <w:ind w:left="4380"/>
        <w:spacing w:after="0"/>
        <w:rPr>
          <w:sz w:val="20"/>
          <w:szCs w:val="20"/>
          <w:color w:val="auto"/>
        </w:rPr>
      </w:pPr>
      <w:r>
        <w:rPr>
          <w:rFonts w:ascii="Arial" w:cs="Arial" w:eastAsia="Arial" w:hAnsi="Arial"/>
          <w:sz w:val="22"/>
          <w:szCs w:val="22"/>
          <w:color w:val="auto"/>
        </w:rPr>
        <w:t>Title: Executive Vice President and Chief Financial Officer</w:t>
      </w:r>
    </w:p>
    <w:p>
      <w:pPr>
        <w:spacing w:after="0" w:line="368" w:lineRule="exact"/>
        <w:rPr>
          <w:sz w:val="20"/>
          <w:szCs w:val="20"/>
          <w:color w:val="auto"/>
        </w:rPr>
      </w:pPr>
    </w:p>
    <w:p>
      <w:pPr>
        <w:ind w:left="40"/>
        <w:spacing w:after="0"/>
        <w:rPr>
          <w:sz w:val="20"/>
          <w:szCs w:val="20"/>
          <w:color w:val="auto"/>
        </w:rPr>
      </w:pPr>
      <w:r>
        <w:rPr>
          <w:rFonts w:ascii="Arial" w:cs="Arial" w:eastAsia="Arial" w:hAnsi="Arial"/>
          <w:sz w:val="22"/>
          <w:szCs w:val="22"/>
          <w:color w:val="auto"/>
        </w:rPr>
        <w:t>Date: April 27, 2017</w:t>
      </w:r>
    </w:p>
    <w:p>
      <w:pPr>
        <w:sectPr>
          <w:pgSz w:w="11900" w:h="16838" w:orient="portrait"/>
          <w:cols w:equalWidth="0" w:num="1">
            <w:col w:w="11340"/>
          </w:cols>
          <w:pgMar w:left="240" w:top="585" w:right="319" w:bottom="1440" w:gutter="0" w:footer="0" w:header="0"/>
          <w:type w:val="continuous"/>
        </w:sectPr>
      </w:pPr>
    </w:p>
    <w:bookmarkStart w:id="2" w:name="page3"/>
    <w:bookmarkEnd w:id="2"/>
    <w:p>
      <w:pPr>
        <w:jc w:val="right"/>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5397500</wp:posOffset>
            </wp:positionH>
            <wp:positionV relativeFrom="page">
              <wp:posOffset>88900</wp:posOffset>
            </wp:positionV>
            <wp:extent cx="2006600" cy="5918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2006600" cy="591820"/>
                    </a:xfrm>
                    <a:prstGeom prst="rect">
                      <a:avLst/>
                    </a:prstGeom>
                    <a:noFill/>
                  </pic:spPr>
                </pic:pic>
              </a:graphicData>
            </a:graphic>
          </wp:anchor>
        </w:drawing>
        <w:t>EXHIBIT 99</w:t>
      </w:r>
    </w:p>
    <w:p>
      <w:pPr>
        <w:spacing w:after="0" w:line="23" w:lineRule="exact"/>
        <w:rPr>
          <w:sz w:val="20"/>
          <w:szCs w:val="20"/>
          <w:color w:val="auto"/>
        </w:rPr>
      </w:pPr>
    </w:p>
    <w:p>
      <w:pPr>
        <w:spacing w:after="0"/>
        <w:tabs>
          <w:tab w:leader="none" w:pos="1480" w:val="left"/>
        </w:tabs>
        <w:rPr>
          <w:sz w:val="20"/>
          <w:szCs w:val="20"/>
          <w:color w:val="auto"/>
        </w:rPr>
      </w:pPr>
      <w:r>
        <w:rPr>
          <w:rFonts w:ascii="Arial" w:cs="Arial" w:eastAsia="Arial" w:hAnsi="Arial"/>
          <w:sz w:val="20"/>
          <w:szCs w:val="20"/>
          <w:color w:val="auto"/>
        </w:rPr>
        <w:t>Release:</w:t>
      </w:r>
      <w:r>
        <w:rPr>
          <w:sz w:val="20"/>
          <w:szCs w:val="20"/>
          <w:color w:val="auto"/>
        </w:rPr>
        <w:tab/>
      </w:r>
      <w:r>
        <w:rPr>
          <w:rFonts w:ascii="Arial" w:cs="Arial" w:eastAsia="Arial" w:hAnsi="Arial"/>
          <w:sz w:val="20"/>
          <w:szCs w:val="20"/>
          <w:color w:val="auto"/>
        </w:rPr>
        <w:t>On receipt, April 27, 2017</w:t>
      </w:r>
    </w:p>
    <w:p>
      <w:pPr>
        <w:spacing w:after="0"/>
        <w:tabs>
          <w:tab w:leader="none" w:pos="1540" w:val="left"/>
        </w:tabs>
        <w:rPr>
          <w:sz w:val="20"/>
          <w:szCs w:val="20"/>
          <w:color w:val="auto"/>
        </w:rPr>
      </w:pPr>
      <w:r>
        <w:rPr>
          <w:rFonts w:ascii="Arial" w:cs="Arial" w:eastAsia="Arial" w:hAnsi="Arial"/>
          <w:sz w:val="20"/>
          <w:szCs w:val="20"/>
          <w:color w:val="auto"/>
        </w:rPr>
        <w:t>Media Contact:</w:t>
      </w:r>
      <w:r>
        <w:rPr>
          <w:sz w:val="20"/>
          <w:szCs w:val="20"/>
          <w:color w:val="auto"/>
        </w:rPr>
        <w:tab/>
      </w:r>
      <w:r>
        <w:rPr>
          <w:rFonts w:ascii="Arial" w:cs="Arial" w:eastAsia="Arial" w:hAnsi="Arial"/>
          <w:sz w:val="19"/>
          <w:szCs w:val="19"/>
          <w:color w:val="auto"/>
        </w:rPr>
        <w:t>Erica Jensen, 515-362-0049, jensen.erica@principal.com</w:t>
      </w:r>
    </w:p>
    <w:p>
      <w:pPr>
        <w:spacing w:after="0"/>
        <w:tabs>
          <w:tab w:leader="none" w:pos="1700" w:val="left"/>
        </w:tabs>
        <w:rPr>
          <w:sz w:val="20"/>
          <w:szCs w:val="20"/>
          <w:color w:val="auto"/>
        </w:rPr>
      </w:pPr>
      <w:r>
        <w:rPr>
          <w:rFonts w:ascii="Arial" w:cs="Arial" w:eastAsia="Arial" w:hAnsi="Arial"/>
          <w:sz w:val="20"/>
          <w:szCs w:val="20"/>
          <w:color w:val="auto"/>
        </w:rPr>
        <w:t>Investor Contact:</w:t>
      </w:r>
      <w:r>
        <w:rPr>
          <w:sz w:val="20"/>
          <w:szCs w:val="20"/>
          <w:color w:val="auto"/>
        </w:rPr>
        <w:tab/>
      </w:r>
      <w:r>
        <w:rPr>
          <w:rFonts w:ascii="Arial" w:cs="Arial" w:eastAsia="Arial" w:hAnsi="Arial"/>
          <w:sz w:val="19"/>
          <w:szCs w:val="19"/>
          <w:color w:val="auto"/>
        </w:rPr>
        <w:t>John Egan, 515-235-9500, egan.john@principal.com</w:t>
      </w:r>
    </w:p>
    <w:p>
      <w:pPr>
        <w:spacing w:after="0" w:line="202"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Principal</w:t>
      </w:r>
      <w:r>
        <w:rPr>
          <w:rFonts w:ascii="Arial" w:cs="Arial" w:eastAsia="Arial" w:hAnsi="Arial"/>
          <w:sz w:val="28"/>
          <w:szCs w:val="28"/>
          <w:b w:val="1"/>
          <w:bCs w:val="1"/>
          <w:color w:val="auto"/>
          <w:vertAlign w:val="superscript"/>
        </w:rPr>
        <w:t>®</w:t>
      </w:r>
      <w:r>
        <w:rPr>
          <w:rFonts w:ascii="Arial" w:cs="Arial" w:eastAsia="Arial" w:hAnsi="Arial"/>
          <w:sz w:val="25"/>
          <w:szCs w:val="25"/>
          <w:b w:val="1"/>
          <w:bCs w:val="1"/>
          <w:color w:val="auto"/>
        </w:rPr>
        <w:t xml:space="preserve"> Announces First Quarter 2017 Results</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Company Also Announces Increase to Common Stock Dividend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107950</wp:posOffset>
            </wp:positionH>
            <wp:positionV relativeFrom="paragraph">
              <wp:posOffset>83820</wp:posOffset>
            </wp:positionV>
            <wp:extent cx="7049135" cy="11322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049135" cy="1132205"/>
                    </a:xfrm>
                    <a:prstGeom prst="rect">
                      <a:avLst/>
                    </a:prstGeom>
                    <a:noFill/>
                  </pic:spPr>
                </pic:pic>
              </a:graphicData>
            </a:graphic>
          </wp:anchor>
        </w:drawing>
      </w:r>
    </w:p>
    <w:p>
      <w:pPr>
        <w:spacing w:after="0" w:line="133"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Company Highlights</w:t>
      </w:r>
    </w:p>
    <w:p>
      <w:pPr>
        <w:spacing w:after="0" w:line="100" w:lineRule="exact"/>
        <w:rPr>
          <w:sz w:val="20"/>
          <w:szCs w:val="20"/>
          <w:color w:val="auto"/>
        </w:rPr>
      </w:pPr>
    </w:p>
    <w:p>
      <w:pPr>
        <w:ind w:left="480" w:hanging="107"/>
        <w:spacing w:after="0"/>
        <w:tabs>
          <w:tab w:leader="none" w:pos="48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First quarter 2017 net income available to common stockholders of $348.9 million, or $1.19 per diluted share</w:t>
      </w:r>
    </w:p>
    <w:p>
      <w:pPr>
        <w:spacing w:after="0" w:line="49" w:lineRule="exact"/>
        <w:rPr>
          <w:rFonts w:ascii="Arial" w:cs="Arial" w:eastAsia="Arial" w:hAnsi="Arial"/>
          <w:sz w:val="18"/>
          <w:szCs w:val="18"/>
          <w:b w:val="1"/>
          <w:bCs w:val="1"/>
          <w:color w:val="auto"/>
        </w:rPr>
      </w:pPr>
    </w:p>
    <w:p>
      <w:pPr>
        <w:ind w:left="480" w:hanging="107"/>
        <w:spacing w:after="0"/>
        <w:tabs>
          <w:tab w:leader="none" w:pos="480"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First quarter 2017 operating earnings</w:t>
      </w:r>
      <w:r>
        <w:rPr>
          <w:rFonts w:ascii="Arial" w:cs="Arial" w:eastAsia="Arial" w:hAnsi="Arial"/>
          <w:sz w:val="21"/>
          <w:szCs w:val="21"/>
          <w:b w:val="1"/>
          <w:bCs w:val="1"/>
          <w:color w:val="auto"/>
          <w:vertAlign w:val="superscript"/>
        </w:rPr>
        <w:t>1</w:t>
      </w:r>
      <w:r>
        <w:rPr>
          <w:rFonts w:ascii="Arial" w:cs="Arial" w:eastAsia="Arial" w:hAnsi="Arial"/>
          <w:sz w:val="18"/>
          <w:szCs w:val="18"/>
          <w:b w:val="1"/>
          <w:bCs w:val="1"/>
          <w:color w:val="auto"/>
        </w:rPr>
        <w:t xml:space="preserve"> of $370.5 million, or $1.27 per diluted share</w:t>
      </w:r>
    </w:p>
    <w:p>
      <w:pPr>
        <w:spacing w:after="0" w:line="37" w:lineRule="exact"/>
        <w:rPr>
          <w:rFonts w:ascii="Arial" w:cs="Arial" w:eastAsia="Arial" w:hAnsi="Arial"/>
          <w:sz w:val="18"/>
          <w:szCs w:val="18"/>
          <w:b w:val="1"/>
          <w:bCs w:val="1"/>
          <w:color w:val="auto"/>
        </w:rPr>
      </w:pPr>
    </w:p>
    <w:p>
      <w:pPr>
        <w:ind w:left="700" w:right="560" w:hanging="327"/>
        <w:spacing w:after="0" w:line="246" w:lineRule="auto"/>
        <w:tabs>
          <w:tab w:leader="none" w:pos="489"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Record assets under management (AUM) of $619.7 billion, up 13 percent on a trailing twelve month basis, reflecting $19.8 billion in net cash flows and strong investment performance</w:t>
      </w:r>
    </w:p>
    <w:p>
      <w:pPr>
        <w:spacing w:after="0" w:line="12" w:lineRule="exact"/>
        <w:rPr>
          <w:rFonts w:ascii="Arial" w:cs="Arial" w:eastAsia="Arial" w:hAnsi="Arial"/>
          <w:sz w:val="18"/>
          <w:szCs w:val="18"/>
          <w:b w:val="1"/>
          <w:bCs w:val="1"/>
          <w:color w:val="auto"/>
        </w:rPr>
      </w:pPr>
    </w:p>
    <w:p>
      <w:pPr>
        <w:ind w:left="700" w:right="360" w:hanging="327"/>
        <w:spacing w:after="0" w:line="271" w:lineRule="auto"/>
        <w:tabs>
          <w:tab w:leader="none" w:pos="489" w:val="left"/>
        </w:tabs>
        <w:numPr>
          <w:ilvl w:val="0"/>
          <w:numId w:val="2"/>
        </w:numPr>
        <w:rPr>
          <w:rFonts w:ascii="Arial" w:cs="Arial" w:eastAsia="Arial" w:hAnsi="Arial"/>
          <w:sz w:val="18"/>
          <w:szCs w:val="18"/>
          <w:b w:val="1"/>
          <w:bCs w:val="1"/>
          <w:color w:val="auto"/>
        </w:rPr>
      </w:pPr>
      <w:r>
        <w:rPr>
          <w:rFonts w:ascii="Arial" w:cs="Arial" w:eastAsia="Arial" w:hAnsi="Arial"/>
          <w:sz w:val="18"/>
          <w:szCs w:val="18"/>
          <w:b w:val="1"/>
          <w:bCs w:val="1"/>
          <w:color w:val="auto"/>
        </w:rPr>
        <w:t>Company declares second quarter 2017 common stock dividend of $0.46 per share; an 18 percent increase over the second quarter 2016 common stock dividend</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color w:val="auto"/>
        </w:rPr>
        <w:t>(Des Moines, Iowa) - Principal Financial Group</w:t>
      </w:r>
      <w:r>
        <w:rPr>
          <w:rFonts w:ascii="Arial" w:cs="Arial" w:eastAsia="Arial" w:hAnsi="Arial"/>
          <w:sz w:val="21"/>
          <w:szCs w:val="21"/>
          <w:b w:val="1"/>
          <w:bCs w:val="1"/>
          <w:color w:val="auto"/>
          <w:vertAlign w:val="superscript"/>
        </w:rPr>
        <w:t>®</w:t>
      </w:r>
      <w:r>
        <w:rPr>
          <w:rFonts w:ascii="Arial" w:cs="Arial" w:eastAsia="Arial" w:hAnsi="Arial"/>
          <w:sz w:val="18"/>
          <w:szCs w:val="18"/>
          <w:color w:val="auto"/>
        </w:rPr>
        <w:t xml:space="preserve"> (NYSE: PFG) today announced results for first quarter 2017.</w:t>
      </w:r>
    </w:p>
    <w:p>
      <w:pPr>
        <w:spacing w:after="0" w:line="70" w:lineRule="exact"/>
        <w:rPr>
          <w:sz w:val="20"/>
          <w:szCs w:val="20"/>
          <w:color w:val="auto"/>
        </w:rPr>
      </w:pPr>
    </w:p>
    <w:p>
      <w:pPr>
        <w:ind w:left="820" w:right="180" w:hanging="326"/>
        <w:spacing w:after="0" w:line="255" w:lineRule="auto"/>
        <w:tabs>
          <w:tab w:leader="none" w:pos="820" w:val="left"/>
        </w:tabs>
        <w:numPr>
          <w:ilvl w:val="0"/>
          <w:numId w:val="3"/>
        </w:numPr>
        <w:rPr>
          <w:rFonts w:ascii="Arial" w:cs="Arial" w:eastAsia="Arial" w:hAnsi="Arial"/>
          <w:sz w:val="18"/>
          <w:szCs w:val="18"/>
          <w:color w:val="auto"/>
        </w:rPr>
      </w:pPr>
      <w:r>
        <w:rPr>
          <w:rFonts w:ascii="Arial" w:cs="Arial" w:eastAsia="Arial" w:hAnsi="Arial"/>
          <w:sz w:val="20"/>
          <w:szCs w:val="20"/>
          <w:b w:val="1"/>
          <w:bCs w:val="1"/>
          <w:color w:val="auto"/>
        </w:rPr>
        <w:t>Net income available to common stockholders for first quarter 2017 of $348.9 million</w:t>
      </w:r>
      <w:r>
        <w:rPr>
          <w:rFonts w:ascii="Arial" w:cs="Arial" w:eastAsia="Arial" w:hAnsi="Arial"/>
          <w:sz w:val="20"/>
          <w:szCs w:val="20"/>
          <w:color w:val="auto"/>
        </w:rPr>
        <w:t>, compared to $368.0 million</w:t>
      </w:r>
      <w:r>
        <w:rPr>
          <w:rFonts w:ascii="Arial" w:cs="Arial" w:eastAsia="Arial" w:hAnsi="Arial"/>
          <w:sz w:val="20"/>
          <w:szCs w:val="20"/>
          <w:b w:val="1"/>
          <w:bCs w:val="1"/>
          <w:color w:val="auto"/>
        </w:rPr>
        <w:t xml:space="preserve"> </w:t>
      </w:r>
      <w:r>
        <w:rPr>
          <w:rFonts w:ascii="Arial" w:cs="Arial" w:eastAsia="Arial" w:hAnsi="Arial"/>
          <w:sz w:val="20"/>
          <w:szCs w:val="20"/>
          <w:color w:val="auto"/>
        </w:rPr>
        <w:t>for first quarter 2016. Net income per diluted share of $1.19 for first quarter 2017 was down 5 percent, compared to $1.25 in prior year quarter, which had favorable derivative marks driven by interest rate volatility.</w:t>
      </w:r>
    </w:p>
    <w:p>
      <w:pPr>
        <w:spacing w:after="0" w:line="185" w:lineRule="exact"/>
        <w:rPr>
          <w:rFonts w:ascii="Arial" w:cs="Arial" w:eastAsia="Arial" w:hAnsi="Arial"/>
          <w:sz w:val="18"/>
          <w:szCs w:val="18"/>
          <w:color w:val="auto"/>
        </w:rPr>
      </w:pPr>
    </w:p>
    <w:p>
      <w:pPr>
        <w:jc w:val="both"/>
        <w:ind w:left="820" w:right="40" w:hanging="326"/>
        <w:spacing w:after="0" w:line="255" w:lineRule="auto"/>
        <w:tabs>
          <w:tab w:leader="none" w:pos="820" w:val="left"/>
        </w:tabs>
        <w:numPr>
          <w:ilvl w:val="0"/>
          <w:numId w:val="3"/>
        </w:numPr>
        <w:rPr>
          <w:rFonts w:ascii="Arial" w:cs="Arial" w:eastAsia="Arial" w:hAnsi="Arial"/>
          <w:sz w:val="18"/>
          <w:szCs w:val="18"/>
          <w:color w:val="auto"/>
        </w:rPr>
      </w:pPr>
      <w:r>
        <w:rPr>
          <w:rFonts w:ascii="Arial" w:cs="Arial" w:eastAsia="Arial" w:hAnsi="Arial"/>
          <w:sz w:val="20"/>
          <w:szCs w:val="20"/>
          <w:b w:val="1"/>
          <w:bCs w:val="1"/>
          <w:color w:val="auto"/>
        </w:rPr>
        <w:t xml:space="preserve">Operating earnings increased 29 percent to $370.5 million for first quarter 2017, </w:t>
      </w:r>
      <w:r>
        <w:rPr>
          <w:rFonts w:ascii="Arial" w:cs="Arial" w:eastAsia="Arial" w:hAnsi="Arial"/>
          <w:sz w:val="20"/>
          <w:szCs w:val="20"/>
          <w:color w:val="auto"/>
        </w:rPr>
        <w:t>compared to $286.3 million for first</w:t>
      </w:r>
      <w:r>
        <w:rPr>
          <w:rFonts w:ascii="Arial" w:cs="Arial" w:eastAsia="Arial" w:hAnsi="Arial"/>
          <w:sz w:val="20"/>
          <w:szCs w:val="20"/>
          <w:b w:val="1"/>
          <w:bCs w:val="1"/>
          <w:color w:val="auto"/>
        </w:rPr>
        <w:t xml:space="preserve"> </w:t>
      </w:r>
      <w:r>
        <w:rPr>
          <w:rFonts w:ascii="Arial" w:cs="Arial" w:eastAsia="Arial" w:hAnsi="Arial"/>
          <w:sz w:val="20"/>
          <w:szCs w:val="20"/>
          <w:color w:val="auto"/>
        </w:rPr>
        <w:t>quarter 2016. Operating earnings per diluted share (EPS) of $1.27 for first quarter 2017 was up 31 percent, compared to $0.97 for first quarter 2016.</w:t>
      </w:r>
    </w:p>
    <w:p>
      <w:pPr>
        <w:spacing w:after="0" w:line="185" w:lineRule="exact"/>
        <w:rPr>
          <w:rFonts w:ascii="Arial" w:cs="Arial" w:eastAsia="Arial" w:hAnsi="Arial"/>
          <w:sz w:val="18"/>
          <w:szCs w:val="18"/>
          <w:color w:val="auto"/>
        </w:rPr>
      </w:pPr>
    </w:p>
    <w:p>
      <w:pPr>
        <w:ind w:left="820" w:right="20" w:hanging="326"/>
        <w:spacing w:after="0" w:line="250" w:lineRule="auto"/>
        <w:tabs>
          <w:tab w:leader="none" w:pos="820" w:val="left"/>
        </w:tabs>
        <w:numPr>
          <w:ilvl w:val="0"/>
          <w:numId w:val="3"/>
        </w:numPr>
        <w:rPr>
          <w:rFonts w:ascii="Arial" w:cs="Arial" w:eastAsia="Arial" w:hAnsi="Arial"/>
          <w:sz w:val="18"/>
          <w:szCs w:val="18"/>
          <w:color w:val="auto"/>
        </w:rPr>
      </w:pPr>
      <w:r>
        <w:rPr>
          <w:rFonts w:ascii="Arial" w:cs="Arial" w:eastAsia="Arial" w:hAnsi="Arial"/>
          <w:sz w:val="20"/>
          <w:szCs w:val="20"/>
          <w:b w:val="1"/>
          <w:bCs w:val="1"/>
          <w:color w:val="auto"/>
        </w:rPr>
        <w:t xml:space="preserve">Quarterly common stock dividend </w:t>
      </w:r>
      <w:r>
        <w:rPr>
          <w:rFonts w:ascii="Arial" w:cs="Arial" w:eastAsia="Arial" w:hAnsi="Arial"/>
          <w:sz w:val="20"/>
          <w:szCs w:val="20"/>
          <w:color w:val="auto"/>
        </w:rPr>
        <w:t>of $0.46 per share for second quarter 2017 was authorized by the company’s Board</w:t>
      </w:r>
      <w:r>
        <w:rPr>
          <w:rFonts w:ascii="Arial" w:cs="Arial" w:eastAsia="Arial" w:hAnsi="Arial"/>
          <w:sz w:val="20"/>
          <w:szCs w:val="20"/>
          <w:b w:val="1"/>
          <w:bCs w:val="1"/>
          <w:color w:val="auto"/>
        </w:rPr>
        <w:t xml:space="preserve"> </w:t>
      </w:r>
      <w:r>
        <w:rPr>
          <w:rFonts w:ascii="Arial" w:cs="Arial" w:eastAsia="Arial" w:hAnsi="Arial"/>
          <w:sz w:val="20"/>
          <w:szCs w:val="20"/>
          <w:color w:val="auto"/>
        </w:rPr>
        <w:t>of Directors, bringing the trailing twelve month dividend to $1.75 per share, a 14 percent increase compared to the prior year trailing twelve month period. The dividend will be payable on June 30, 2017, to shareholders of record as of June 5, 2017.</w:t>
      </w:r>
    </w:p>
    <w:p>
      <w:pPr>
        <w:spacing w:after="0" w:line="200" w:lineRule="exact"/>
        <w:rPr>
          <w:sz w:val="20"/>
          <w:szCs w:val="20"/>
          <w:color w:val="auto"/>
        </w:rPr>
      </w:pPr>
    </w:p>
    <w:p>
      <w:pPr>
        <w:ind w:left="340" w:right="180"/>
        <w:spacing w:after="0" w:line="241" w:lineRule="auto"/>
        <w:rPr>
          <w:sz w:val="20"/>
          <w:szCs w:val="20"/>
          <w:color w:val="auto"/>
        </w:rPr>
      </w:pPr>
      <w:r>
        <w:rPr>
          <w:rFonts w:ascii="Arial" w:cs="Arial" w:eastAsia="Arial" w:hAnsi="Arial"/>
          <w:sz w:val="20"/>
          <w:szCs w:val="20"/>
          <w:color w:val="auto"/>
        </w:rPr>
        <w:t>“First quarter was a good start to the year for Principal, as we continued to deliver solid results and build additional momentum. We grew AUM by $28 billion over the three month period and by $72 billion over the trailing twelve months, reaching a record $620 billion at quarter end,” said Dan Houston, chairman, president and CEO. “This strong growth reflects competitive long-term investment performance; and ongoing investments to enhance our solution set, expand our distribution reach, improve the customer experience, and deliver better outcomes for clients overall.”</w:t>
      </w:r>
    </w:p>
    <w:p>
      <w:pPr>
        <w:spacing w:after="0" w:line="290" w:lineRule="exact"/>
        <w:rPr>
          <w:sz w:val="20"/>
          <w:szCs w:val="20"/>
          <w:color w:val="auto"/>
        </w:rPr>
      </w:pPr>
    </w:p>
    <w:p>
      <w:pPr>
        <w:ind w:left="340" w:right="120"/>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9"/>
          <w:szCs w:val="19"/>
          <w:color w:val="auto"/>
        </w:rPr>
        <w:t>Strong execution across all of our businesses -- Fee, Spread, and Risk -- coupled with improving macroeconomic conditions</w:t>
      </w:r>
      <w:r>
        <w:rPr>
          <w:rFonts w:ascii="Arial" w:cs="Arial" w:eastAsia="Arial" w:hAnsi="Arial"/>
          <w:sz w:val="18"/>
          <w:szCs w:val="18"/>
          <w:color w:val="auto"/>
        </w:rPr>
        <w:t xml:space="preserve"> </w:t>
      </w:r>
      <w:r>
        <w:rPr>
          <w:rFonts w:ascii="Arial" w:cs="Arial" w:eastAsia="Arial" w:hAnsi="Arial"/>
          <w:sz w:val="19"/>
          <w:szCs w:val="19"/>
          <w:color w:val="auto"/>
        </w:rPr>
        <w:t>and opportunistic share repurchase, helped drive a 31 percent increase in EPS compared to the year ago quarter,” added Deanna Strable, chief financial officer. “We continue to benefit from our global, diversified and integrated model - by business, geography and asset class - and view this as a differentiator. Our model allows us to generate and deploy capital in multiple ways that create long-term value for our shareholders and advance our leadership in retirement, asset management and protection.”</w:t>
      </w: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1"/>
          <w:szCs w:val="11"/>
          <w:b w:val="1"/>
          <w:bCs w:val="1"/>
          <w:color w:val="auto"/>
        </w:rPr>
        <w:t>____________________________________</w:t>
      </w:r>
    </w:p>
    <w:p>
      <w:pPr>
        <w:spacing w:after="0" w:line="75" w:lineRule="exact"/>
        <w:rPr>
          <w:sz w:val="20"/>
          <w:szCs w:val="20"/>
          <w:color w:val="auto"/>
        </w:rPr>
      </w:pPr>
    </w:p>
    <w:p>
      <w:pPr>
        <w:ind w:left="100" w:hanging="92"/>
        <w:spacing w:after="0"/>
        <w:tabs>
          <w:tab w:leader="none" w:pos="100" w:val="left"/>
        </w:tabs>
        <w:numPr>
          <w:ilvl w:val="0"/>
          <w:numId w:val="4"/>
        </w:numPr>
        <w:rPr>
          <w:rFonts w:ascii="Arial" w:cs="Arial" w:eastAsia="Arial" w:hAnsi="Arial"/>
          <w:sz w:val="18"/>
          <w:szCs w:val="18"/>
          <w:color w:val="auto"/>
          <w:vertAlign w:val="superscript"/>
        </w:rPr>
      </w:pPr>
      <w:r>
        <w:rPr>
          <w:rFonts w:ascii="Arial" w:cs="Arial" w:eastAsia="Arial" w:hAnsi="Arial"/>
          <w:sz w:val="14"/>
          <w:szCs w:val="14"/>
          <w:color w:val="auto"/>
        </w:rPr>
        <w:t>Use of non-GAAP financial measures is discussed in this release after segment results. Operating Earnings for total company is after tax.</w:t>
      </w:r>
    </w:p>
    <w:p>
      <w:pPr>
        <w:sectPr>
          <w:pgSz w:w="11900" w:h="16838" w:orient="portrait"/>
          <w:cols w:equalWidth="0" w:num="1">
            <w:col w:w="11420"/>
          </w:cols>
          <w:pgMar w:left="240" w:top="1287" w:right="23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5397500</wp:posOffset>
            </wp:positionH>
            <wp:positionV relativeFrom="page">
              <wp:posOffset>88900</wp:posOffset>
            </wp:positionV>
            <wp:extent cx="2006600" cy="5918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2006600" cy="591820"/>
                    </a:xfrm>
                    <a:prstGeom prst="rect">
                      <a:avLst/>
                    </a:prstGeom>
                    <a:noFill/>
                  </pic:spPr>
                </pic:pic>
              </a:graphicData>
            </a:graphic>
          </wp:anchor>
        </w:drawing>
        <w:t>Other first quarter highlights</w:t>
      </w:r>
    </w:p>
    <w:p>
      <w:pPr>
        <w:spacing w:after="0" w:line="242" w:lineRule="exact"/>
        <w:rPr>
          <w:sz w:val="20"/>
          <w:szCs w:val="20"/>
          <w:color w:val="auto"/>
        </w:rPr>
      </w:pPr>
    </w:p>
    <w:p>
      <w:pPr>
        <w:ind w:left="660" w:right="120" w:hanging="328"/>
        <w:spacing w:after="0" w:line="21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20"/>
          <w:szCs w:val="20"/>
          <w:color w:val="auto"/>
        </w:rPr>
        <w:t>Strong Morningstar investment performance, with 80 percent of Principal’s investment options</w:t>
      </w:r>
      <w:r>
        <w:rPr>
          <w:rFonts w:ascii="Arial" w:cs="Arial" w:eastAsia="Arial" w:hAnsi="Arial"/>
          <w:sz w:val="25"/>
          <w:szCs w:val="25"/>
          <w:color w:val="auto"/>
          <w:vertAlign w:val="superscript"/>
        </w:rPr>
        <w:t>2</w:t>
      </w:r>
      <w:r>
        <w:rPr>
          <w:rFonts w:ascii="Arial" w:cs="Arial" w:eastAsia="Arial" w:hAnsi="Arial"/>
          <w:sz w:val="20"/>
          <w:szCs w:val="20"/>
          <w:color w:val="auto"/>
        </w:rPr>
        <w:t xml:space="preserve"> above median on a three-year basis and 89 percent above median on a five-year basis.</w:t>
      </w:r>
    </w:p>
    <w:p>
      <w:pPr>
        <w:spacing w:after="0" w:line="223" w:lineRule="exact"/>
        <w:rPr>
          <w:rFonts w:ascii="Arial" w:cs="Arial" w:eastAsia="Arial" w:hAnsi="Arial"/>
          <w:sz w:val="18"/>
          <w:szCs w:val="18"/>
          <w:color w:val="auto"/>
        </w:rPr>
      </w:pPr>
    </w:p>
    <w:p>
      <w:pPr>
        <w:ind w:left="660" w:right="220" w:hanging="328"/>
        <w:spacing w:after="0" w:line="24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20"/>
          <w:szCs w:val="20"/>
          <w:color w:val="auto"/>
        </w:rPr>
        <w:t>Retirement and Income Solutions - Fee sales of $3.8 billion and net cash flows of $2.2 billion helped drive end of period account values to $203.8 billion.</w:t>
      </w:r>
    </w:p>
    <w:p>
      <w:pPr>
        <w:spacing w:after="0" w:line="215"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20"/>
          <w:szCs w:val="20"/>
          <w:color w:val="auto"/>
        </w:rPr>
        <w:t>Retirement and Income Solutions - Spread had sales of $2.1 billion driving account values to $38.5 billion.</w:t>
      </w:r>
    </w:p>
    <w:p>
      <w:pPr>
        <w:spacing w:after="0" w:line="226" w:lineRule="exact"/>
        <w:rPr>
          <w:rFonts w:ascii="Arial" w:cs="Arial" w:eastAsia="Arial" w:hAnsi="Arial"/>
          <w:sz w:val="18"/>
          <w:szCs w:val="18"/>
          <w:color w:val="auto"/>
        </w:rPr>
      </w:pPr>
    </w:p>
    <w:p>
      <w:pPr>
        <w:ind w:left="660" w:hanging="328"/>
        <w:spacing w:after="0" w:line="21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20"/>
          <w:szCs w:val="20"/>
          <w:color w:val="auto"/>
        </w:rPr>
        <w:t>Principal Global Investors achieved record AUM of $403.0 billion and operating revenues less pass-through commissions</w:t>
      </w:r>
      <w:r>
        <w:rPr>
          <w:rFonts w:ascii="Arial" w:cs="Arial" w:eastAsia="Arial" w:hAnsi="Arial"/>
          <w:sz w:val="25"/>
          <w:szCs w:val="25"/>
          <w:color w:val="auto"/>
          <w:vertAlign w:val="superscript"/>
        </w:rPr>
        <w:t>3</w:t>
      </w:r>
      <w:r>
        <w:rPr>
          <w:rFonts w:ascii="Arial" w:cs="Arial" w:eastAsia="Arial" w:hAnsi="Arial"/>
          <w:sz w:val="20"/>
          <w:szCs w:val="20"/>
          <w:color w:val="auto"/>
        </w:rPr>
        <w:t xml:space="preserve"> increased 14 percent from the year ago quarter.</w:t>
      </w:r>
    </w:p>
    <w:p>
      <w:pPr>
        <w:spacing w:after="0" w:line="223" w:lineRule="exact"/>
        <w:rPr>
          <w:rFonts w:ascii="Arial" w:cs="Arial" w:eastAsia="Arial" w:hAnsi="Arial"/>
          <w:sz w:val="18"/>
          <w:szCs w:val="18"/>
          <w:color w:val="auto"/>
        </w:rPr>
      </w:pPr>
    </w:p>
    <w:p>
      <w:pPr>
        <w:ind w:left="660" w:right="20" w:hanging="328"/>
        <w:spacing w:after="0" w:line="22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20"/>
          <w:szCs w:val="20"/>
          <w:color w:val="auto"/>
        </w:rPr>
        <w:t>Principal International (PI) generated net cash flows of $1.3 billion and achieved record AUM of $147.3 billion, both increased 18 percent over the year ago quarter on a constant currency basis</w:t>
      </w:r>
      <w:r>
        <w:rPr>
          <w:rFonts w:ascii="Arial" w:cs="Arial" w:eastAsia="Arial" w:hAnsi="Arial"/>
          <w:sz w:val="25"/>
          <w:szCs w:val="25"/>
          <w:color w:val="auto"/>
          <w:vertAlign w:val="superscript"/>
        </w:rPr>
        <w:t>4</w:t>
      </w:r>
      <w:r>
        <w:rPr>
          <w:rFonts w:ascii="Arial" w:cs="Arial" w:eastAsia="Arial" w:hAnsi="Arial"/>
          <w:sz w:val="14"/>
          <w:szCs w:val="14"/>
          <w:color w:val="auto"/>
        </w:rPr>
        <w:t>.</w:t>
      </w:r>
      <w:r>
        <w:rPr>
          <w:rFonts w:ascii="Arial" w:cs="Arial" w:eastAsia="Arial" w:hAnsi="Arial"/>
          <w:sz w:val="20"/>
          <w:szCs w:val="20"/>
          <w:color w:val="auto"/>
        </w:rPr>
        <w:t xml:space="preserve"> Additionally, PI had record quarterly pre-tax operating earnings in Brazil, China, and Hong Kong.</w:t>
      </w:r>
    </w:p>
    <w:p>
      <w:pPr>
        <w:spacing w:after="0" w:line="222" w:lineRule="exact"/>
        <w:rPr>
          <w:rFonts w:ascii="Arial" w:cs="Arial" w:eastAsia="Arial" w:hAnsi="Arial"/>
          <w:sz w:val="18"/>
          <w:szCs w:val="18"/>
          <w:color w:val="auto"/>
        </w:rPr>
      </w:pPr>
    </w:p>
    <w:p>
      <w:pPr>
        <w:ind w:left="660" w:right="180" w:hanging="328"/>
        <w:spacing w:after="0" w:line="21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20"/>
          <w:szCs w:val="20"/>
          <w:color w:val="auto"/>
        </w:rPr>
        <w:t>Specialty Benefits premium and fees</w:t>
      </w:r>
      <w:r>
        <w:rPr>
          <w:rFonts w:ascii="Arial" w:cs="Arial" w:eastAsia="Arial" w:hAnsi="Arial"/>
          <w:sz w:val="25"/>
          <w:szCs w:val="25"/>
          <w:color w:val="auto"/>
          <w:vertAlign w:val="superscript"/>
        </w:rPr>
        <w:t>5</w:t>
      </w:r>
      <w:r>
        <w:rPr>
          <w:rFonts w:ascii="Arial" w:cs="Arial" w:eastAsia="Arial" w:hAnsi="Arial"/>
          <w:sz w:val="20"/>
          <w:szCs w:val="20"/>
          <w:color w:val="auto"/>
        </w:rPr>
        <w:t xml:space="preserve"> increased 8 percent compared to the year ago quarter, driven by strong sales and retention.</w:t>
      </w:r>
    </w:p>
    <w:p>
      <w:pPr>
        <w:spacing w:after="0" w:line="223"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20"/>
          <w:szCs w:val="20"/>
          <w:color w:val="auto"/>
        </w:rPr>
        <w:t>Individual Life Insurance premium and fees increased 6 percent over the year ago quarter.</w:t>
      </w:r>
    </w:p>
    <w:p>
      <w:pPr>
        <w:spacing w:after="0" w:line="229" w:lineRule="exact"/>
        <w:rPr>
          <w:rFonts w:ascii="Arial" w:cs="Arial" w:eastAsia="Arial" w:hAnsi="Arial"/>
          <w:sz w:val="18"/>
          <w:szCs w:val="18"/>
          <w:color w:val="auto"/>
        </w:rPr>
      </w:pPr>
    </w:p>
    <w:p>
      <w:pPr>
        <w:ind w:left="660" w:right="460" w:hanging="328"/>
        <w:spacing w:after="0" w:line="247" w:lineRule="auto"/>
        <w:tabs>
          <w:tab w:leader="none" w:pos="660" w:val="left"/>
        </w:tabs>
        <w:numPr>
          <w:ilvl w:val="0"/>
          <w:numId w:val="5"/>
        </w:numPr>
        <w:rPr>
          <w:rFonts w:ascii="Arial" w:cs="Arial" w:eastAsia="Arial" w:hAnsi="Arial"/>
          <w:sz w:val="18"/>
          <w:szCs w:val="18"/>
          <w:color w:val="auto"/>
        </w:rPr>
      </w:pPr>
      <w:r>
        <w:rPr>
          <w:rFonts w:ascii="Arial" w:cs="Arial" w:eastAsia="Arial" w:hAnsi="Arial"/>
          <w:sz w:val="20"/>
          <w:szCs w:val="20"/>
          <w:color w:val="auto"/>
        </w:rPr>
        <w:t>Continued strong capital position with a 2017 capital deployment target of $800 million to $1.1 billion. Deployed $248 million of capital in first quarter 2017, including:</w:t>
      </w:r>
    </w:p>
    <w:p>
      <w:pPr>
        <w:spacing w:after="0" w:line="215" w:lineRule="exact"/>
        <w:rPr>
          <w:rFonts w:ascii="Arial" w:cs="Arial" w:eastAsia="Arial" w:hAnsi="Arial"/>
          <w:sz w:val="18"/>
          <w:szCs w:val="18"/>
          <w:color w:val="auto"/>
        </w:rPr>
      </w:pPr>
    </w:p>
    <w:p>
      <w:pPr>
        <w:ind w:left="1300" w:hanging="320"/>
        <w:spacing w:after="0"/>
        <w:tabs>
          <w:tab w:leader="none" w:pos="1300" w:val="left"/>
        </w:tabs>
        <w:numPr>
          <w:ilvl w:val="1"/>
          <w:numId w:val="5"/>
        </w:numPr>
        <w:rPr>
          <w:rFonts w:ascii="Arial" w:cs="Arial" w:eastAsia="Arial" w:hAnsi="Arial"/>
          <w:sz w:val="18"/>
          <w:szCs w:val="18"/>
          <w:color w:val="auto"/>
        </w:rPr>
      </w:pPr>
      <w:r>
        <w:rPr>
          <w:rFonts w:ascii="Arial" w:cs="Arial" w:eastAsia="Arial" w:hAnsi="Arial"/>
          <w:sz w:val="20"/>
          <w:szCs w:val="20"/>
          <w:color w:val="auto"/>
        </w:rPr>
        <w:t>$130 million of common stock dividends with the $0.45 per share dividend paid in the first quarter; and</w:t>
      </w:r>
    </w:p>
    <w:p>
      <w:pPr>
        <w:ind w:left="1300" w:hanging="320"/>
        <w:spacing w:after="0"/>
        <w:tabs>
          <w:tab w:leader="none" w:pos="1300" w:val="left"/>
        </w:tabs>
        <w:numPr>
          <w:ilvl w:val="1"/>
          <w:numId w:val="5"/>
        </w:numPr>
        <w:rPr>
          <w:rFonts w:ascii="Arial" w:cs="Arial" w:eastAsia="Arial" w:hAnsi="Arial"/>
          <w:sz w:val="18"/>
          <w:szCs w:val="18"/>
          <w:color w:val="auto"/>
        </w:rPr>
      </w:pPr>
      <w:r>
        <w:rPr>
          <w:rFonts w:ascii="Arial" w:cs="Arial" w:eastAsia="Arial" w:hAnsi="Arial"/>
          <w:sz w:val="20"/>
          <w:szCs w:val="20"/>
          <w:color w:val="auto"/>
        </w:rPr>
        <w:t>$118 million to repurchase 1.9 million shares of common stock.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1"/>
          <w:szCs w:val="11"/>
          <w:b w:val="1"/>
          <w:bCs w:val="1"/>
          <w:color w:val="auto"/>
        </w:rPr>
        <w:t>____________________________________</w:t>
      </w:r>
    </w:p>
    <w:p>
      <w:pPr>
        <w:spacing w:after="0" w:line="60" w:lineRule="exact"/>
        <w:rPr>
          <w:sz w:val="20"/>
          <w:szCs w:val="20"/>
          <w:color w:val="auto"/>
        </w:rPr>
      </w:pPr>
    </w:p>
    <w:p>
      <w:pPr>
        <w:ind w:left="100" w:hanging="92"/>
        <w:spacing w:after="0"/>
        <w:tabs>
          <w:tab w:leader="none" w:pos="100" w:val="left"/>
        </w:tabs>
        <w:numPr>
          <w:ilvl w:val="0"/>
          <w:numId w:val="6"/>
        </w:numPr>
        <w:rPr>
          <w:rFonts w:ascii="Arial" w:cs="Arial" w:eastAsia="Arial" w:hAnsi="Arial"/>
          <w:sz w:val="18"/>
          <w:szCs w:val="18"/>
          <w:color w:val="auto"/>
          <w:vertAlign w:val="superscript"/>
        </w:rPr>
      </w:pPr>
      <w:r>
        <w:rPr>
          <w:rFonts w:ascii="Arial" w:cs="Arial" w:eastAsia="Arial" w:hAnsi="Arial"/>
          <w:sz w:val="14"/>
          <w:szCs w:val="14"/>
          <w:color w:val="auto"/>
        </w:rPr>
        <w:t>Represents the percentage of Principal mutual funds, separate accounts and collective investment trusts (CITs) in the top two Morningstar quartiles.</w:t>
      </w:r>
    </w:p>
    <w:p>
      <w:pPr>
        <w:spacing w:after="0" w:line="5" w:lineRule="exact"/>
        <w:rPr>
          <w:sz w:val="20"/>
          <w:szCs w:val="20"/>
          <w:color w:val="auto"/>
        </w:rPr>
      </w:pPr>
    </w:p>
    <w:p>
      <w:pPr>
        <w:ind w:right="140" w:firstLine="8"/>
        <w:spacing w:after="0" w:line="225" w:lineRule="auto"/>
        <w:tabs>
          <w:tab w:leader="none" w:pos="90" w:val="left"/>
        </w:tabs>
        <w:numPr>
          <w:ilvl w:val="0"/>
          <w:numId w:val="7"/>
        </w:numPr>
        <w:rPr>
          <w:rFonts w:ascii="Arial" w:cs="Arial" w:eastAsia="Arial" w:hAnsi="Arial"/>
          <w:sz w:val="18"/>
          <w:szCs w:val="18"/>
          <w:color w:val="auto"/>
          <w:vertAlign w:val="superscript"/>
        </w:rPr>
      </w:pPr>
      <w:r>
        <w:rPr>
          <w:rFonts w:ascii="Arial" w:cs="Arial" w:eastAsia="Arial" w:hAnsi="Arial"/>
          <w:sz w:val="14"/>
          <w:szCs w:val="14"/>
          <w:color w:val="auto"/>
        </w:rPr>
        <w:t>The company has provided reconciliations of the non-GAAP measures to the most directly comparable U.S. GAAP measure at the end of the release. The company has determined this measure is more representative of underlying operating revenues growth for PGI as it removes commissions that are collected through fee revenue and passed through expenses with no impact to pre-tax operating earnings.</w:t>
      </w:r>
    </w:p>
    <w:p>
      <w:pPr>
        <w:spacing w:after="0"/>
        <w:rPr>
          <w:rFonts w:ascii="Arial" w:cs="Arial" w:eastAsia="Arial" w:hAnsi="Arial"/>
          <w:sz w:val="18"/>
          <w:szCs w:val="18"/>
          <w:color w:val="auto"/>
          <w:vertAlign w:val="superscript"/>
        </w:rPr>
      </w:pPr>
      <w:r>
        <w:rPr>
          <w:rFonts w:ascii="Arial" w:cs="Arial" w:eastAsia="Arial" w:hAnsi="Arial"/>
          <w:sz w:val="17"/>
          <w:szCs w:val="17"/>
          <w:color w:val="auto"/>
          <w:vertAlign w:val="superscript"/>
        </w:rPr>
        <w:t>4</w:t>
      </w:r>
      <w:r>
        <w:rPr>
          <w:rFonts w:ascii="Arial" w:cs="Arial" w:eastAsia="Arial" w:hAnsi="Arial"/>
          <w:sz w:val="14"/>
          <w:szCs w:val="14"/>
          <w:color w:val="auto"/>
        </w:rPr>
        <w:t xml:space="preserve"> Constant currency basis = prior period results translated using foreign exchange rates from the current period.</w:t>
      </w:r>
    </w:p>
    <w:p>
      <w:pPr>
        <w:ind w:left="100" w:hanging="92"/>
        <w:spacing w:after="0" w:line="227" w:lineRule="auto"/>
        <w:tabs>
          <w:tab w:leader="none" w:pos="100" w:val="left"/>
        </w:tabs>
        <w:numPr>
          <w:ilvl w:val="0"/>
          <w:numId w:val="8"/>
        </w:numPr>
        <w:rPr>
          <w:rFonts w:ascii="Arial" w:cs="Arial" w:eastAsia="Arial" w:hAnsi="Arial"/>
          <w:sz w:val="18"/>
          <w:szCs w:val="18"/>
          <w:color w:val="auto"/>
          <w:vertAlign w:val="superscript"/>
        </w:rPr>
      </w:pPr>
      <w:r>
        <w:rPr>
          <w:rFonts w:ascii="Arial" w:cs="Arial" w:eastAsia="Arial" w:hAnsi="Arial"/>
          <w:sz w:val="14"/>
          <w:szCs w:val="14"/>
          <w:color w:val="auto"/>
        </w:rPr>
        <w:t>Premium and fees = premiums and other considerations plus fees and other revenues.</w:t>
      </w:r>
    </w:p>
    <w:p>
      <w:pPr>
        <w:sectPr>
          <w:pgSz w:w="11900" w:h="16838" w:orient="portrait"/>
          <w:cols w:equalWidth="0" w:num="1">
            <w:col w:w="11320"/>
          </w:cols>
          <w:pgMar w:left="240" w:top="1292" w:right="339" w:bottom="1440" w:gutter="0" w:footer="0" w:header="0"/>
        </w:sectPr>
      </w:pPr>
    </w:p>
    <w:bookmarkStart w:id="4" w:name="page5"/>
    <w:bookmarkEnd w:id="4"/>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5397500</wp:posOffset>
            </wp:positionH>
            <wp:positionV relativeFrom="page">
              <wp:posOffset>88900</wp:posOffset>
            </wp:positionV>
            <wp:extent cx="2006600" cy="5918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006600" cy="591820"/>
                    </a:xfrm>
                    <a:prstGeom prst="rect">
                      <a:avLst/>
                    </a:prstGeom>
                    <a:noFill/>
                  </pic:spPr>
                </pic:pic>
              </a:graphicData>
            </a:graphic>
          </wp:anchor>
        </w:drawing>
        <w:t>Segment Results</w:t>
      </w:r>
    </w:p>
    <w:p>
      <w:pPr>
        <w:spacing w:after="0" w:line="229" w:lineRule="exact"/>
        <w:rPr>
          <w:sz w:val="20"/>
          <w:szCs w:val="20"/>
          <w:color w:val="auto"/>
        </w:rPr>
      </w:pPr>
    </w:p>
    <w:p>
      <w:pPr>
        <w:ind w:left="340"/>
        <w:spacing w:after="0"/>
        <w:rPr>
          <w:sz w:val="20"/>
          <w:szCs w:val="20"/>
          <w:color w:val="auto"/>
        </w:rPr>
      </w:pPr>
      <w:r>
        <w:rPr>
          <w:rFonts w:ascii="Arial" w:cs="Arial" w:eastAsia="Arial" w:hAnsi="Arial"/>
          <w:sz w:val="20"/>
          <w:szCs w:val="20"/>
          <w:b w:val="1"/>
          <w:bCs w:val="1"/>
          <w:color w:val="auto"/>
        </w:rPr>
        <w:t>Retirement and Income Solutions - Fee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wp:posOffset>
            </wp:positionV>
            <wp:extent cx="6809105" cy="1020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809105" cy="1020445"/>
                    </a:xfrm>
                    <a:prstGeom prst="rect">
                      <a:avLst/>
                    </a:prstGeom>
                    <a:noFill/>
                  </pic:spPr>
                </pic:pic>
              </a:graphicData>
            </a:graphic>
          </wp:anchor>
        </w:drawing>
      </w:r>
    </w:p>
    <w:p>
      <w:pPr>
        <w:spacing w:after="0" w:line="156" w:lineRule="exact"/>
        <w:rPr>
          <w:sz w:val="20"/>
          <w:szCs w:val="20"/>
          <w:color w:val="auto"/>
        </w:rPr>
      </w:pPr>
    </w:p>
    <w:tbl>
      <w:tblPr>
        <w:tblLayout w:type="fixed"/>
        <w:tblInd w:w="500" w:type="dxa"/>
        <w:tblCellMar>
          <w:top w:w="0" w:type="dxa"/>
          <w:left w:w="0" w:type="dxa"/>
          <w:bottom w:w="0" w:type="dxa"/>
          <w:right w:w="0" w:type="dxa"/>
        </w:tblCellMar>
      </w:tblPr>
      <w:tr>
        <w:trPr>
          <w:trHeight w:val="270"/>
        </w:trPr>
        <w:tc>
          <w:tcPr>
            <w:tcW w:w="3800" w:type="dxa"/>
            <w:vAlign w:val="bottom"/>
            <w:vMerge w:val="restart"/>
          </w:tcPr>
          <w:p>
            <w:pPr>
              <w:ind w:left="40"/>
              <w:spacing w:after="0"/>
              <w:rPr>
                <w:sz w:val="20"/>
                <w:szCs w:val="20"/>
                <w:color w:val="auto"/>
              </w:rPr>
            </w:pPr>
            <w:r>
              <w:rPr>
                <w:rFonts w:ascii="Arial" w:cs="Arial" w:eastAsia="Arial" w:hAnsi="Arial"/>
                <w:sz w:val="14"/>
                <w:szCs w:val="14"/>
                <w:i w:val="1"/>
                <w:iCs w:val="1"/>
                <w:color w:val="auto"/>
              </w:rPr>
              <w:t>(in millions except percentages or otherwise noted)</w:t>
            </w:r>
          </w:p>
        </w:tc>
        <w:tc>
          <w:tcPr>
            <w:tcW w:w="1060" w:type="dxa"/>
            <w:vAlign w:val="bottom"/>
            <w:shd w:val="clear" w:color="auto" w:fill="BFBFBF"/>
          </w:tcPr>
          <w:p>
            <w:pPr>
              <w:spacing w:after="0"/>
              <w:rPr>
                <w:sz w:val="23"/>
                <w:szCs w:val="23"/>
                <w:color w:val="auto"/>
              </w:rPr>
            </w:pPr>
          </w:p>
        </w:tc>
        <w:tc>
          <w:tcPr>
            <w:tcW w:w="1080" w:type="dxa"/>
            <w:vAlign w:val="bottom"/>
            <w:shd w:val="clear" w:color="auto" w:fill="BFBFBF"/>
          </w:tcPr>
          <w:p>
            <w:pPr>
              <w:ind w:left="240"/>
              <w:spacing w:after="0"/>
              <w:rPr>
                <w:sz w:val="20"/>
                <w:szCs w:val="20"/>
                <w:color w:val="auto"/>
              </w:rPr>
            </w:pPr>
            <w:r>
              <w:rPr>
                <w:rFonts w:ascii="Arial" w:cs="Arial" w:eastAsia="Arial" w:hAnsi="Arial"/>
                <w:sz w:val="18"/>
                <w:szCs w:val="18"/>
                <w:b w:val="1"/>
                <w:bCs w:val="1"/>
                <w:i w:val="1"/>
                <w:iCs w:val="1"/>
                <w:color w:val="auto"/>
              </w:rPr>
              <w:t>Quarter</w:t>
            </w:r>
          </w:p>
        </w:tc>
        <w:tc>
          <w:tcPr>
            <w:tcW w:w="1080" w:type="dxa"/>
            <w:vAlign w:val="bottom"/>
            <w:shd w:val="clear" w:color="auto" w:fill="BFBFBF"/>
          </w:tcPr>
          <w:p>
            <w:pPr>
              <w:spacing w:after="0"/>
              <w:rPr>
                <w:sz w:val="23"/>
                <w:szCs w:val="23"/>
                <w:color w:val="auto"/>
              </w:rPr>
            </w:pPr>
          </w:p>
        </w:tc>
        <w:tc>
          <w:tcPr>
            <w:tcW w:w="3200" w:type="dxa"/>
            <w:vAlign w:val="bottom"/>
            <w:gridSpan w:val="3"/>
            <w:shd w:val="clear" w:color="auto" w:fill="BFBFBF"/>
          </w:tcPr>
          <w:p>
            <w:pPr>
              <w:ind w:left="620"/>
              <w:spacing w:after="0"/>
              <w:rPr>
                <w:sz w:val="20"/>
                <w:szCs w:val="20"/>
                <w:color w:val="auto"/>
              </w:rPr>
            </w:pPr>
            <w:r>
              <w:rPr>
                <w:rFonts w:ascii="Arial" w:cs="Arial" w:eastAsia="Arial" w:hAnsi="Arial"/>
                <w:sz w:val="18"/>
                <w:szCs w:val="18"/>
                <w:b w:val="1"/>
                <w:bCs w:val="1"/>
                <w:i w:val="1"/>
                <w:iCs w:val="1"/>
                <w:color w:val="auto"/>
              </w:rPr>
              <w:t>Trailing Twelve Months</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3"/>
        </w:trPr>
        <w:tc>
          <w:tcPr>
            <w:tcW w:w="3800" w:type="dxa"/>
            <w:vAlign w:val="bottom"/>
            <w:vMerge w:val="continue"/>
          </w:tcPr>
          <w:p>
            <w:pPr>
              <w:spacing w:after="0"/>
              <w:rPr>
                <w:sz w:val="7"/>
                <w:szCs w:val="7"/>
                <w:color w:val="auto"/>
              </w:rPr>
            </w:pPr>
          </w:p>
        </w:tc>
        <w:tc>
          <w:tcPr>
            <w:tcW w:w="10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6"/>
              </w:rPr>
              <w:t>1Q17</w:t>
            </w:r>
          </w:p>
        </w:tc>
        <w:tc>
          <w:tcPr>
            <w:tcW w:w="108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1Q16</w:t>
            </w:r>
          </w:p>
        </w:tc>
        <w:tc>
          <w:tcPr>
            <w:tcW w:w="1080" w:type="dxa"/>
            <w:vAlign w:val="bottom"/>
            <w:vMerge w:val="restart"/>
          </w:tcPr>
          <w:p>
            <w:pPr>
              <w:jc w:val="center"/>
              <w:spacing w:after="0"/>
              <w:rPr>
                <w:sz w:val="20"/>
                <w:szCs w:val="20"/>
                <w:color w:val="auto"/>
              </w:rPr>
            </w:pPr>
            <w:r>
              <w:rPr>
                <w:rFonts w:ascii="Arial" w:cs="Arial" w:eastAsia="Arial" w:hAnsi="Arial"/>
                <w:sz w:val="14"/>
                <w:szCs w:val="14"/>
                <w:color w:val="auto"/>
              </w:rPr>
              <w:t>% Change</w:t>
            </w:r>
          </w:p>
        </w:tc>
        <w:tc>
          <w:tcPr>
            <w:tcW w:w="106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1Q17</w:t>
            </w:r>
          </w:p>
        </w:tc>
        <w:tc>
          <w:tcPr>
            <w:tcW w:w="108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1Q16</w:t>
            </w:r>
          </w:p>
        </w:tc>
        <w:tc>
          <w:tcPr>
            <w:tcW w:w="1060" w:type="dxa"/>
            <w:vAlign w:val="bottom"/>
            <w:vMerge w:val="restart"/>
          </w:tcPr>
          <w:p>
            <w:pPr>
              <w:ind w:left="180"/>
              <w:spacing w:after="0"/>
              <w:rPr>
                <w:sz w:val="20"/>
                <w:szCs w:val="20"/>
                <w:color w:val="auto"/>
              </w:rPr>
            </w:pPr>
            <w:r>
              <w:rPr>
                <w:rFonts w:ascii="Arial" w:cs="Arial" w:eastAsia="Arial" w:hAnsi="Arial"/>
                <w:sz w:val="14"/>
                <w:szCs w:val="14"/>
                <w:color w:val="auto"/>
              </w:rPr>
              <w:t>% Change</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54"/>
        </w:trPr>
        <w:tc>
          <w:tcPr>
            <w:tcW w:w="3800" w:type="dxa"/>
            <w:vAlign w:val="bottom"/>
          </w:tcPr>
          <w:p>
            <w:pPr>
              <w:spacing w:after="0"/>
              <w:rPr>
                <w:sz w:val="13"/>
                <w:szCs w:val="13"/>
                <w:color w:val="auto"/>
              </w:rPr>
            </w:pPr>
          </w:p>
        </w:tc>
        <w:tc>
          <w:tcPr>
            <w:tcW w:w="1060" w:type="dxa"/>
            <w:vAlign w:val="bottom"/>
            <w:tcBorders>
              <w:bottom w:val="single" w:sz="8" w:color="auto"/>
            </w:tcBorders>
            <w:vMerge w:val="continue"/>
          </w:tcPr>
          <w:p>
            <w:pPr>
              <w:spacing w:after="0"/>
              <w:rPr>
                <w:sz w:val="13"/>
                <w:szCs w:val="13"/>
                <w:color w:val="auto"/>
              </w:rPr>
            </w:pPr>
          </w:p>
        </w:tc>
        <w:tc>
          <w:tcPr>
            <w:tcW w:w="1080" w:type="dxa"/>
            <w:vAlign w:val="bottom"/>
            <w:tcBorders>
              <w:bottom w:val="single" w:sz="8" w:color="auto"/>
            </w:tcBorders>
            <w:vMerge w:val="continue"/>
          </w:tcPr>
          <w:p>
            <w:pPr>
              <w:spacing w:after="0"/>
              <w:rPr>
                <w:sz w:val="13"/>
                <w:szCs w:val="13"/>
                <w:color w:val="auto"/>
              </w:rPr>
            </w:pPr>
          </w:p>
        </w:tc>
        <w:tc>
          <w:tcPr>
            <w:tcW w:w="1080" w:type="dxa"/>
            <w:vAlign w:val="bottom"/>
            <w:tcBorders>
              <w:bottom w:val="single" w:sz="8" w:color="auto"/>
            </w:tcBorders>
            <w:vMerge w:val="continue"/>
          </w:tcPr>
          <w:p>
            <w:pPr>
              <w:spacing w:after="0"/>
              <w:rPr>
                <w:sz w:val="13"/>
                <w:szCs w:val="13"/>
                <w:color w:val="auto"/>
              </w:rPr>
            </w:pPr>
          </w:p>
        </w:tc>
        <w:tc>
          <w:tcPr>
            <w:tcW w:w="1060" w:type="dxa"/>
            <w:vAlign w:val="bottom"/>
            <w:tcBorders>
              <w:bottom w:val="single" w:sz="8" w:color="auto"/>
            </w:tcBorders>
            <w:vMerge w:val="continue"/>
          </w:tcPr>
          <w:p>
            <w:pPr>
              <w:spacing w:after="0"/>
              <w:rPr>
                <w:sz w:val="13"/>
                <w:szCs w:val="13"/>
                <w:color w:val="auto"/>
              </w:rPr>
            </w:pPr>
          </w:p>
        </w:tc>
        <w:tc>
          <w:tcPr>
            <w:tcW w:w="1080" w:type="dxa"/>
            <w:vAlign w:val="bottom"/>
            <w:tcBorders>
              <w:bottom w:val="single" w:sz="8" w:color="auto"/>
            </w:tcBorders>
            <w:vMerge w:val="continue"/>
          </w:tcPr>
          <w:p>
            <w:pPr>
              <w:spacing w:after="0"/>
              <w:rPr>
                <w:sz w:val="13"/>
                <w:szCs w:val="13"/>
                <w:color w:val="auto"/>
              </w:rPr>
            </w:pPr>
          </w:p>
        </w:tc>
        <w:tc>
          <w:tcPr>
            <w:tcW w:w="1060" w:type="dxa"/>
            <w:vAlign w:val="bottom"/>
            <w:tcBorders>
              <w:bottom w:val="single" w:sz="8" w:color="auto"/>
            </w:tcBorders>
            <w:vMerge w:val="continue"/>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7"/>
        </w:trPr>
        <w:tc>
          <w:tcPr>
            <w:tcW w:w="3800" w:type="dxa"/>
            <w:vAlign w:val="bottom"/>
          </w:tcPr>
          <w:p>
            <w:pPr>
              <w:spacing w:after="0"/>
              <w:rPr>
                <w:sz w:val="20"/>
                <w:szCs w:val="20"/>
                <w:color w:val="auto"/>
              </w:rPr>
            </w:pPr>
            <w:r>
              <w:rPr>
                <w:rFonts w:ascii="Arial" w:cs="Arial" w:eastAsia="Arial" w:hAnsi="Arial"/>
                <w:sz w:val="18"/>
                <w:szCs w:val="18"/>
                <w:color w:val="auto"/>
              </w:rPr>
              <w:t>Pre-tax operating earnings</w:t>
            </w:r>
            <w:r>
              <w:rPr>
                <w:rFonts w:ascii="Arial" w:cs="Arial" w:eastAsia="Arial" w:hAnsi="Arial"/>
                <w:sz w:val="21"/>
                <w:szCs w:val="21"/>
                <w:color w:val="auto"/>
                <w:vertAlign w:val="superscript"/>
              </w:rPr>
              <w:t>6</w:t>
            </w:r>
          </w:p>
        </w:tc>
        <w:tc>
          <w:tcPr>
            <w:tcW w:w="1060" w:type="dxa"/>
            <w:vAlign w:val="bottom"/>
          </w:tcPr>
          <w:p>
            <w:pPr>
              <w:jc w:val="center"/>
              <w:spacing w:after="0"/>
              <w:rPr>
                <w:sz w:val="20"/>
                <w:szCs w:val="20"/>
                <w:color w:val="auto"/>
              </w:rPr>
            </w:pPr>
            <w:r>
              <w:rPr>
                <w:rFonts w:ascii="Arial" w:cs="Arial" w:eastAsia="Arial" w:hAnsi="Arial"/>
                <w:sz w:val="18"/>
                <w:szCs w:val="18"/>
                <w:color w:val="auto"/>
                <w:w w:val="98"/>
              </w:rPr>
              <w:t>$144.7</w:t>
            </w:r>
          </w:p>
        </w:tc>
        <w:tc>
          <w:tcPr>
            <w:tcW w:w="1080" w:type="dxa"/>
            <w:vAlign w:val="bottom"/>
          </w:tcPr>
          <w:p>
            <w:pPr>
              <w:jc w:val="center"/>
              <w:spacing w:after="0"/>
              <w:rPr>
                <w:sz w:val="20"/>
                <w:szCs w:val="20"/>
                <w:color w:val="auto"/>
              </w:rPr>
            </w:pPr>
            <w:r>
              <w:rPr>
                <w:rFonts w:ascii="Arial" w:cs="Arial" w:eastAsia="Arial" w:hAnsi="Arial"/>
                <w:sz w:val="18"/>
                <w:szCs w:val="18"/>
                <w:color w:val="auto"/>
              </w:rPr>
              <w:t>$114.0</w:t>
            </w:r>
          </w:p>
        </w:tc>
        <w:tc>
          <w:tcPr>
            <w:tcW w:w="1080" w:type="dxa"/>
            <w:vAlign w:val="bottom"/>
          </w:tcPr>
          <w:p>
            <w:pPr>
              <w:jc w:val="center"/>
              <w:spacing w:after="0"/>
              <w:rPr>
                <w:sz w:val="20"/>
                <w:szCs w:val="20"/>
                <w:color w:val="auto"/>
              </w:rPr>
            </w:pPr>
            <w:r>
              <w:rPr>
                <w:rFonts w:ascii="Arial" w:cs="Arial" w:eastAsia="Arial" w:hAnsi="Arial"/>
                <w:sz w:val="18"/>
                <w:szCs w:val="18"/>
                <w:color w:val="auto"/>
                <w:w w:val="99"/>
              </w:rPr>
              <w:t>27%</w:t>
            </w:r>
          </w:p>
        </w:tc>
        <w:tc>
          <w:tcPr>
            <w:tcW w:w="1060" w:type="dxa"/>
            <w:vAlign w:val="bottom"/>
          </w:tcPr>
          <w:p>
            <w:pPr>
              <w:jc w:val="center"/>
              <w:spacing w:after="0"/>
              <w:rPr>
                <w:sz w:val="20"/>
                <w:szCs w:val="20"/>
                <w:color w:val="auto"/>
              </w:rPr>
            </w:pPr>
            <w:r>
              <w:rPr>
                <w:rFonts w:ascii="Arial" w:cs="Arial" w:eastAsia="Arial" w:hAnsi="Arial"/>
                <w:sz w:val="18"/>
                <w:szCs w:val="18"/>
                <w:color w:val="auto"/>
              </w:rPr>
              <w:t>$524.1</w:t>
            </w:r>
          </w:p>
        </w:tc>
        <w:tc>
          <w:tcPr>
            <w:tcW w:w="1080" w:type="dxa"/>
            <w:vAlign w:val="bottom"/>
          </w:tcPr>
          <w:p>
            <w:pPr>
              <w:jc w:val="center"/>
              <w:spacing w:after="0"/>
              <w:rPr>
                <w:sz w:val="20"/>
                <w:szCs w:val="20"/>
                <w:color w:val="auto"/>
              </w:rPr>
            </w:pPr>
            <w:r>
              <w:rPr>
                <w:rFonts w:ascii="Arial" w:cs="Arial" w:eastAsia="Arial" w:hAnsi="Arial"/>
                <w:sz w:val="18"/>
                <w:szCs w:val="18"/>
                <w:color w:val="auto"/>
              </w:rPr>
              <w:t>$465.7</w:t>
            </w:r>
          </w:p>
        </w:tc>
        <w:tc>
          <w:tcPr>
            <w:tcW w:w="1060" w:type="dxa"/>
            <w:vAlign w:val="bottom"/>
          </w:tcPr>
          <w:p>
            <w:pPr>
              <w:jc w:val="right"/>
              <w:ind w:right="276"/>
              <w:spacing w:after="0"/>
              <w:rPr>
                <w:sz w:val="20"/>
                <w:szCs w:val="20"/>
                <w:color w:val="auto"/>
              </w:rPr>
            </w:pPr>
            <w:r>
              <w:rPr>
                <w:rFonts w:ascii="Arial" w:cs="Arial" w:eastAsia="Arial" w:hAnsi="Arial"/>
                <w:sz w:val="18"/>
                <w:szCs w:val="18"/>
                <w:color w:val="auto"/>
              </w:rPr>
              <w:t>13%</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5"/>
        </w:trPr>
        <w:tc>
          <w:tcPr>
            <w:tcW w:w="3800" w:type="dxa"/>
            <w:vAlign w:val="bottom"/>
          </w:tcPr>
          <w:p>
            <w:pPr>
              <w:spacing w:after="0"/>
              <w:rPr>
                <w:sz w:val="20"/>
                <w:szCs w:val="20"/>
                <w:color w:val="auto"/>
              </w:rPr>
            </w:pPr>
            <w:r>
              <w:rPr>
                <w:rFonts w:ascii="Arial" w:cs="Arial" w:eastAsia="Arial" w:hAnsi="Arial"/>
                <w:sz w:val="18"/>
                <w:szCs w:val="18"/>
                <w:color w:val="auto"/>
              </w:rPr>
              <w:t>Net revenue</w:t>
            </w:r>
            <w:r>
              <w:rPr>
                <w:rFonts w:ascii="Arial" w:cs="Arial" w:eastAsia="Arial" w:hAnsi="Arial"/>
                <w:sz w:val="21"/>
                <w:szCs w:val="21"/>
                <w:color w:val="auto"/>
                <w:vertAlign w:val="superscript"/>
              </w:rPr>
              <w:t>7</w:t>
            </w:r>
          </w:p>
        </w:tc>
        <w:tc>
          <w:tcPr>
            <w:tcW w:w="1060" w:type="dxa"/>
            <w:vAlign w:val="bottom"/>
          </w:tcPr>
          <w:p>
            <w:pPr>
              <w:jc w:val="center"/>
              <w:spacing w:after="0"/>
              <w:rPr>
                <w:sz w:val="20"/>
                <w:szCs w:val="20"/>
                <w:color w:val="auto"/>
              </w:rPr>
            </w:pPr>
            <w:r>
              <w:rPr>
                <w:rFonts w:ascii="Arial" w:cs="Arial" w:eastAsia="Arial" w:hAnsi="Arial"/>
                <w:sz w:val="18"/>
                <w:szCs w:val="18"/>
                <w:color w:val="auto"/>
                <w:w w:val="98"/>
              </w:rPr>
              <w:t>$403.5</w:t>
            </w:r>
          </w:p>
        </w:tc>
        <w:tc>
          <w:tcPr>
            <w:tcW w:w="1080" w:type="dxa"/>
            <w:vAlign w:val="bottom"/>
          </w:tcPr>
          <w:p>
            <w:pPr>
              <w:jc w:val="center"/>
              <w:spacing w:after="0"/>
              <w:rPr>
                <w:sz w:val="20"/>
                <w:szCs w:val="20"/>
                <w:color w:val="auto"/>
              </w:rPr>
            </w:pPr>
            <w:r>
              <w:rPr>
                <w:rFonts w:ascii="Arial" w:cs="Arial" w:eastAsia="Arial" w:hAnsi="Arial"/>
                <w:sz w:val="18"/>
                <w:szCs w:val="18"/>
                <w:color w:val="auto"/>
              </w:rPr>
              <w:t>$363.7</w:t>
            </w:r>
          </w:p>
        </w:tc>
        <w:tc>
          <w:tcPr>
            <w:tcW w:w="1080" w:type="dxa"/>
            <w:vAlign w:val="bottom"/>
          </w:tcPr>
          <w:p>
            <w:pPr>
              <w:jc w:val="center"/>
              <w:spacing w:after="0"/>
              <w:rPr>
                <w:sz w:val="20"/>
                <w:szCs w:val="20"/>
                <w:color w:val="auto"/>
              </w:rPr>
            </w:pPr>
            <w:r>
              <w:rPr>
                <w:rFonts w:ascii="Arial" w:cs="Arial" w:eastAsia="Arial" w:hAnsi="Arial"/>
                <w:sz w:val="18"/>
                <w:szCs w:val="18"/>
                <w:color w:val="auto"/>
                <w:w w:val="99"/>
              </w:rPr>
              <w:t>11%</w:t>
            </w:r>
          </w:p>
        </w:tc>
        <w:tc>
          <w:tcPr>
            <w:tcW w:w="1060" w:type="dxa"/>
            <w:vAlign w:val="bottom"/>
          </w:tcPr>
          <w:p>
            <w:pPr>
              <w:jc w:val="center"/>
              <w:spacing w:after="0"/>
              <w:rPr>
                <w:sz w:val="20"/>
                <w:szCs w:val="20"/>
                <w:color w:val="auto"/>
              </w:rPr>
            </w:pPr>
            <w:r>
              <w:rPr>
                <w:rFonts w:ascii="Arial" w:cs="Arial" w:eastAsia="Arial" w:hAnsi="Arial"/>
                <w:sz w:val="18"/>
                <w:szCs w:val="18"/>
                <w:color w:val="auto"/>
                <w:w w:val="99"/>
              </w:rPr>
              <w:t>$1,550.9</w:t>
            </w:r>
          </w:p>
        </w:tc>
        <w:tc>
          <w:tcPr>
            <w:tcW w:w="1080" w:type="dxa"/>
            <w:vAlign w:val="bottom"/>
          </w:tcPr>
          <w:p>
            <w:pPr>
              <w:jc w:val="center"/>
              <w:spacing w:after="0"/>
              <w:rPr>
                <w:sz w:val="20"/>
                <w:szCs w:val="20"/>
                <w:color w:val="auto"/>
              </w:rPr>
            </w:pPr>
            <w:r>
              <w:rPr>
                <w:rFonts w:ascii="Arial" w:cs="Arial" w:eastAsia="Arial" w:hAnsi="Arial"/>
                <w:sz w:val="18"/>
                <w:szCs w:val="18"/>
                <w:color w:val="auto"/>
                <w:w w:val="99"/>
              </w:rPr>
              <w:t>$1,546.7</w:t>
            </w:r>
          </w:p>
        </w:tc>
        <w:tc>
          <w:tcPr>
            <w:tcW w:w="1060" w:type="dxa"/>
            <w:vAlign w:val="bottom"/>
          </w:tcPr>
          <w:p>
            <w:pPr>
              <w:jc w:val="right"/>
              <w:ind w:right="316"/>
              <w:spacing w:after="0"/>
              <w:rPr>
                <w:sz w:val="20"/>
                <w:szCs w:val="20"/>
                <w:color w:val="auto"/>
              </w:rPr>
            </w:pPr>
            <w:r>
              <w:rPr>
                <w:rFonts w:ascii="Arial" w:cs="Arial" w:eastAsia="Arial" w:hAnsi="Arial"/>
                <w:sz w:val="18"/>
                <w:szCs w:val="18"/>
                <w:color w:val="auto"/>
              </w:rPr>
              <w:t>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1"/>
        </w:trPr>
        <w:tc>
          <w:tcPr>
            <w:tcW w:w="3800" w:type="dxa"/>
            <w:vAlign w:val="bottom"/>
          </w:tcPr>
          <w:p>
            <w:pPr>
              <w:spacing w:after="0"/>
              <w:rPr>
                <w:sz w:val="20"/>
                <w:szCs w:val="20"/>
                <w:color w:val="auto"/>
              </w:rPr>
            </w:pPr>
            <w:r>
              <w:rPr>
                <w:rFonts w:ascii="Arial" w:cs="Arial" w:eastAsia="Arial" w:hAnsi="Arial"/>
                <w:sz w:val="18"/>
                <w:szCs w:val="18"/>
                <w:color w:val="auto"/>
              </w:rPr>
              <w:t>Pre-tax return on net revenue</w:t>
            </w:r>
            <w:r>
              <w:rPr>
                <w:rFonts w:ascii="Arial" w:cs="Arial" w:eastAsia="Arial" w:hAnsi="Arial"/>
                <w:sz w:val="21"/>
                <w:szCs w:val="21"/>
                <w:color w:val="auto"/>
                <w:vertAlign w:val="superscript"/>
              </w:rPr>
              <w:t>8</w:t>
            </w:r>
          </w:p>
        </w:tc>
        <w:tc>
          <w:tcPr>
            <w:tcW w:w="1060" w:type="dxa"/>
            <w:vAlign w:val="bottom"/>
          </w:tcPr>
          <w:p>
            <w:pPr>
              <w:jc w:val="center"/>
              <w:spacing w:after="0"/>
              <w:rPr>
                <w:sz w:val="20"/>
                <w:szCs w:val="20"/>
                <w:color w:val="auto"/>
              </w:rPr>
            </w:pPr>
            <w:r>
              <w:rPr>
                <w:rFonts w:ascii="Arial" w:cs="Arial" w:eastAsia="Arial" w:hAnsi="Arial"/>
                <w:sz w:val="18"/>
                <w:szCs w:val="18"/>
                <w:color w:val="auto"/>
                <w:w w:val="97"/>
              </w:rPr>
              <w:t>35.9%</w:t>
            </w:r>
          </w:p>
        </w:tc>
        <w:tc>
          <w:tcPr>
            <w:tcW w:w="1080" w:type="dxa"/>
            <w:vAlign w:val="bottom"/>
          </w:tcPr>
          <w:p>
            <w:pPr>
              <w:jc w:val="center"/>
              <w:spacing w:after="0"/>
              <w:rPr>
                <w:sz w:val="20"/>
                <w:szCs w:val="20"/>
                <w:color w:val="auto"/>
              </w:rPr>
            </w:pPr>
            <w:r>
              <w:rPr>
                <w:rFonts w:ascii="Arial" w:cs="Arial" w:eastAsia="Arial" w:hAnsi="Arial"/>
                <w:sz w:val="18"/>
                <w:szCs w:val="18"/>
                <w:color w:val="auto"/>
              </w:rPr>
              <w:t>31.3%</w:t>
            </w:r>
          </w:p>
        </w:tc>
        <w:tc>
          <w:tcPr>
            <w:tcW w:w="1080" w:type="dxa"/>
            <w:vAlign w:val="bottom"/>
          </w:tcPr>
          <w:p>
            <w:pPr>
              <w:spacing w:after="0"/>
              <w:rPr>
                <w:sz w:val="24"/>
                <w:szCs w:val="24"/>
                <w:color w:val="auto"/>
              </w:rPr>
            </w:pPr>
          </w:p>
        </w:tc>
        <w:tc>
          <w:tcPr>
            <w:tcW w:w="1060" w:type="dxa"/>
            <w:vAlign w:val="bottom"/>
          </w:tcPr>
          <w:p>
            <w:pPr>
              <w:jc w:val="center"/>
              <w:spacing w:after="0"/>
              <w:rPr>
                <w:sz w:val="20"/>
                <w:szCs w:val="20"/>
                <w:color w:val="auto"/>
              </w:rPr>
            </w:pPr>
            <w:r>
              <w:rPr>
                <w:rFonts w:ascii="Arial" w:cs="Arial" w:eastAsia="Arial" w:hAnsi="Arial"/>
                <w:sz w:val="18"/>
                <w:szCs w:val="18"/>
                <w:color w:val="auto"/>
              </w:rPr>
              <w:t>33.8%</w:t>
            </w:r>
          </w:p>
        </w:tc>
        <w:tc>
          <w:tcPr>
            <w:tcW w:w="1080" w:type="dxa"/>
            <w:vAlign w:val="bottom"/>
          </w:tcPr>
          <w:p>
            <w:pPr>
              <w:jc w:val="center"/>
              <w:spacing w:after="0"/>
              <w:rPr>
                <w:sz w:val="20"/>
                <w:szCs w:val="20"/>
                <w:color w:val="auto"/>
              </w:rPr>
            </w:pPr>
            <w:r>
              <w:rPr>
                <w:rFonts w:ascii="Arial" w:cs="Arial" w:eastAsia="Arial" w:hAnsi="Arial"/>
                <w:sz w:val="18"/>
                <w:szCs w:val="18"/>
                <w:color w:val="auto"/>
              </w:rPr>
              <w:t>30.1%</w:t>
            </w:r>
          </w:p>
        </w:tc>
        <w:tc>
          <w:tcPr>
            <w:tcW w:w="10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20"/>
          <w:szCs w:val="20"/>
          <w:b w:val="1"/>
          <w:bCs w:val="1"/>
          <w:color w:val="auto"/>
        </w:rPr>
        <w:t xml:space="preserve">Pre-tax operating earnings </w:t>
      </w:r>
      <w:r>
        <w:rPr>
          <w:rFonts w:ascii="Arial" w:cs="Arial" w:eastAsia="Arial" w:hAnsi="Arial"/>
          <w:sz w:val="20"/>
          <w:szCs w:val="20"/>
          <w:color w:val="auto"/>
        </w:rPr>
        <w:t>increased $30.7 million driven by an increase in net revenue.</w:t>
      </w:r>
    </w:p>
    <w:p>
      <w:pPr>
        <w:spacing w:after="0" w:line="205" w:lineRule="exact"/>
        <w:rPr>
          <w:rFonts w:ascii="Arial" w:cs="Arial" w:eastAsia="Arial" w:hAnsi="Arial"/>
          <w:sz w:val="18"/>
          <w:szCs w:val="18"/>
          <w:color w:val="auto"/>
        </w:rPr>
      </w:pPr>
    </w:p>
    <w:p>
      <w:pPr>
        <w:ind w:left="660" w:right="220" w:hanging="328"/>
        <w:spacing w:after="0" w:line="28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20"/>
          <w:szCs w:val="20"/>
          <w:b w:val="1"/>
          <w:bCs w:val="1"/>
          <w:color w:val="auto"/>
        </w:rPr>
        <w:t xml:space="preserve">Net revenue </w:t>
      </w:r>
      <w:r>
        <w:rPr>
          <w:rFonts w:ascii="Arial" w:cs="Arial" w:eastAsia="Arial" w:hAnsi="Arial"/>
          <w:sz w:val="20"/>
          <w:szCs w:val="20"/>
          <w:color w:val="auto"/>
        </w:rPr>
        <w:t>increased $39.8 million primarily due to higher fees driven by higher account values, and higher variable</w:t>
      </w:r>
      <w:r>
        <w:rPr>
          <w:rFonts w:ascii="Arial" w:cs="Arial" w:eastAsia="Arial" w:hAnsi="Arial"/>
          <w:sz w:val="20"/>
          <w:szCs w:val="20"/>
          <w:b w:val="1"/>
          <w:bCs w:val="1"/>
          <w:color w:val="auto"/>
        </w:rPr>
        <w:t xml:space="preserve"> </w:t>
      </w:r>
      <w:r>
        <w:rPr>
          <w:rFonts w:ascii="Arial" w:cs="Arial" w:eastAsia="Arial" w:hAnsi="Arial"/>
          <w:sz w:val="20"/>
          <w:szCs w:val="20"/>
          <w:color w:val="auto"/>
        </w:rPr>
        <w:t>investment income</w:t>
      </w:r>
      <w:r>
        <w:rPr>
          <w:rFonts w:ascii="Arial" w:cs="Arial" w:eastAsia="Arial" w:hAnsi="Arial"/>
          <w:sz w:val="25"/>
          <w:szCs w:val="25"/>
          <w:color w:val="auto"/>
          <w:vertAlign w:val="superscript"/>
        </w:rPr>
        <w:t>9</w:t>
      </w:r>
      <w:r>
        <w:rPr>
          <w:rFonts w:ascii="Arial" w:cs="Arial" w:eastAsia="Arial" w:hAnsi="Arial"/>
          <w:sz w:val="20"/>
          <w:szCs w:val="20"/>
          <w:color w:val="auto"/>
        </w:rPr>
        <w:t>.</w:t>
      </w: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Retirement and Income Solutions - Spread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wp:posOffset>
            </wp:positionV>
            <wp:extent cx="6843395" cy="1020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43395" cy="1020445"/>
                    </a:xfrm>
                    <a:prstGeom prst="rect">
                      <a:avLst/>
                    </a:prstGeom>
                    <a:noFill/>
                  </pic:spPr>
                </pic:pic>
              </a:graphicData>
            </a:graphic>
          </wp:anchor>
        </w:drawing>
      </w:r>
    </w:p>
    <w:p>
      <w:pPr>
        <w:spacing w:after="0" w:line="156" w:lineRule="exact"/>
        <w:rPr>
          <w:sz w:val="20"/>
          <w:szCs w:val="20"/>
          <w:color w:val="auto"/>
        </w:rPr>
      </w:pPr>
    </w:p>
    <w:tbl>
      <w:tblPr>
        <w:tblLayout w:type="fixed"/>
        <w:tblInd w:w="500" w:type="dxa"/>
        <w:tblCellMar>
          <w:top w:w="0" w:type="dxa"/>
          <w:left w:w="0" w:type="dxa"/>
          <w:bottom w:w="0" w:type="dxa"/>
          <w:right w:w="0" w:type="dxa"/>
        </w:tblCellMar>
      </w:tblPr>
      <w:tr>
        <w:trPr>
          <w:trHeight w:val="270"/>
        </w:trPr>
        <w:tc>
          <w:tcPr>
            <w:tcW w:w="3820" w:type="dxa"/>
            <w:vAlign w:val="bottom"/>
            <w:vMerge w:val="restart"/>
          </w:tcPr>
          <w:p>
            <w:pPr>
              <w:ind w:left="40"/>
              <w:spacing w:after="0"/>
              <w:rPr>
                <w:sz w:val="20"/>
                <w:szCs w:val="20"/>
                <w:color w:val="auto"/>
              </w:rPr>
            </w:pPr>
            <w:r>
              <w:rPr>
                <w:rFonts w:ascii="Arial" w:cs="Arial" w:eastAsia="Arial" w:hAnsi="Arial"/>
                <w:sz w:val="14"/>
                <w:szCs w:val="14"/>
                <w:i w:val="1"/>
                <w:iCs w:val="1"/>
                <w:color w:val="auto"/>
              </w:rPr>
              <w:t>(in millions except percentages or otherwise noted)</w:t>
            </w:r>
          </w:p>
        </w:tc>
        <w:tc>
          <w:tcPr>
            <w:tcW w:w="1060" w:type="dxa"/>
            <w:vAlign w:val="bottom"/>
            <w:shd w:val="clear" w:color="auto" w:fill="BFBFBF"/>
          </w:tcPr>
          <w:p>
            <w:pPr>
              <w:spacing w:after="0"/>
              <w:rPr>
                <w:sz w:val="23"/>
                <w:szCs w:val="23"/>
                <w:color w:val="auto"/>
              </w:rPr>
            </w:pPr>
          </w:p>
        </w:tc>
        <w:tc>
          <w:tcPr>
            <w:tcW w:w="1100" w:type="dxa"/>
            <w:vAlign w:val="bottom"/>
            <w:shd w:val="clear" w:color="auto" w:fill="BFBFBF"/>
          </w:tcPr>
          <w:p>
            <w:pPr>
              <w:ind w:left="240"/>
              <w:spacing w:after="0"/>
              <w:rPr>
                <w:sz w:val="20"/>
                <w:szCs w:val="20"/>
                <w:color w:val="auto"/>
              </w:rPr>
            </w:pPr>
            <w:r>
              <w:rPr>
                <w:rFonts w:ascii="Arial" w:cs="Arial" w:eastAsia="Arial" w:hAnsi="Arial"/>
                <w:sz w:val="18"/>
                <w:szCs w:val="18"/>
                <w:b w:val="1"/>
                <w:bCs w:val="1"/>
                <w:i w:val="1"/>
                <w:iCs w:val="1"/>
                <w:color w:val="auto"/>
              </w:rPr>
              <w:t>Quarter</w:t>
            </w:r>
          </w:p>
        </w:tc>
        <w:tc>
          <w:tcPr>
            <w:tcW w:w="1120" w:type="dxa"/>
            <w:vAlign w:val="bottom"/>
            <w:shd w:val="clear" w:color="auto" w:fill="BFBFBF"/>
          </w:tcPr>
          <w:p>
            <w:pPr>
              <w:spacing w:after="0"/>
              <w:rPr>
                <w:sz w:val="23"/>
                <w:szCs w:val="23"/>
                <w:color w:val="auto"/>
              </w:rPr>
            </w:pPr>
          </w:p>
        </w:tc>
        <w:tc>
          <w:tcPr>
            <w:tcW w:w="3180" w:type="dxa"/>
            <w:vAlign w:val="bottom"/>
            <w:gridSpan w:val="3"/>
            <w:shd w:val="clear" w:color="auto" w:fill="BFBFBF"/>
          </w:tcPr>
          <w:p>
            <w:pPr>
              <w:ind w:left="580"/>
              <w:spacing w:after="0"/>
              <w:rPr>
                <w:sz w:val="20"/>
                <w:szCs w:val="20"/>
                <w:color w:val="auto"/>
              </w:rPr>
            </w:pPr>
            <w:r>
              <w:rPr>
                <w:rFonts w:ascii="Arial" w:cs="Arial" w:eastAsia="Arial" w:hAnsi="Arial"/>
                <w:sz w:val="18"/>
                <w:szCs w:val="18"/>
                <w:b w:val="1"/>
                <w:bCs w:val="1"/>
                <w:i w:val="1"/>
                <w:iCs w:val="1"/>
                <w:color w:val="auto"/>
              </w:rPr>
              <w:t>Trailing Twelve Months</w:t>
            </w:r>
          </w:p>
        </w:tc>
        <w:tc>
          <w:tcPr>
            <w:tcW w:w="0" w:type="dxa"/>
            <w:vAlign w:val="bottom"/>
          </w:tcPr>
          <w:p>
            <w:pPr>
              <w:spacing w:after="0"/>
              <w:rPr>
                <w:sz w:val="1"/>
                <w:szCs w:val="1"/>
                <w:color w:val="auto"/>
              </w:rPr>
            </w:pPr>
          </w:p>
        </w:tc>
      </w:tr>
      <w:tr>
        <w:trPr>
          <w:trHeight w:val="83"/>
        </w:trPr>
        <w:tc>
          <w:tcPr>
            <w:tcW w:w="3820" w:type="dxa"/>
            <w:vAlign w:val="bottom"/>
            <w:vMerge w:val="continue"/>
          </w:tcPr>
          <w:p>
            <w:pPr>
              <w:spacing w:after="0"/>
              <w:rPr>
                <w:sz w:val="7"/>
                <w:szCs w:val="7"/>
                <w:color w:val="auto"/>
              </w:rPr>
            </w:pPr>
          </w:p>
        </w:tc>
        <w:tc>
          <w:tcPr>
            <w:tcW w:w="106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1Q17</w:t>
            </w:r>
          </w:p>
        </w:tc>
        <w:tc>
          <w:tcPr>
            <w:tcW w:w="110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1Q16</w:t>
            </w:r>
          </w:p>
        </w:tc>
        <w:tc>
          <w:tcPr>
            <w:tcW w:w="1120" w:type="dxa"/>
            <w:vAlign w:val="bottom"/>
            <w:vMerge w:val="restart"/>
          </w:tcPr>
          <w:p>
            <w:pPr>
              <w:jc w:val="center"/>
              <w:spacing w:after="0"/>
              <w:rPr>
                <w:sz w:val="20"/>
                <w:szCs w:val="20"/>
                <w:color w:val="auto"/>
              </w:rPr>
            </w:pPr>
            <w:r>
              <w:rPr>
                <w:rFonts w:ascii="Arial" w:cs="Arial" w:eastAsia="Arial" w:hAnsi="Arial"/>
                <w:sz w:val="14"/>
                <w:szCs w:val="14"/>
                <w:color w:val="auto"/>
              </w:rPr>
              <w:t>% Change</w:t>
            </w:r>
          </w:p>
        </w:tc>
        <w:tc>
          <w:tcPr>
            <w:tcW w:w="104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1Q17</w:t>
            </w:r>
          </w:p>
        </w:tc>
        <w:tc>
          <w:tcPr>
            <w:tcW w:w="104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6"/>
              </w:rPr>
              <w:t>1Q16</w:t>
            </w:r>
          </w:p>
        </w:tc>
        <w:tc>
          <w:tcPr>
            <w:tcW w:w="1100" w:type="dxa"/>
            <w:vAlign w:val="bottom"/>
            <w:vMerge w:val="restart"/>
          </w:tcPr>
          <w:p>
            <w:pPr>
              <w:jc w:val="center"/>
              <w:spacing w:after="0"/>
              <w:rPr>
                <w:sz w:val="20"/>
                <w:szCs w:val="20"/>
                <w:color w:val="auto"/>
              </w:rPr>
            </w:pPr>
            <w:r>
              <w:rPr>
                <w:rFonts w:ascii="Arial" w:cs="Arial" w:eastAsia="Arial" w:hAnsi="Arial"/>
                <w:sz w:val="14"/>
                <w:szCs w:val="14"/>
                <w:color w:val="auto"/>
              </w:rPr>
              <w:t>% Change</w:t>
            </w:r>
          </w:p>
        </w:tc>
        <w:tc>
          <w:tcPr>
            <w:tcW w:w="0" w:type="dxa"/>
            <w:vAlign w:val="bottom"/>
          </w:tcPr>
          <w:p>
            <w:pPr>
              <w:spacing w:after="0"/>
              <w:rPr>
                <w:sz w:val="1"/>
                <w:szCs w:val="1"/>
                <w:color w:val="auto"/>
              </w:rPr>
            </w:pPr>
          </w:p>
        </w:tc>
      </w:tr>
      <w:tr>
        <w:trPr>
          <w:trHeight w:val="159"/>
        </w:trPr>
        <w:tc>
          <w:tcPr>
            <w:tcW w:w="3820" w:type="dxa"/>
            <w:vAlign w:val="bottom"/>
          </w:tcPr>
          <w:p>
            <w:pPr>
              <w:spacing w:after="0"/>
              <w:rPr>
                <w:sz w:val="13"/>
                <w:szCs w:val="13"/>
                <w:color w:val="auto"/>
              </w:rPr>
            </w:pPr>
          </w:p>
        </w:tc>
        <w:tc>
          <w:tcPr>
            <w:tcW w:w="1060" w:type="dxa"/>
            <w:vAlign w:val="bottom"/>
            <w:tcBorders>
              <w:bottom w:val="single" w:sz="8" w:color="auto"/>
            </w:tcBorders>
            <w:vMerge w:val="continue"/>
          </w:tcPr>
          <w:p>
            <w:pPr>
              <w:spacing w:after="0"/>
              <w:rPr>
                <w:sz w:val="13"/>
                <w:szCs w:val="13"/>
                <w:color w:val="auto"/>
              </w:rPr>
            </w:pPr>
          </w:p>
        </w:tc>
        <w:tc>
          <w:tcPr>
            <w:tcW w:w="1100" w:type="dxa"/>
            <w:vAlign w:val="bottom"/>
            <w:tcBorders>
              <w:bottom w:val="single" w:sz="8" w:color="auto"/>
            </w:tcBorders>
            <w:vMerge w:val="continue"/>
          </w:tcPr>
          <w:p>
            <w:pPr>
              <w:spacing w:after="0"/>
              <w:rPr>
                <w:sz w:val="13"/>
                <w:szCs w:val="13"/>
                <w:color w:val="auto"/>
              </w:rPr>
            </w:pPr>
          </w:p>
        </w:tc>
        <w:tc>
          <w:tcPr>
            <w:tcW w:w="1120" w:type="dxa"/>
            <w:vAlign w:val="bottom"/>
            <w:tcBorders>
              <w:bottom w:val="single" w:sz="8" w:color="auto"/>
            </w:tcBorders>
            <w:vMerge w:val="continue"/>
          </w:tcPr>
          <w:p>
            <w:pPr>
              <w:spacing w:after="0"/>
              <w:rPr>
                <w:sz w:val="13"/>
                <w:szCs w:val="13"/>
                <w:color w:val="auto"/>
              </w:rPr>
            </w:pPr>
          </w:p>
        </w:tc>
        <w:tc>
          <w:tcPr>
            <w:tcW w:w="1040" w:type="dxa"/>
            <w:vAlign w:val="bottom"/>
            <w:tcBorders>
              <w:bottom w:val="single" w:sz="8" w:color="auto"/>
            </w:tcBorders>
            <w:vMerge w:val="continue"/>
          </w:tcPr>
          <w:p>
            <w:pPr>
              <w:spacing w:after="0"/>
              <w:rPr>
                <w:sz w:val="13"/>
                <w:szCs w:val="13"/>
                <w:color w:val="auto"/>
              </w:rPr>
            </w:pPr>
          </w:p>
        </w:tc>
        <w:tc>
          <w:tcPr>
            <w:tcW w:w="1040" w:type="dxa"/>
            <w:vAlign w:val="bottom"/>
            <w:tcBorders>
              <w:bottom w:val="single" w:sz="8" w:color="auto"/>
            </w:tcBorders>
            <w:vMerge w:val="continue"/>
          </w:tcPr>
          <w:p>
            <w:pPr>
              <w:spacing w:after="0"/>
              <w:rPr>
                <w:sz w:val="13"/>
                <w:szCs w:val="13"/>
                <w:color w:val="auto"/>
              </w:rPr>
            </w:pPr>
          </w:p>
        </w:tc>
        <w:tc>
          <w:tcPr>
            <w:tcW w:w="1100" w:type="dxa"/>
            <w:vAlign w:val="bottom"/>
            <w:tcBorders>
              <w:bottom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43"/>
        </w:trPr>
        <w:tc>
          <w:tcPr>
            <w:tcW w:w="3820" w:type="dxa"/>
            <w:vAlign w:val="bottom"/>
          </w:tcPr>
          <w:p>
            <w:pPr>
              <w:spacing w:after="0"/>
              <w:rPr>
                <w:sz w:val="20"/>
                <w:szCs w:val="20"/>
                <w:color w:val="auto"/>
              </w:rPr>
            </w:pPr>
            <w:r>
              <w:rPr>
                <w:rFonts w:ascii="Arial" w:cs="Arial" w:eastAsia="Arial" w:hAnsi="Arial"/>
                <w:sz w:val="18"/>
                <w:szCs w:val="18"/>
                <w:color w:val="auto"/>
              </w:rPr>
              <w:t>Pre-tax operating earnings</w:t>
            </w:r>
          </w:p>
        </w:tc>
        <w:tc>
          <w:tcPr>
            <w:tcW w:w="1060" w:type="dxa"/>
            <w:vAlign w:val="bottom"/>
          </w:tcPr>
          <w:p>
            <w:pPr>
              <w:jc w:val="center"/>
              <w:spacing w:after="0"/>
              <w:rPr>
                <w:sz w:val="20"/>
                <w:szCs w:val="20"/>
                <w:color w:val="auto"/>
              </w:rPr>
            </w:pPr>
            <w:r>
              <w:rPr>
                <w:rFonts w:ascii="Arial" w:cs="Arial" w:eastAsia="Arial" w:hAnsi="Arial"/>
                <w:sz w:val="18"/>
                <w:szCs w:val="18"/>
                <w:color w:val="auto"/>
                <w:w w:val="97"/>
              </w:rPr>
              <w:t>$99.5</w:t>
            </w:r>
          </w:p>
        </w:tc>
        <w:tc>
          <w:tcPr>
            <w:tcW w:w="1100" w:type="dxa"/>
            <w:vAlign w:val="bottom"/>
          </w:tcPr>
          <w:p>
            <w:pPr>
              <w:jc w:val="center"/>
              <w:spacing w:after="0"/>
              <w:rPr>
                <w:sz w:val="20"/>
                <w:szCs w:val="20"/>
                <w:color w:val="auto"/>
              </w:rPr>
            </w:pPr>
            <w:r>
              <w:rPr>
                <w:rFonts w:ascii="Arial" w:cs="Arial" w:eastAsia="Arial" w:hAnsi="Arial"/>
                <w:sz w:val="18"/>
                <w:szCs w:val="18"/>
                <w:color w:val="auto"/>
                <w:w w:val="97"/>
              </w:rPr>
              <w:t>$67.4</w:t>
            </w:r>
          </w:p>
        </w:tc>
        <w:tc>
          <w:tcPr>
            <w:tcW w:w="1120" w:type="dxa"/>
            <w:vAlign w:val="bottom"/>
          </w:tcPr>
          <w:p>
            <w:pPr>
              <w:jc w:val="center"/>
              <w:spacing w:after="0"/>
              <w:rPr>
                <w:sz w:val="20"/>
                <w:szCs w:val="20"/>
                <w:color w:val="auto"/>
              </w:rPr>
            </w:pPr>
            <w:r>
              <w:rPr>
                <w:rFonts w:ascii="Arial" w:cs="Arial" w:eastAsia="Arial" w:hAnsi="Arial"/>
                <w:sz w:val="18"/>
                <w:szCs w:val="18"/>
                <w:color w:val="auto"/>
                <w:w w:val="99"/>
              </w:rPr>
              <w:t>48%</w:t>
            </w:r>
          </w:p>
        </w:tc>
        <w:tc>
          <w:tcPr>
            <w:tcW w:w="1040" w:type="dxa"/>
            <w:vAlign w:val="bottom"/>
          </w:tcPr>
          <w:p>
            <w:pPr>
              <w:jc w:val="center"/>
              <w:spacing w:after="0"/>
              <w:rPr>
                <w:sz w:val="20"/>
                <w:szCs w:val="20"/>
                <w:color w:val="auto"/>
              </w:rPr>
            </w:pPr>
            <w:r>
              <w:rPr>
                <w:rFonts w:ascii="Arial" w:cs="Arial" w:eastAsia="Arial" w:hAnsi="Arial"/>
                <w:sz w:val="18"/>
                <w:szCs w:val="18"/>
                <w:color w:val="auto"/>
              </w:rPr>
              <w:t>$333.2</w:t>
            </w:r>
          </w:p>
        </w:tc>
        <w:tc>
          <w:tcPr>
            <w:tcW w:w="1040" w:type="dxa"/>
            <w:vAlign w:val="bottom"/>
          </w:tcPr>
          <w:p>
            <w:pPr>
              <w:jc w:val="center"/>
              <w:spacing w:after="0"/>
              <w:rPr>
                <w:sz w:val="20"/>
                <w:szCs w:val="20"/>
                <w:color w:val="auto"/>
              </w:rPr>
            </w:pPr>
            <w:r>
              <w:rPr>
                <w:rFonts w:ascii="Arial" w:cs="Arial" w:eastAsia="Arial" w:hAnsi="Arial"/>
                <w:sz w:val="18"/>
                <w:szCs w:val="18"/>
                <w:color w:val="auto"/>
                <w:w w:val="98"/>
              </w:rPr>
              <w:t>$252.9</w:t>
            </w:r>
          </w:p>
        </w:tc>
        <w:tc>
          <w:tcPr>
            <w:tcW w:w="1100" w:type="dxa"/>
            <w:vAlign w:val="bottom"/>
          </w:tcPr>
          <w:p>
            <w:pPr>
              <w:jc w:val="center"/>
              <w:spacing w:after="0"/>
              <w:rPr>
                <w:sz w:val="20"/>
                <w:szCs w:val="20"/>
                <w:color w:val="auto"/>
              </w:rPr>
            </w:pPr>
            <w:r>
              <w:rPr>
                <w:rFonts w:ascii="Arial" w:cs="Arial" w:eastAsia="Arial" w:hAnsi="Arial"/>
                <w:sz w:val="18"/>
                <w:szCs w:val="18"/>
                <w:color w:val="auto"/>
                <w:w w:val="99"/>
              </w:rPr>
              <w:t>32%</w:t>
            </w:r>
          </w:p>
        </w:tc>
        <w:tc>
          <w:tcPr>
            <w:tcW w:w="0" w:type="dxa"/>
            <w:vAlign w:val="bottom"/>
          </w:tcPr>
          <w:p>
            <w:pPr>
              <w:spacing w:after="0"/>
              <w:rPr>
                <w:sz w:val="1"/>
                <w:szCs w:val="1"/>
                <w:color w:val="auto"/>
              </w:rPr>
            </w:pPr>
          </w:p>
        </w:tc>
      </w:tr>
      <w:tr>
        <w:trPr>
          <w:trHeight w:val="392"/>
        </w:trPr>
        <w:tc>
          <w:tcPr>
            <w:tcW w:w="3820" w:type="dxa"/>
            <w:vAlign w:val="bottom"/>
          </w:tcPr>
          <w:p>
            <w:pPr>
              <w:spacing w:after="0"/>
              <w:rPr>
                <w:sz w:val="20"/>
                <w:szCs w:val="20"/>
                <w:color w:val="auto"/>
              </w:rPr>
            </w:pPr>
            <w:r>
              <w:rPr>
                <w:rFonts w:ascii="Arial" w:cs="Arial" w:eastAsia="Arial" w:hAnsi="Arial"/>
                <w:sz w:val="18"/>
                <w:szCs w:val="18"/>
                <w:color w:val="auto"/>
              </w:rPr>
              <w:t>Net revenue</w:t>
            </w:r>
          </w:p>
        </w:tc>
        <w:tc>
          <w:tcPr>
            <w:tcW w:w="1060" w:type="dxa"/>
            <w:vAlign w:val="bottom"/>
          </w:tcPr>
          <w:p>
            <w:pPr>
              <w:jc w:val="center"/>
              <w:spacing w:after="0"/>
              <w:rPr>
                <w:sz w:val="20"/>
                <w:szCs w:val="20"/>
                <w:color w:val="auto"/>
              </w:rPr>
            </w:pPr>
            <w:r>
              <w:rPr>
                <w:rFonts w:ascii="Arial" w:cs="Arial" w:eastAsia="Arial" w:hAnsi="Arial"/>
                <w:sz w:val="18"/>
                <w:szCs w:val="18"/>
                <w:color w:val="auto"/>
              </w:rPr>
              <w:t>$143.9</w:t>
            </w:r>
          </w:p>
        </w:tc>
        <w:tc>
          <w:tcPr>
            <w:tcW w:w="1100" w:type="dxa"/>
            <w:vAlign w:val="bottom"/>
          </w:tcPr>
          <w:p>
            <w:pPr>
              <w:jc w:val="center"/>
              <w:spacing w:after="0"/>
              <w:rPr>
                <w:sz w:val="20"/>
                <w:szCs w:val="20"/>
                <w:color w:val="auto"/>
              </w:rPr>
            </w:pPr>
            <w:r>
              <w:rPr>
                <w:rFonts w:ascii="Arial" w:cs="Arial" w:eastAsia="Arial" w:hAnsi="Arial"/>
                <w:sz w:val="18"/>
                <w:szCs w:val="18"/>
                <w:color w:val="auto"/>
              </w:rPr>
              <w:t>$114.7</w:t>
            </w:r>
          </w:p>
        </w:tc>
        <w:tc>
          <w:tcPr>
            <w:tcW w:w="1120" w:type="dxa"/>
            <w:vAlign w:val="bottom"/>
          </w:tcPr>
          <w:p>
            <w:pPr>
              <w:jc w:val="center"/>
              <w:spacing w:after="0"/>
              <w:rPr>
                <w:sz w:val="20"/>
                <w:szCs w:val="20"/>
                <w:color w:val="auto"/>
              </w:rPr>
            </w:pPr>
            <w:r>
              <w:rPr>
                <w:rFonts w:ascii="Arial" w:cs="Arial" w:eastAsia="Arial" w:hAnsi="Arial"/>
                <w:sz w:val="18"/>
                <w:szCs w:val="18"/>
                <w:color w:val="auto"/>
                <w:w w:val="99"/>
              </w:rPr>
              <w:t>25%</w:t>
            </w:r>
          </w:p>
        </w:tc>
        <w:tc>
          <w:tcPr>
            <w:tcW w:w="1040" w:type="dxa"/>
            <w:vAlign w:val="bottom"/>
          </w:tcPr>
          <w:p>
            <w:pPr>
              <w:jc w:val="center"/>
              <w:spacing w:after="0"/>
              <w:rPr>
                <w:sz w:val="20"/>
                <w:szCs w:val="20"/>
                <w:color w:val="auto"/>
              </w:rPr>
            </w:pPr>
            <w:r>
              <w:rPr>
                <w:rFonts w:ascii="Arial" w:cs="Arial" w:eastAsia="Arial" w:hAnsi="Arial"/>
                <w:sz w:val="18"/>
                <w:szCs w:val="18"/>
                <w:color w:val="auto"/>
              </w:rPr>
              <w:t>$520.7</w:t>
            </w:r>
          </w:p>
        </w:tc>
        <w:tc>
          <w:tcPr>
            <w:tcW w:w="1040" w:type="dxa"/>
            <w:vAlign w:val="bottom"/>
          </w:tcPr>
          <w:p>
            <w:pPr>
              <w:jc w:val="center"/>
              <w:spacing w:after="0"/>
              <w:rPr>
                <w:sz w:val="20"/>
                <w:szCs w:val="20"/>
                <w:color w:val="auto"/>
              </w:rPr>
            </w:pPr>
            <w:r>
              <w:rPr>
                <w:rFonts w:ascii="Arial" w:cs="Arial" w:eastAsia="Arial" w:hAnsi="Arial"/>
                <w:sz w:val="18"/>
                <w:szCs w:val="18"/>
                <w:color w:val="auto"/>
                <w:w w:val="98"/>
              </w:rPr>
              <w:t>$445.6</w:t>
            </w:r>
          </w:p>
        </w:tc>
        <w:tc>
          <w:tcPr>
            <w:tcW w:w="1100" w:type="dxa"/>
            <w:vAlign w:val="bottom"/>
          </w:tcPr>
          <w:p>
            <w:pPr>
              <w:jc w:val="center"/>
              <w:spacing w:after="0"/>
              <w:rPr>
                <w:sz w:val="20"/>
                <w:szCs w:val="20"/>
                <w:color w:val="auto"/>
              </w:rPr>
            </w:pPr>
            <w:r>
              <w:rPr>
                <w:rFonts w:ascii="Arial" w:cs="Arial" w:eastAsia="Arial" w:hAnsi="Arial"/>
                <w:sz w:val="18"/>
                <w:szCs w:val="18"/>
                <w:color w:val="auto"/>
                <w:w w:val="99"/>
              </w:rPr>
              <w:t>17%</w:t>
            </w:r>
          </w:p>
        </w:tc>
        <w:tc>
          <w:tcPr>
            <w:tcW w:w="0" w:type="dxa"/>
            <w:vAlign w:val="bottom"/>
          </w:tcPr>
          <w:p>
            <w:pPr>
              <w:spacing w:after="0"/>
              <w:rPr>
                <w:sz w:val="1"/>
                <w:szCs w:val="1"/>
                <w:color w:val="auto"/>
              </w:rPr>
            </w:pPr>
          </w:p>
        </w:tc>
      </w:tr>
      <w:tr>
        <w:trPr>
          <w:trHeight w:val="392"/>
        </w:trPr>
        <w:tc>
          <w:tcPr>
            <w:tcW w:w="3820" w:type="dxa"/>
            <w:vAlign w:val="bottom"/>
          </w:tcPr>
          <w:p>
            <w:pPr>
              <w:spacing w:after="0"/>
              <w:rPr>
                <w:sz w:val="20"/>
                <w:szCs w:val="20"/>
                <w:color w:val="auto"/>
              </w:rPr>
            </w:pPr>
            <w:r>
              <w:rPr>
                <w:rFonts w:ascii="Arial" w:cs="Arial" w:eastAsia="Arial" w:hAnsi="Arial"/>
                <w:sz w:val="18"/>
                <w:szCs w:val="18"/>
                <w:color w:val="auto"/>
              </w:rPr>
              <w:t>Pre-tax return on net revenue</w:t>
            </w:r>
          </w:p>
        </w:tc>
        <w:tc>
          <w:tcPr>
            <w:tcW w:w="1060" w:type="dxa"/>
            <w:vAlign w:val="bottom"/>
          </w:tcPr>
          <w:p>
            <w:pPr>
              <w:jc w:val="center"/>
              <w:spacing w:after="0"/>
              <w:rPr>
                <w:sz w:val="20"/>
                <w:szCs w:val="20"/>
                <w:color w:val="auto"/>
              </w:rPr>
            </w:pPr>
            <w:r>
              <w:rPr>
                <w:rFonts w:ascii="Arial" w:cs="Arial" w:eastAsia="Arial" w:hAnsi="Arial"/>
                <w:sz w:val="18"/>
                <w:szCs w:val="18"/>
                <w:color w:val="auto"/>
              </w:rPr>
              <w:t>69.1%</w:t>
            </w:r>
          </w:p>
        </w:tc>
        <w:tc>
          <w:tcPr>
            <w:tcW w:w="1100" w:type="dxa"/>
            <w:vAlign w:val="bottom"/>
          </w:tcPr>
          <w:p>
            <w:pPr>
              <w:jc w:val="center"/>
              <w:spacing w:after="0"/>
              <w:rPr>
                <w:sz w:val="20"/>
                <w:szCs w:val="20"/>
                <w:color w:val="auto"/>
              </w:rPr>
            </w:pPr>
            <w:r>
              <w:rPr>
                <w:rFonts w:ascii="Arial" w:cs="Arial" w:eastAsia="Arial" w:hAnsi="Arial"/>
                <w:sz w:val="18"/>
                <w:szCs w:val="18"/>
                <w:color w:val="auto"/>
              </w:rPr>
              <w:t>58.8%</w:t>
            </w:r>
          </w:p>
        </w:tc>
        <w:tc>
          <w:tcPr>
            <w:tcW w:w="1120" w:type="dxa"/>
            <w:vAlign w:val="bottom"/>
          </w:tcPr>
          <w:p>
            <w:pPr>
              <w:spacing w:after="0"/>
              <w:rPr>
                <w:sz w:val="24"/>
                <w:szCs w:val="24"/>
                <w:color w:val="auto"/>
              </w:rPr>
            </w:pPr>
          </w:p>
        </w:tc>
        <w:tc>
          <w:tcPr>
            <w:tcW w:w="1040" w:type="dxa"/>
            <w:vAlign w:val="bottom"/>
          </w:tcPr>
          <w:p>
            <w:pPr>
              <w:jc w:val="center"/>
              <w:spacing w:after="0"/>
              <w:rPr>
                <w:sz w:val="20"/>
                <w:szCs w:val="20"/>
                <w:color w:val="auto"/>
              </w:rPr>
            </w:pPr>
            <w:r>
              <w:rPr>
                <w:rFonts w:ascii="Arial" w:cs="Arial" w:eastAsia="Arial" w:hAnsi="Arial"/>
                <w:sz w:val="18"/>
                <w:szCs w:val="18"/>
                <w:color w:val="auto"/>
              </w:rPr>
              <w:t>64.0%</w:t>
            </w:r>
          </w:p>
        </w:tc>
        <w:tc>
          <w:tcPr>
            <w:tcW w:w="1040" w:type="dxa"/>
            <w:vAlign w:val="bottom"/>
          </w:tcPr>
          <w:p>
            <w:pPr>
              <w:jc w:val="center"/>
              <w:spacing w:after="0"/>
              <w:rPr>
                <w:sz w:val="20"/>
                <w:szCs w:val="20"/>
                <w:color w:val="auto"/>
              </w:rPr>
            </w:pPr>
            <w:r>
              <w:rPr>
                <w:rFonts w:ascii="Arial" w:cs="Arial" w:eastAsia="Arial" w:hAnsi="Arial"/>
                <w:sz w:val="18"/>
                <w:szCs w:val="18"/>
                <w:color w:val="auto"/>
                <w:w w:val="97"/>
              </w:rPr>
              <w:t>56.8%</w:t>
            </w:r>
          </w:p>
        </w:tc>
        <w:tc>
          <w:tcPr>
            <w:tcW w:w="1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3" w:lineRule="exact"/>
        <w:rPr>
          <w:sz w:val="20"/>
          <w:szCs w:val="20"/>
          <w:color w:val="auto"/>
        </w:rPr>
      </w:pPr>
    </w:p>
    <w:p>
      <w:pPr>
        <w:ind w:left="660" w:hanging="328"/>
        <w:spacing w:after="0"/>
        <w:tabs>
          <w:tab w:leader="none" w:pos="660" w:val="left"/>
        </w:tabs>
        <w:numPr>
          <w:ilvl w:val="0"/>
          <w:numId w:val="10"/>
        </w:numPr>
        <w:rPr>
          <w:rFonts w:ascii="Arial" w:cs="Arial" w:eastAsia="Arial" w:hAnsi="Arial"/>
          <w:sz w:val="17"/>
          <w:szCs w:val="17"/>
          <w:color w:val="auto"/>
        </w:rPr>
      </w:pPr>
      <w:r>
        <w:rPr>
          <w:rFonts w:ascii="Arial" w:cs="Arial" w:eastAsia="Arial" w:hAnsi="Arial"/>
          <w:sz w:val="19"/>
          <w:szCs w:val="19"/>
          <w:b w:val="1"/>
          <w:bCs w:val="1"/>
          <w:color w:val="auto"/>
        </w:rPr>
        <w:t xml:space="preserve">Pre-tax operating earnings </w:t>
      </w:r>
      <w:r>
        <w:rPr>
          <w:rFonts w:ascii="Arial" w:cs="Arial" w:eastAsia="Arial" w:hAnsi="Arial"/>
          <w:sz w:val="19"/>
          <w:szCs w:val="19"/>
          <w:color w:val="auto"/>
        </w:rPr>
        <w:t>increased $32.1 million due to an increase in net revenue and a slight decline in expenses.</w:t>
      </w:r>
    </w:p>
    <w:p>
      <w:pPr>
        <w:spacing w:after="0" w:line="240" w:lineRule="exact"/>
        <w:rPr>
          <w:rFonts w:ascii="Arial" w:cs="Arial" w:eastAsia="Arial" w:hAnsi="Arial"/>
          <w:sz w:val="17"/>
          <w:szCs w:val="17"/>
          <w:color w:val="auto"/>
        </w:rPr>
      </w:pPr>
    </w:p>
    <w:p>
      <w:pPr>
        <w:ind w:left="660" w:right="80" w:hanging="328"/>
        <w:spacing w:after="0" w:line="272" w:lineRule="auto"/>
        <w:tabs>
          <w:tab w:leader="none" w:pos="660" w:val="left"/>
        </w:tabs>
        <w:numPr>
          <w:ilvl w:val="0"/>
          <w:numId w:val="10"/>
        </w:numPr>
        <w:rPr>
          <w:rFonts w:ascii="Arial" w:cs="Arial" w:eastAsia="Arial" w:hAnsi="Arial"/>
          <w:sz w:val="20"/>
          <w:szCs w:val="20"/>
          <w:color w:val="auto"/>
        </w:rPr>
      </w:pPr>
      <w:r>
        <w:rPr>
          <w:rFonts w:ascii="Arial" w:cs="Arial" w:eastAsia="Arial" w:hAnsi="Arial"/>
          <w:sz w:val="20"/>
          <w:szCs w:val="20"/>
          <w:b w:val="1"/>
          <w:bCs w:val="1"/>
          <w:color w:val="auto"/>
        </w:rPr>
        <w:t xml:space="preserve">Net revenue </w:t>
      </w:r>
      <w:r>
        <w:rPr>
          <w:rFonts w:ascii="Arial" w:cs="Arial" w:eastAsia="Arial" w:hAnsi="Arial"/>
          <w:sz w:val="20"/>
          <w:szCs w:val="20"/>
          <w:color w:val="auto"/>
        </w:rPr>
        <w:t>increased $29.2 million due to strong growth in the business as well as higher variable investment income</w:t>
      </w:r>
      <w:r>
        <w:rPr>
          <w:rFonts w:ascii="Arial" w:cs="Arial" w:eastAsia="Arial" w:hAnsi="Arial"/>
          <w:sz w:val="20"/>
          <w:szCs w:val="20"/>
          <w:b w:val="1"/>
          <w:bCs w:val="1"/>
          <w:color w:val="auto"/>
        </w:rPr>
        <w:t xml:space="preserve"> </w:t>
      </w:r>
      <w:r>
        <w:rPr>
          <w:rFonts w:ascii="Arial" w:cs="Arial" w:eastAsia="Arial" w:hAnsi="Arial"/>
          <w:sz w:val="20"/>
          <w:szCs w:val="20"/>
          <w:color w:val="auto"/>
        </w:rPr>
        <w:t>and mortality gains.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spacing w:after="0"/>
        <w:rPr>
          <w:sz w:val="20"/>
          <w:szCs w:val="20"/>
          <w:color w:val="auto"/>
        </w:rPr>
      </w:pPr>
      <w:r>
        <w:rPr>
          <w:rFonts w:ascii="Arial" w:cs="Arial" w:eastAsia="Arial" w:hAnsi="Arial"/>
          <w:sz w:val="11"/>
          <w:szCs w:val="11"/>
          <w:b w:val="1"/>
          <w:bCs w:val="1"/>
          <w:color w:val="auto"/>
        </w:rPr>
        <w:t>____________________________________</w:t>
      </w:r>
    </w:p>
    <w:p>
      <w:pPr>
        <w:spacing w:after="0" w:line="60" w:lineRule="exact"/>
        <w:rPr>
          <w:sz w:val="20"/>
          <w:szCs w:val="20"/>
          <w:color w:val="auto"/>
        </w:rPr>
      </w:pPr>
    </w:p>
    <w:p>
      <w:pPr>
        <w:ind w:left="100" w:hanging="92"/>
        <w:spacing w:after="0"/>
        <w:tabs>
          <w:tab w:leader="none" w:pos="100" w:val="left"/>
        </w:tabs>
        <w:numPr>
          <w:ilvl w:val="0"/>
          <w:numId w:val="11"/>
        </w:numPr>
        <w:rPr>
          <w:rFonts w:ascii="Arial" w:cs="Arial" w:eastAsia="Arial" w:hAnsi="Arial"/>
          <w:sz w:val="18"/>
          <w:szCs w:val="18"/>
          <w:color w:val="auto"/>
          <w:vertAlign w:val="superscript"/>
        </w:rPr>
      </w:pPr>
      <w:r>
        <w:rPr>
          <w:rFonts w:ascii="Arial" w:cs="Arial" w:eastAsia="Arial" w:hAnsi="Arial"/>
          <w:sz w:val="14"/>
          <w:szCs w:val="14"/>
          <w:color w:val="auto"/>
        </w:rPr>
        <w:t>Pre-tax operating earnings = operating earnings before income taxes and after noncontrolling interest.</w:t>
      </w:r>
    </w:p>
    <w:p>
      <w:pPr>
        <w:ind w:left="100" w:hanging="92"/>
        <w:spacing w:after="0" w:line="193" w:lineRule="auto"/>
        <w:tabs>
          <w:tab w:leader="none" w:pos="100" w:val="left"/>
        </w:tabs>
        <w:numPr>
          <w:ilvl w:val="0"/>
          <w:numId w:val="12"/>
        </w:numPr>
        <w:rPr>
          <w:rFonts w:ascii="Arial" w:cs="Arial" w:eastAsia="Arial" w:hAnsi="Arial"/>
          <w:sz w:val="18"/>
          <w:szCs w:val="18"/>
          <w:color w:val="auto"/>
          <w:vertAlign w:val="superscript"/>
        </w:rPr>
      </w:pPr>
      <w:r>
        <w:rPr>
          <w:rFonts w:ascii="Arial" w:cs="Arial" w:eastAsia="Arial" w:hAnsi="Arial"/>
          <w:sz w:val="14"/>
          <w:szCs w:val="14"/>
          <w:color w:val="auto"/>
        </w:rPr>
        <w:t>Net revenue = operating revenues less benefits, claims and settlement expenses less dividends to policyholders.</w:t>
      </w:r>
    </w:p>
    <w:p>
      <w:pPr>
        <w:spacing w:after="0" w:line="198" w:lineRule="auto"/>
        <w:rPr>
          <w:rFonts w:ascii="Arial" w:cs="Arial" w:eastAsia="Arial" w:hAnsi="Arial"/>
          <w:sz w:val="18"/>
          <w:szCs w:val="18"/>
          <w:color w:val="auto"/>
          <w:vertAlign w:val="superscript"/>
        </w:rPr>
      </w:pPr>
      <w:r>
        <w:rPr>
          <w:rFonts w:ascii="Arial" w:cs="Arial" w:eastAsia="Arial" w:hAnsi="Arial"/>
          <w:sz w:val="17"/>
          <w:szCs w:val="17"/>
          <w:color w:val="auto"/>
          <w:vertAlign w:val="superscript"/>
        </w:rPr>
        <w:t>8</w:t>
      </w:r>
      <w:r>
        <w:rPr>
          <w:rFonts w:ascii="Arial" w:cs="Arial" w:eastAsia="Arial" w:hAnsi="Arial"/>
          <w:sz w:val="14"/>
          <w:szCs w:val="14"/>
          <w:color w:val="auto"/>
        </w:rPr>
        <w:t xml:space="preserve"> Pre-tax return on net revenue = pre-tax operating earnings divided by net revenue.</w:t>
      </w:r>
    </w:p>
    <w:p>
      <w:pPr>
        <w:ind w:right="200"/>
        <w:spacing w:after="0" w:line="225" w:lineRule="auto"/>
        <w:rPr>
          <w:rFonts w:ascii="Arial" w:cs="Arial" w:eastAsia="Arial" w:hAnsi="Arial"/>
          <w:sz w:val="18"/>
          <w:szCs w:val="18"/>
          <w:color w:val="auto"/>
          <w:vertAlign w:val="superscript"/>
        </w:rPr>
      </w:pPr>
      <w:r>
        <w:rPr>
          <w:rFonts w:ascii="Arial" w:cs="Arial" w:eastAsia="Arial" w:hAnsi="Arial"/>
          <w:sz w:val="17"/>
          <w:szCs w:val="17"/>
          <w:color w:val="auto"/>
          <w:vertAlign w:val="superscript"/>
        </w:rPr>
        <w:t>9</w:t>
      </w:r>
      <w:r>
        <w:rPr>
          <w:rFonts w:ascii="Arial" w:cs="Arial" w:eastAsia="Arial" w:hAnsi="Arial"/>
          <w:sz w:val="14"/>
          <w:szCs w:val="14"/>
          <w:color w:val="auto"/>
        </w:rPr>
        <w:t xml:space="preserve"> Variable investment income includes certain types of investment returns such as prepayment fees and income (loss) from certain elements of our alternative asset classes, including results of value-add real estate sales activity.</w:t>
      </w:r>
    </w:p>
    <w:p>
      <w:pPr>
        <w:sectPr>
          <w:pgSz w:w="11900" w:h="16838" w:orient="portrait"/>
          <w:cols w:equalWidth="0" w:num="1">
            <w:col w:w="11160"/>
          </w:cols>
          <w:pgMar w:left="240" w:top="1287" w:right="499" w:bottom="1440" w:gutter="0" w:footer="0" w:header="0"/>
        </w:sectPr>
      </w:pPr>
    </w:p>
    <w:bookmarkStart w:id="5" w:name="page6"/>
    <w:bookmarkEnd w:id="5"/>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5397500</wp:posOffset>
            </wp:positionH>
            <wp:positionV relativeFrom="page">
              <wp:posOffset>88900</wp:posOffset>
            </wp:positionV>
            <wp:extent cx="2006600" cy="5918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2006600" cy="591820"/>
                    </a:xfrm>
                    <a:prstGeom prst="rect">
                      <a:avLst/>
                    </a:prstGeom>
                    <a:noFill/>
                  </pic:spPr>
                </pic:pic>
              </a:graphicData>
            </a:graphic>
          </wp:anchor>
        </w:drawing>
        <w:t>Principal Global Investors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wp:posOffset>
            </wp:positionV>
            <wp:extent cx="7066280" cy="19037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066280" cy="1903730"/>
                    </a:xfrm>
                    <a:prstGeom prst="rect">
                      <a:avLst/>
                    </a:prstGeom>
                    <a:noFill/>
                  </pic:spPr>
                </pic:pic>
              </a:graphicData>
            </a:graphic>
          </wp:anchor>
        </w:drawing>
      </w:r>
    </w:p>
    <w:p>
      <w:pPr>
        <w:spacing w:after="0" w:line="156" w:lineRule="exact"/>
        <w:rPr>
          <w:sz w:val="20"/>
          <w:szCs w:val="20"/>
          <w:color w:val="auto"/>
        </w:rPr>
      </w:pPr>
    </w:p>
    <w:tbl>
      <w:tblPr>
        <w:tblLayout w:type="fixed"/>
        <w:tblInd w:w="500" w:type="dxa"/>
        <w:tblCellMar>
          <w:top w:w="0" w:type="dxa"/>
          <w:left w:w="0" w:type="dxa"/>
          <w:bottom w:w="0" w:type="dxa"/>
          <w:right w:w="0" w:type="dxa"/>
        </w:tblCellMar>
      </w:tblPr>
      <w:tr>
        <w:trPr>
          <w:trHeight w:val="270"/>
        </w:trPr>
        <w:tc>
          <w:tcPr>
            <w:tcW w:w="4180" w:type="dxa"/>
            <w:vAlign w:val="bottom"/>
            <w:vMerge w:val="restart"/>
          </w:tcPr>
          <w:p>
            <w:pPr>
              <w:ind w:left="220"/>
              <w:spacing w:after="0"/>
              <w:rPr>
                <w:sz w:val="20"/>
                <w:szCs w:val="20"/>
                <w:color w:val="auto"/>
              </w:rPr>
            </w:pPr>
            <w:r>
              <w:rPr>
                <w:rFonts w:ascii="Arial" w:cs="Arial" w:eastAsia="Arial" w:hAnsi="Arial"/>
                <w:sz w:val="14"/>
                <w:szCs w:val="14"/>
                <w:i w:val="1"/>
                <w:iCs w:val="1"/>
                <w:color w:val="auto"/>
              </w:rPr>
              <w:t>(in millions except percentages or otherwise noted)</w:t>
            </w:r>
          </w:p>
        </w:tc>
        <w:tc>
          <w:tcPr>
            <w:tcW w:w="980" w:type="dxa"/>
            <w:vAlign w:val="bottom"/>
            <w:shd w:val="clear" w:color="auto" w:fill="BFBFBF"/>
          </w:tcPr>
          <w:p>
            <w:pPr>
              <w:spacing w:after="0"/>
              <w:rPr>
                <w:sz w:val="23"/>
                <w:szCs w:val="23"/>
                <w:color w:val="auto"/>
              </w:rPr>
            </w:pPr>
          </w:p>
        </w:tc>
        <w:tc>
          <w:tcPr>
            <w:tcW w:w="1020" w:type="dxa"/>
            <w:vAlign w:val="bottom"/>
            <w:shd w:val="clear" w:color="auto" w:fill="BFBFBF"/>
          </w:tcPr>
          <w:p>
            <w:pPr>
              <w:ind w:left="200"/>
              <w:spacing w:after="0"/>
              <w:rPr>
                <w:sz w:val="20"/>
                <w:szCs w:val="20"/>
                <w:color w:val="auto"/>
              </w:rPr>
            </w:pPr>
            <w:r>
              <w:rPr>
                <w:rFonts w:ascii="Arial" w:cs="Arial" w:eastAsia="Arial" w:hAnsi="Arial"/>
                <w:sz w:val="18"/>
                <w:szCs w:val="18"/>
                <w:b w:val="1"/>
                <w:bCs w:val="1"/>
                <w:i w:val="1"/>
                <w:iCs w:val="1"/>
                <w:color w:val="auto"/>
              </w:rPr>
              <w:t>Quarter</w:t>
            </w:r>
          </w:p>
        </w:tc>
        <w:tc>
          <w:tcPr>
            <w:tcW w:w="1060" w:type="dxa"/>
            <w:vAlign w:val="bottom"/>
            <w:shd w:val="clear" w:color="auto" w:fill="BFBFBF"/>
          </w:tcPr>
          <w:p>
            <w:pPr>
              <w:spacing w:after="0"/>
              <w:rPr>
                <w:sz w:val="23"/>
                <w:szCs w:val="23"/>
                <w:color w:val="auto"/>
              </w:rPr>
            </w:pPr>
          </w:p>
        </w:tc>
        <w:tc>
          <w:tcPr>
            <w:tcW w:w="3380" w:type="dxa"/>
            <w:vAlign w:val="bottom"/>
            <w:gridSpan w:val="3"/>
            <w:shd w:val="clear" w:color="auto" w:fill="BFBFBF"/>
          </w:tcPr>
          <w:p>
            <w:pPr>
              <w:ind w:left="680"/>
              <w:spacing w:after="0"/>
              <w:rPr>
                <w:sz w:val="20"/>
                <w:szCs w:val="20"/>
                <w:color w:val="auto"/>
              </w:rPr>
            </w:pPr>
            <w:r>
              <w:rPr>
                <w:rFonts w:ascii="Arial" w:cs="Arial" w:eastAsia="Arial" w:hAnsi="Arial"/>
                <w:sz w:val="18"/>
                <w:szCs w:val="18"/>
                <w:b w:val="1"/>
                <w:bCs w:val="1"/>
                <w:i w:val="1"/>
                <w:iCs w:val="1"/>
                <w:color w:val="auto"/>
              </w:rPr>
              <w:t>Trailing Twelve Months</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3"/>
        </w:trPr>
        <w:tc>
          <w:tcPr>
            <w:tcW w:w="4180" w:type="dxa"/>
            <w:vAlign w:val="bottom"/>
            <w:vMerge w:val="continue"/>
          </w:tcPr>
          <w:p>
            <w:pPr>
              <w:spacing w:after="0"/>
              <w:rPr>
                <w:sz w:val="7"/>
                <w:szCs w:val="7"/>
                <w:color w:val="auto"/>
              </w:rPr>
            </w:pPr>
          </w:p>
        </w:tc>
        <w:tc>
          <w:tcPr>
            <w:tcW w:w="98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1Q17</w:t>
            </w:r>
          </w:p>
        </w:tc>
        <w:tc>
          <w:tcPr>
            <w:tcW w:w="102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1Q16</w:t>
            </w:r>
          </w:p>
        </w:tc>
        <w:tc>
          <w:tcPr>
            <w:tcW w:w="1060" w:type="dxa"/>
            <w:vAlign w:val="bottom"/>
            <w:vMerge w:val="restart"/>
          </w:tcPr>
          <w:p>
            <w:pPr>
              <w:ind w:left="180"/>
              <w:spacing w:after="0"/>
              <w:rPr>
                <w:sz w:val="20"/>
                <w:szCs w:val="20"/>
                <w:color w:val="auto"/>
              </w:rPr>
            </w:pPr>
            <w:r>
              <w:rPr>
                <w:rFonts w:ascii="Arial" w:cs="Arial" w:eastAsia="Arial" w:hAnsi="Arial"/>
                <w:sz w:val="14"/>
                <w:szCs w:val="14"/>
                <w:color w:val="auto"/>
              </w:rPr>
              <w:t>% Change</w:t>
            </w:r>
          </w:p>
        </w:tc>
        <w:tc>
          <w:tcPr>
            <w:tcW w:w="118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1Q17</w:t>
            </w:r>
          </w:p>
        </w:tc>
        <w:tc>
          <w:tcPr>
            <w:tcW w:w="116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1Q16</w:t>
            </w:r>
          </w:p>
        </w:tc>
        <w:tc>
          <w:tcPr>
            <w:tcW w:w="1040" w:type="dxa"/>
            <w:vAlign w:val="bottom"/>
            <w:vMerge w:val="restart"/>
          </w:tcPr>
          <w:p>
            <w:pPr>
              <w:jc w:val="center"/>
              <w:spacing w:after="0"/>
              <w:rPr>
                <w:sz w:val="20"/>
                <w:szCs w:val="20"/>
                <w:color w:val="auto"/>
              </w:rPr>
            </w:pPr>
            <w:r>
              <w:rPr>
                <w:rFonts w:ascii="Arial" w:cs="Arial" w:eastAsia="Arial" w:hAnsi="Arial"/>
                <w:sz w:val="14"/>
                <w:szCs w:val="14"/>
                <w:color w:val="auto"/>
              </w:rPr>
              <w:t>% Change</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54"/>
        </w:trPr>
        <w:tc>
          <w:tcPr>
            <w:tcW w:w="4180" w:type="dxa"/>
            <w:vAlign w:val="bottom"/>
          </w:tcPr>
          <w:p>
            <w:pPr>
              <w:spacing w:after="0"/>
              <w:rPr>
                <w:sz w:val="13"/>
                <w:szCs w:val="13"/>
                <w:color w:val="auto"/>
              </w:rPr>
            </w:pPr>
          </w:p>
        </w:tc>
        <w:tc>
          <w:tcPr>
            <w:tcW w:w="980" w:type="dxa"/>
            <w:vAlign w:val="bottom"/>
            <w:tcBorders>
              <w:bottom w:val="single" w:sz="8" w:color="auto"/>
            </w:tcBorders>
            <w:vMerge w:val="continue"/>
          </w:tcPr>
          <w:p>
            <w:pPr>
              <w:spacing w:after="0"/>
              <w:rPr>
                <w:sz w:val="13"/>
                <w:szCs w:val="13"/>
                <w:color w:val="auto"/>
              </w:rPr>
            </w:pPr>
          </w:p>
        </w:tc>
        <w:tc>
          <w:tcPr>
            <w:tcW w:w="1020" w:type="dxa"/>
            <w:vAlign w:val="bottom"/>
            <w:tcBorders>
              <w:bottom w:val="single" w:sz="8" w:color="auto"/>
            </w:tcBorders>
            <w:vMerge w:val="continue"/>
          </w:tcPr>
          <w:p>
            <w:pPr>
              <w:spacing w:after="0"/>
              <w:rPr>
                <w:sz w:val="13"/>
                <w:szCs w:val="13"/>
                <w:color w:val="auto"/>
              </w:rPr>
            </w:pPr>
          </w:p>
        </w:tc>
        <w:tc>
          <w:tcPr>
            <w:tcW w:w="1060" w:type="dxa"/>
            <w:vAlign w:val="bottom"/>
            <w:tcBorders>
              <w:bottom w:val="single" w:sz="8" w:color="auto"/>
            </w:tcBorders>
            <w:vMerge w:val="continue"/>
          </w:tcPr>
          <w:p>
            <w:pPr>
              <w:spacing w:after="0"/>
              <w:rPr>
                <w:sz w:val="13"/>
                <w:szCs w:val="13"/>
                <w:color w:val="auto"/>
              </w:rPr>
            </w:pPr>
          </w:p>
        </w:tc>
        <w:tc>
          <w:tcPr>
            <w:tcW w:w="1180" w:type="dxa"/>
            <w:vAlign w:val="bottom"/>
            <w:tcBorders>
              <w:bottom w:val="single" w:sz="8" w:color="auto"/>
            </w:tcBorders>
            <w:vMerge w:val="continue"/>
          </w:tcPr>
          <w:p>
            <w:pPr>
              <w:spacing w:after="0"/>
              <w:rPr>
                <w:sz w:val="13"/>
                <w:szCs w:val="13"/>
                <w:color w:val="auto"/>
              </w:rPr>
            </w:pPr>
          </w:p>
        </w:tc>
        <w:tc>
          <w:tcPr>
            <w:tcW w:w="1160" w:type="dxa"/>
            <w:vAlign w:val="bottom"/>
            <w:tcBorders>
              <w:bottom w:val="single" w:sz="8" w:color="auto"/>
            </w:tcBorders>
            <w:vMerge w:val="continue"/>
          </w:tcPr>
          <w:p>
            <w:pPr>
              <w:spacing w:after="0"/>
              <w:rPr>
                <w:sz w:val="13"/>
                <w:szCs w:val="13"/>
                <w:color w:val="auto"/>
              </w:rPr>
            </w:pPr>
          </w:p>
        </w:tc>
        <w:tc>
          <w:tcPr>
            <w:tcW w:w="1040" w:type="dxa"/>
            <w:vAlign w:val="bottom"/>
            <w:tcBorders>
              <w:bottom w:val="single" w:sz="8" w:color="auto"/>
            </w:tcBorders>
            <w:vMerge w:val="continue"/>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3"/>
        </w:trPr>
        <w:tc>
          <w:tcPr>
            <w:tcW w:w="4180" w:type="dxa"/>
            <w:vAlign w:val="bottom"/>
          </w:tcPr>
          <w:p>
            <w:pPr>
              <w:spacing w:after="0"/>
              <w:rPr>
                <w:sz w:val="20"/>
                <w:szCs w:val="20"/>
                <w:color w:val="auto"/>
              </w:rPr>
            </w:pPr>
            <w:r>
              <w:rPr>
                <w:rFonts w:ascii="Arial" w:cs="Arial" w:eastAsia="Arial" w:hAnsi="Arial"/>
                <w:sz w:val="18"/>
                <w:szCs w:val="18"/>
                <w:color w:val="auto"/>
              </w:rPr>
              <w:t>Pre-tax operating earnings</w:t>
            </w:r>
          </w:p>
        </w:tc>
        <w:tc>
          <w:tcPr>
            <w:tcW w:w="980" w:type="dxa"/>
            <w:vAlign w:val="bottom"/>
          </w:tcPr>
          <w:p>
            <w:pPr>
              <w:jc w:val="center"/>
              <w:spacing w:after="0"/>
              <w:rPr>
                <w:sz w:val="20"/>
                <w:szCs w:val="20"/>
                <w:color w:val="auto"/>
              </w:rPr>
            </w:pPr>
            <w:r>
              <w:rPr>
                <w:rFonts w:ascii="Arial" w:cs="Arial" w:eastAsia="Arial" w:hAnsi="Arial"/>
                <w:sz w:val="18"/>
                <w:szCs w:val="18"/>
                <w:color w:val="auto"/>
                <w:w w:val="98"/>
              </w:rPr>
              <w:t>$100.0</w:t>
            </w:r>
          </w:p>
        </w:tc>
        <w:tc>
          <w:tcPr>
            <w:tcW w:w="1020" w:type="dxa"/>
            <w:vAlign w:val="bottom"/>
          </w:tcPr>
          <w:p>
            <w:pPr>
              <w:jc w:val="center"/>
              <w:spacing w:after="0"/>
              <w:rPr>
                <w:sz w:val="20"/>
                <w:szCs w:val="20"/>
                <w:color w:val="auto"/>
              </w:rPr>
            </w:pPr>
            <w:r>
              <w:rPr>
                <w:rFonts w:ascii="Arial" w:cs="Arial" w:eastAsia="Arial" w:hAnsi="Arial"/>
                <w:sz w:val="18"/>
                <w:szCs w:val="18"/>
                <w:color w:val="auto"/>
              </w:rPr>
              <w:t>$79.7</w:t>
            </w:r>
          </w:p>
        </w:tc>
        <w:tc>
          <w:tcPr>
            <w:tcW w:w="1060" w:type="dxa"/>
            <w:vAlign w:val="bottom"/>
          </w:tcPr>
          <w:p>
            <w:pPr>
              <w:jc w:val="center"/>
              <w:spacing w:after="0"/>
              <w:rPr>
                <w:sz w:val="20"/>
                <w:szCs w:val="20"/>
                <w:color w:val="auto"/>
              </w:rPr>
            </w:pPr>
            <w:r>
              <w:rPr>
                <w:rFonts w:ascii="Arial" w:cs="Arial" w:eastAsia="Arial" w:hAnsi="Arial"/>
                <w:sz w:val="18"/>
                <w:szCs w:val="18"/>
                <w:color w:val="auto"/>
                <w:w w:val="99"/>
              </w:rPr>
              <w:t>25%</w:t>
            </w:r>
          </w:p>
        </w:tc>
        <w:tc>
          <w:tcPr>
            <w:tcW w:w="1180" w:type="dxa"/>
            <w:vAlign w:val="bottom"/>
          </w:tcPr>
          <w:p>
            <w:pPr>
              <w:jc w:val="center"/>
              <w:spacing w:after="0"/>
              <w:rPr>
                <w:sz w:val="20"/>
                <w:szCs w:val="20"/>
                <w:color w:val="auto"/>
              </w:rPr>
            </w:pPr>
            <w:r>
              <w:rPr>
                <w:rFonts w:ascii="Arial" w:cs="Arial" w:eastAsia="Arial" w:hAnsi="Arial"/>
                <w:sz w:val="18"/>
                <w:szCs w:val="18"/>
                <w:color w:val="auto"/>
                <w:w w:val="98"/>
              </w:rPr>
              <w:t>$464.1</w:t>
            </w:r>
          </w:p>
        </w:tc>
        <w:tc>
          <w:tcPr>
            <w:tcW w:w="1160" w:type="dxa"/>
            <w:vAlign w:val="bottom"/>
          </w:tcPr>
          <w:p>
            <w:pPr>
              <w:jc w:val="center"/>
              <w:spacing w:after="0"/>
              <w:rPr>
                <w:sz w:val="20"/>
                <w:szCs w:val="20"/>
                <w:color w:val="auto"/>
              </w:rPr>
            </w:pPr>
            <w:r>
              <w:rPr>
                <w:rFonts w:ascii="Arial" w:cs="Arial" w:eastAsia="Arial" w:hAnsi="Arial"/>
                <w:sz w:val="18"/>
                <w:szCs w:val="18"/>
                <w:color w:val="auto"/>
              </w:rPr>
              <w:t>$375.6</w:t>
            </w:r>
          </w:p>
        </w:tc>
        <w:tc>
          <w:tcPr>
            <w:tcW w:w="1040" w:type="dxa"/>
            <w:vAlign w:val="bottom"/>
          </w:tcPr>
          <w:p>
            <w:pPr>
              <w:jc w:val="center"/>
              <w:spacing w:after="0"/>
              <w:rPr>
                <w:sz w:val="20"/>
                <w:szCs w:val="20"/>
                <w:color w:val="auto"/>
              </w:rPr>
            </w:pPr>
            <w:r>
              <w:rPr>
                <w:rFonts w:ascii="Arial" w:cs="Arial" w:eastAsia="Arial" w:hAnsi="Arial"/>
                <w:sz w:val="18"/>
                <w:szCs w:val="18"/>
                <w:color w:val="auto"/>
                <w:w w:val="99"/>
              </w:rPr>
              <w:t>24%</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77"/>
        </w:trPr>
        <w:tc>
          <w:tcPr>
            <w:tcW w:w="4180" w:type="dxa"/>
            <w:vAlign w:val="bottom"/>
          </w:tcPr>
          <w:p>
            <w:pPr>
              <w:spacing w:after="0"/>
              <w:rPr>
                <w:sz w:val="20"/>
                <w:szCs w:val="20"/>
                <w:color w:val="auto"/>
              </w:rPr>
            </w:pPr>
            <w:r>
              <w:rPr>
                <w:rFonts w:ascii="Arial" w:cs="Arial" w:eastAsia="Arial" w:hAnsi="Arial"/>
                <w:sz w:val="18"/>
                <w:szCs w:val="18"/>
                <w:color w:val="auto"/>
              </w:rPr>
              <w:t>Operating revenues less pass-</w:t>
            </w:r>
          </w:p>
        </w:tc>
        <w:tc>
          <w:tcPr>
            <w:tcW w:w="980" w:type="dxa"/>
            <w:vAlign w:val="bottom"/>
            <w:vMerge w:val="restart"/>
          </w:tcPr>
          <w:p>
            <w:pPr>
              <w:jc w:val="center"/>
              <w:spacing w:after="0"/>
              <w:rPr>
                <w:sz w:val="20"/>
                <w:szCs w:val="20"/>
                <w:color w:val="auto"/>
              </w:rPr>
            </w:pPr>
            <w:r>
              <w:rPr>
                <w:rFonts w:ascii="Arial" w:cs="Arial" w:eastAsia="Arial" w:hAnsi="Arial"/>
                <w:sz w:val="18"/>
                <w:szCs w:val="18"/>
                <w:color w:val="auto"/>
                <w:w w:val="98"/>
              </w:rPr>
              <w:t>$306.3</w:t>
            </w:r>
          </w:p>
        </w:tc>
        <w:tc>
          <w:tcPr>
            <w:tcW w:w="1020" w:type="dxa"/>
            <w:vAlign w:val="bottom"/>
            <w:vMerge w:val="restart"/>
          </w:tcPr>
          <w:p>
            <w:pPr>
              <w:jc w:val="center"/>
              <w:spacing w:after="0"/>
              <w:rPr>
                <w:sz w:val="20"/>
                <w:szCs w:val="20"/>
                <w:color w:val="auto"/>
              </w:rPr>
            </w:pPr>
            <w:r>
              <w:rPr>
                <w:rFonts w:ascii="Arial" w:cs="Arial" w:eastAsia="Arial" w:hAnsi="Arial"/>
                <w:sz w:val="18"/>
                <w:szCs w:val="18"/>
                <w:color w:val="auto"/>
                <w:w w:val="98"/>
              </w:rPr>
              <w:t>$269.7</w:t>
            </w:r>
          </w:p>
        </w:tc>
        <w:tc>
          <w:tcPr>
            <w:tcW w:w="1060" w:type="dxa"/>
            <w:vAlign w:val="bottom"/>
            <w:vMerge w:val="restart"/>
          </w:tcPr>
          <w:p>
            <w:pPr>
              <w:jc w:val="center"/>
              <w:spacing w:after="0"/>
              <w:rPr>
                <w:sz w:val="20"/>
                <w:szCs w:val="20"/>
                <w:color w:val="auto"/>
              </w:rPr>
            </w:pPr>
            <w:r>
              <w:rPr>
                <w:rFonts w:ascii="Arial" w:cs="Arial" w:eastAsia="Arial" w:hAnsi="Arial"/>
                <w:sz w:val="18"/>
                <w:szCs w:val="18"/>
                <w:color w:val="auto"/>
                <w:w w:val="99"/>
              </w:rPr>
              <w:t>14%</w:t>
            </w:r>
          </w:p>
        </w:tc>
        <w:tc>
          <w:tcPr>
            <w:tcW w:w="1180" w:type="dxa"/>
            <w:vAlign w:val="bottom"/>
            <w:vMerge w:val="restart"/>
          </w:tcPr>
          <w:p>
            <w:pPr>
              <w:jc w:val="center"/>
              <w:spacing w:after="0"/>
              <w:rPr>
                <w:sz w:val="20"/>
                <w:szCs w:val="20"/>
                <w:color w:val="auto"/>
              </w:rPr>
            </w:pPr>
            <w:r>
              <w:rPr>
                <w:rFonts w:ascii="Arial" w:cs="Arial" w:eastAsia="Arial" w:hAnsi="Arial"/>
                <w:sz w:val="18"/>
                <w:szCs w:val="18"/>
                <w:color w:val="auto"/>
                <w:w w:val="99"/>
              </w:rPr>
              <w:t>$1,260.7</w:t>
            </w:r>
          </w:p>
        </w:tc>
        <w:tc>
          <w:tcPr>
            <w:tcW w:w="1160" w:type="dxa"/>
            <w:vAlign w:val="bottom"/>
            <w:vMerge w:val="restart"/>
          </w:tcPr>
          <w:p>
            <w:pPr>
              <w:jc w:val="center"/>
              <w:spacing w:after="0"/>
              <w:rPr>
                <w:sz w:val="20"/>
                <w:szCs w:val="20"/>
                <w:color w:val="auto"/>
              </w:rPr>
            </w:pPr>
            <w:r>
              <w:rPr>
                <w:rFonts w:ascii="Arial" w:cs="Arial" w:eastAsia="Arial" w:hAnsi="Arial"/>
                <w:sz w:val="18"/>
                <w:szCs w:val="18"/>
                <w:color w:val="auto"/>
                <w:w w:val="99"/>
              </w:rPr>
              <w:t>$1,147.3</w:t>
            </w:r>
          </w:p>
        </w:tc>
        <w:tc>
          <w:tcPr>
            <w:tcW w:w="1040" w:type="dxa"/>
            <w:vAlign w:val="bottom"/>
            <w:vMerge w:val="restart"/>
          </w:tcPr>
          <w:p>
            <w:pPr>
              <w:jc w:val="center"/>
              <w:spacing w:after="0"/>
              <w:rPr>
                <w:sz w:val="20"/>
                <w:szCs w:val="20"/>
                <w:color w:val="auto"/>
              </w:rPr>
            </w:pPr>
            <w:r>
              <w:rPr>
                <w:rFonts w:ascii="Arial" w:cs="Arial" w:eastAsia="Arial" w:hAnsi="Arial"/>
                <w:sz w:val="18"/>
                <w:szCs w:val="18"/>
                <w:color w:val="auto"/>
                <w:w w:val="99"/>
              </w:rPr>
              <w:t>10%</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4180" w:type="dxa"/>
            <w:vAlign w:val="bottom"/>
            <w:vMerge w:val="restart"/>
          </w:tcPr>
          <w:p>
            <w:pPr>
              <w:spacing w:after="0"/>
              <w:rPr>
                <w:sz w:val="20"/>
                <w:szCs w:val="20"/>
                <w:color w:val="auto"/>
              </w:rPr>
            </w:pPr>
            <w:r>
              <w:rPr>
                <w:rFonts w:ascii="Arial" w:cs="Arial" w:eastAsia="Arial" w:hAnsi="Arial"/>
                <w:sz w:val="18"/>
                <w:szCs w:val="18"/>
                <w:color w:val="auto"/>
              </w:rPr>
              <w:t>through commissions</w:t>
            </w:r>
          </w:p>
        </w:tc>
        <w:tc>
          <w:tcPr>
            <w:tcW w:w="98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060" w:type="dxa"/>
            <w:vAlign w:val="bottom"/>
            <w:vMerge w:val="continue"/>
          </w:tcPr>
          <w:p>
            <w:pPr>
              <w:spacing w:after="0"/>
              <w:rPr>
                <w:sz w:val="9"/>
                <w:szCs w:val="9"/>
                <w:color w:val="auto"/>
              </w:rPr>
            </w:pPr>
          </w:p>
        </w:tc>
        <w:tc>
          <w:tcPr>
            <w:tcW w:w="1180" w:type="dxa"/>
            <w:vAlign w:val="bottom"/>
            <w:vMerge w:val="continue"/>
          </w:tcPr>
          <w:p>
            <w:pPr>
              <w:spacing w:after="0"/>
              <w:rPr>
                <w:sz w:val="9"/>
                <w:szCs w:val="9"/>
                <w:color w:val="auto"/>
              </w:rPr>
            </w:pPr>
          </w:p>
        </w:tc>
        <w:tc>
          <w:tcPr>
            <w:tcW w:w="1160" w:type="dxa"/>
            <w:vAlign w:val="bottom"/>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4180" w:type="dxa"/>
            <w:vAlign w:val="bottom"/>
            <w:vMerge w:val="continue"/>
          </w:tcPr>
          <w:p>
            <w:pPr>
              <w:spacing w:after="0"/>
              <w:rPr>
                <w:sz w:val="9"/>
                <w:szCs w:val="9"/>
                <w:color w:val="auto"/>
              </w:rPr>
            </w:pPr>
          </w:p>
        </w:tc>
        <w:tc>
          <w:tcPr>
            <w:tcW w:w="98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0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75"/>
        </w:trPr>
        <w:tc>
          <w:tcPr>
            <w:tcW w:w="4180" w:type="dxa"/>
            <w:vAlign w:val="bottom"/>
          </w:tcPr>
          <w:p>
            <w:pPr>
              <w:spacing w:after="0"/>
              <w:rPr>
                <w:sz w:val="20"/>
                <w:szCs w:val="20"/>
                <w:color w:val="auto"/>
              </w:rPr>
            </w:pPr>
            <w:r>
              <w:rPr>
                <w:rFonts w:ascii="Arial" w:cs="Arial" w:eastAsia="Arial" w:hAnsi="Arial"/>
                <w:sz w:val="18"/>
                <w:szCs w:val="18"/>
                <w:color w:val="auto"/>
              </w:rPr>
              <w:t>Pre-tax return on operating revenues</w:t>
            </w:r>
          </w:p>
        </w:tc>
        <w:tc>
          <w:tcPr>
            <w:tcW w:w="980" w:type="dxa"/>
            <w:vAlign w:val="bottom"/>
            <w:vMerge w:val="restart"/>
          </w:tcPr>
          <w:p>
            <w:pPr>
              <w:jc w:val="center"/>
              <w:spacing w:after="0"/>
              <w:rPr>
                <w:sz w:val="20"/>
                <w:szCs w:val="20"/>
                <w:color w:val="auto"/>
              </w:rPr>
            </w:pPr>
            <w:r>
              <w:rPr>
                <w:rFonts w:ascii="Arial" w:cs="Arial" w:eastAsia="Arial" w:hAnsi="Arial"/>
                <w:sz w:val="18"/>
                <w:szCs w:val="18"/>
                <w:color w:val="auto"/>
                <w:w w:val="97"/>
              </w:rPr>
              <w:t>33.1%</w:t>
            </w:r>
          </w:p>
        </w:tc>
        <w:tc>
          <w:tcPr>
            <w:tcW w:w="1020" w:type="dxa"/>
            <w:vAlign w:val="bottom"/>
            <w:vMerge w:val="restart"/>
          </w:tcPr>
          <w:p>
            <w:pPr>
              <w:jc w:val="center"/>
              <w:spacing w:after="0"/>
              <w:rPr>
                <w:sz w:val="20"/>
                <w:szCs w:val="20"/>
                <w:color w:val="auto"/>
              </w:rPr>
            </w:pPr>
            <w:r>
              <w:rPr>
                <w:rFonts w:ascii="Arial" w:cs="Arial" w:eastAsia="Arial" w:hAnsi="Arial"/>
                <w:sz w:val="18"/>
                <w:szCs w:val="18"/>
                <w:color w:val="auto"/>
                <w:w w:val="97"/>
              </w:rPr>
              <w:t>30.0%</w:t>
            </w:r>
          </w:p>
        </w:tc>
        <w:tc>
          <w:tcPr>
            <w:tcW w:w="1060" w:type="dxa"/>
            <w:vAlign w:val="bottom"/>
          </w:tcPr>
          <w:p>
            <w:pPr>
              <w:spacing w:after="0"/>
              <w:rPr>
                <w:sz w:val="24"/>
                <w:szCs w:val="24"/>
                <w:color w:val="auto"/>
              </w:rPr>
            </w:pPr>
          </w:p>
        </w:tc>
        <w:tc>
          <w:tcPr>
            <w:tcW w:w="1180" w:type="dxa"/>
            <w:vAlign w:val="bottom"/>
            <w:vMerge w:val="restart"/>
          </w:tcPr>
          <w:p>
            <w:pPr>
              <w:jc w:val="center"/>
              <w:spacing w:after="0"/>
              <w:rPr>
                <w:sz w:val="20"/>
                <w:szCs w:val="20"/>
                <w:color w:val="auto"/>
              </w:rPr>
            </w:pPr>
            <w:r>
              <w:rPr>
                <w:rFonts w:ascii="Arial" w:cs="Arial" w:eastAsia="Arial" w:hAnsi="Arial"/>
                <w:sz w:val="18"/>
                <w:szCs w:val="18"/>
                <w:color w:val="auto"/>
                <w:w w:val="97"/>
              </w:rPr>
              <w:t>37.3%</w:t>
            </w:r>
          </w:p>
        </w:tc>
        <w:tc>
          <w:tcPr>
            <w:tcW w:w="1160" w:type="dxa"/>
            <w:vAlign w:val="bottom"/>
            <w:vMerge w:val="restart"/>
          </w:tcPr>
          <w:p>
            <w:pPr>
              <w:jc w:val="center"/>
              <w:spacing w:after="0"/>
              <w:rPr>
                <w:sz w:val="20"/>
                <w:szCs w:val="20"/>
                <w:color w:val="auto"/>
              </w:rPr>
            </w:pPr>
            <w:r>
              <w:rPr>
                <w:rFonts w:ascii="Arial" w:cs="Arial" w:eastAsia="Arial" w:hAnsi="Arial"/>
                <w:sz w:val="18"/>
                <w:szCs w:val="18"/>
                <w:color w:val="auto"/>
              </w:rPr>
              <w:t>33.1%</w:t>
            </w:r>
          </w:p>
        </w:tc>
        <w:tc>
          <w:tcPr>
            <w:tcW w:w="1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4180" w:type="dxa"/>
            <w:vAlign w:val="bottom"/>
          </w:tcPr>
          <w:p>
            <w:pPr>
              <w:spacing w:after="0"/>
              <w:rPr>
                <w:sz w:val="20"/>
                <w:szCs w:val="20"/>
                <w:color w:val="auto"/>
              </w:rPr>
            </w:pPr>
            <w:r>
              <w:rPr>
                <w:rFonts w:ascii="Arial" w:cs="Arial" w:eastAsia="Arial" w:hAnsi="Arial"/>
                <w:sz w:val="18"/>
                <w:szCs w:val="18"/>
                <w:color w:val="auto"/>
              </w:rPr>
              <w:t>less pass-through commissions</w:t>
            </w:r>
            <w:r>
              <w:rPr>
                <w:rFonts w:ascii="Arial" w:cs="Arial" w:eastAsia="Arial" w:hAnsi="Arial"/>
                <w:sz w:val="21"/>
                <w:szCs w:val="21"/>
                <w:color w:val="auto"/>
                <w:vertAlign w:val="superscript"/>
              </w:rPr>
              <w:t>10</w:t>
            </w:r>
          </w:p>
        </w:tc>
        <w:tc>
          <w:tcPr>
            <w:tcW w:w="980" w:type="dxa"/>
            <w:vAlign w:val="bottom"/>
            <w:vMerge w:val="continue"/>
          </w:tcPr>
          <w:p>
            <w:pPr>
              <w:spacing w:after="0"/>
              <w:rPr>
                <w:sz w:val="24"/>
                <w:szCs w:val="24"/>
                <w:color w:val="auto"/>
              </w:rPr>
            </w:pPr>
          </w:p>
        </w:tc>
        <w:tc>
          <w:tcPr>
            <w:tcW w:w="1020" w:type="dxa"/>
            <w:vAlign w:val="bottom"/>
            <w:vMerge w:val="continue"/>
          </w:tcPr>
          <w:p>
            <w:pPr>
              <w:spacing w:after="0"/>
              <w:rPr>
                <w:sz w:val="24"/>
                <w:szCs w:val="24"/>
                <w:color w:val="auto"/>
              </w:rPr>
            </w:pPr>
          </w:p>
        </w:tc>
        <w:tc>
          <w:tcPr>
            <w:tcW w:w="1060" w:type="dxa"/>
            <w:vAlign w:val="bottom"/>
          </w:tcPr>
          <w:p>
            <w:pPr>
              <w:spacing w:after="0"/>
              <w:rPr>
                <w:sz w:val="24"/>
                <w:szCs w:val="24"/>
                <w:color w:val="auto"/>
              </w:rPr>
            </w:pPr>
          </w:p>
        </w:tc>
        <w:tc>
          <w:tcPr>
            <w:tcW w:w="1180" w:type="dxa"/>
            <w:vAlign w:val="bottom"/>
            <w:vMerge w:val="continue"/>
          </w:tcPr>
          <w:p>
            <w:pPr>
              <w:spacing w:after="0"/>
              <w:rPr>
                <w:sz w:val="24"/>
                <w:szCs w:val="24"/>
                <w:color w:val="auto"/>
              </w:rPr>
            </w:pPr>
          </w:p>
        </w:tc>
        <w:tc>
          <w:tcPr>
            <w:tcW w:w="1160" w:type="dxa"/>
            <w:vAlign w:val="bottom"/>
            <w:vMerge w:val="continue"/>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2"/>
        </w:trPr>
        <w:tc>
          <w:tcPr>
            <w:tcW w:w="4180" w:type="dxa"/>
            <w:vAlign w:val="bottom"/>
          </w:tcPr>
          <w:p>
            <w:pPr>
              <w:spacing w:after="0"/>
              <w:rPr>
                <w:sz w:val="20"/>
                <w:szCs w:val="20"/>
                <w:color w:val="auto"/>
              </w:rPr>
            </w:pPr>
            <w:r>
              <w:rPr>
                <w:rFonts w:ascii="Arial" w:cs="Arial" w:eastAsia="Arial" w:hAnsi="Arial"/>
                <w:sz w:val="18"/>
                <w:szCs w:val="18"/>
                <w:color w:val="auto"/>
              </w:rPr>
              <w:t>Total PGI assets under management</w:t>
            </w:r>
          </w:p>
        </w:tc>
        <w:tc>
          <w:tcPr>
            <w:tcW w:w="980" w:type="dxa"/>
            <w:vAlign w:val="bottom"/>
            <w:vMerge w:val="restart"/>
          </w:tcPr>
          <w:p>
            <w:pPr>
              <w:jc w:val="center"/>
              <w:spacing w:after="0"/>
              <w:rPr>
                <w:sz w:val="20"/>
                <w:szCs w:val="20"/>
                <w:color w:val="auto"/>
              </w:rPr>
            </w:pPr>
            <w:r>
              <w:rPr>
                <w:rFonts w:ascii="Arial" w:cs="Arial" w:eastAsia="Arial" w:hAnsi="Arial"/>
                <w:sz w:val="18"/>
                <w:szCs w:val="18"/>
                <w:color w:val="auto"/>
                <w:w w:val="98"/>
              </w:rPr>
              <w:t>$403.0</w:t>
            </w:r>
          </w:p>
        </w:tc>
        <w:tc>
          <w:tcPr>
            <w:tcW w:w="1020" w:type="dxa"/>
            <w:vAlign w:val="bottom"/>
            <w:vMerge w:val="restart"/>
          </w:tcPr>
          <w:p>
            <w:pPr>
              <w:jc w:val="center"/>
              <w:spacing w:after="0"/>
              <w:rPr>
                <w:sz w:val="20"/>
                <w:szCs w:val="20"/>
                <w:color w:val="auto"/>
              </w:rPr>
            </w:pPr>
            <w:r>
              <w:rPr>
                <w:rFonts w:ascii="Arial" w:cs="Arial" w:eastAsia="Arial" w:hAnsi="Arial"/>
                <w:sz w:val="18"/>
                <w:szCs w:val="18"/>
                <w:color w:val="auto"/>
                <w:w w:val="98"/>
              </w:rPr>
              <w:t>$368.3</w:t>
            </w:r>
          </w:p>
        </w:tc>
        <w:tc>
          <w:tcPr>
            <w:tcW w:w="1060" w:type="dxa"/>
            <w:vAlign w:val="bottom"/>
            <w:vMerge w:val="restart"/>
          </w:tcPr>
          <w:p>
            <w:pPr>
              <w:jc w:val="center"/>
              <w:spacing w:after="0"/>
              <w:rPr>
                <w:sz w:val="20"/>
                <w:szCs w:val="20"/>
                <w:color w:val="auto"/>
              </w:rPr>
            </w:pPr>
            <w:r>
              <w:rPr>
                <w:rFonts w:ascii="Arial" w:cs="Arial" w:eastAsia="Arial" w:hAnsi="Arial"/>
                <w:sz w:val="18"/>
                <w:szCs w:val="18"/>
                <w:color w:val="auto"/>
                <w:w w:val="99"/>
              </w:rPr>
              <w:t>9%</w:t>
            </w:r>
          </w:p>
        </w:tc>
        <w:tc>
          <w:tcPr>
            <w:tcW w:w="1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4180" w:type="dxa"/>
            <w:vAlign w:val="bottom"/>
            <w:vMerge w:val="restart"/>
          </w:tcPr>
          <w:p>
            <w:pPr>
              <w:spacing w:after="0"/>
              <w:rPr>
                <w:sz w:val="20"/>
                <w:szCs w:val="20"/>
                <w:color w:val="auto"/>
              </w:rPr>
            </w:pPr>
            <w:r>
              <w:rPr>
                <w:rFonts w:ascii="Arial" w:cs="Arial" w:eastAsia="Arial" w:hAnsi="Arial"/>
                <w:sz w:val="18"/>
                <w:szCs w:val="18"/>
                <w:i w:val="1"/>
                <w:iCs w:val="1"/>
                <w:color w:val="auto"/>
              </w:rPr>
              <w:t>(billions)</w:t>
            </w:r>
          </w:p>
        </w:tc>
        <w:tc>
          <w:tcPr>
            <w:tcW w:w="980" w:type="dxa"/>
            <w:vAlign w:val="bottom"/>
            <w:vMerge w:val="continue"/>
          </w:tcPr>
          <w:p>
            <w:pPr>
              <w:spacing w:after="0"/>
              <w:rPr>
                <w:sz w:val="11"/>
                <w:szCs w:val="11"/>
                <w:color w:val="auto"/>
              </w:rPr>
            </w:pPr>
          </w:p>
        </w:tc>
        <w:tc>
          <w:tcPr>
            <w:tcW w:w="1020" w:type="dxa"/>
            <w:vAlign w:val="bottom"/>
            <w:vMerge w:val="continue"/>
          </w:tcPr>
          <w:p>
            <w:pPr>
              <w:spacing w:after="0"/>
              <w:rPr>
                <w:sz w:val="11"/>
                <w:szCs w:val="11"/>
                <w:color w:val="auto"/>
              </w:rPr>
            </w:pPr>
          </w:p>
        </w:tc>
        <w:tc>
          <w:tcPr>
            <w:tcW w:w="1060" w:type="dxa"/>
            <w:vAlign w:val="bottom"/>
            <w:vMerge w:val="continue"/>
          </w:tcPr>
          <w:p>
            <w:pPr>
              <w:spacing w:after="0"/>
              <w:rPr>
                <w:sz w:val="11"/>
                <w:szCs w:val="11"/>
                <w:color w:val="auto"/>
              </w:rPr>
            </w:pPr>
          </w:p>
        </w:tc>
        <w:tc>
          <w:tcPr>
            <w:tcW w:w="11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4180" w:type="dxa"/>
            <w:vAlign w:val="bottom"/>
            <w:vMerge w:val="continue"/>
          </w:tcPr>
          <w:p>
            <w:pPr>
              <w:spacing w:after="0"/>
              <w:rPr>
                <w:sz w:val="9"/>
                <w:szCs w:val="9"/>
                <w:color w:val="auto"/>
              </w:rPr>
            </w:pPr>
          </w:p>
        </w:tc>
        <w:tc>
          <w:tcPr>
            <w:tcW w:w="980" w:type="dxa"/>
            <w:vAlign w:val="bottom"/>
          </w:tcPr>
          <w:p>
            <w:pPr>
              <w:spacing w:after="0"/>
              <w:rPr>
                <w:sz w:val="9"/>
                <w:szCs w:val="9"/>
                <w:color w:val="auto"/>
              </w:rPr>
            </w:pPr>
          </w:p>
        </w:tc>
        <w:tc>
          <w:tcPr>
            <w:tcW w:w="1020" w:type="dxa"/>
            <w:vAlign w:val="bottom"/>
          </w:tcPr>
          <w:p>
            <w:pPr>
              <w:spacing w:after="0"/>
              <w:rPr>
                <w:sz w:val="9"/>
                <w:szCs w:val="9"/>
                <w:color w:val="auto"/>
              </w:rPr>
            </w:pPr>
          </w:p>
        </w:tc>
        <w:tc>
          <w:tcPr>
            <w:tcW w:w="106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0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92"/>
        </w:trPr>
        <w:tc>
          <w:tcPr>
            <w:tcW w:w="4180" w:type="dxa"/>
            <w:vAlign w:val="bottom"/>
          </w:tcPr>
          <w:p>
            <w:pPr>
              <w:ind w:left="40"/>
              <w:spacing w:after="0"/>
              <w:rPr>
                <w:sz w:val="20"/>
                <w:szCs w:val="20"/>
                <w:color w:val="auto"/>
              </w:rPr>
            </w:pPr>
            <w:r>
              <w:rPr>
                <w:rFonts w:ascii="Arial" w:cs="Arial" w:eastAsia="Arial" w:hAnsi="Arial"/>
                <w:sz w:val="18"/>
                <w:szCs w:val="18"/>
                <w:color w:val="auto"/>
              </w:rPr>
              <w:t>Institutional assets under management</w:t>
            </w:r>
            <w:r>
              <w:rPr>
                <w:rFonts w:ascii="Arial" w:cs="Arial" w:eastAsia="Arial" w:hAnsi="Arial"/>
                <w:sz w:val="18"/>
                <w:szCs w:val="18"/>
                <w:i w:val="1"/>
                <w:iCs w:val="1"/>
                <w:color w:val="auto"/>
              </w:rPr>
              <w:t>(billions)</w:t>
            </w:r>
          </w:p>
        </w:tc>
        <w:tc>
          <w:tcPr>
            <w:tcW w:w="980" w:type="dxa"/>
            <w:vAlign w:val="bottom"/>
          </w:tcPr>
          <w:p>
            <w:pPr>
              <w:jc w:val="center"/>
              <w:spacing w:after="0"/>
              <w:rPr>
                <w:sz w:val="20"/>
                <w:szCs w:val="20"/>
                <w:color w:val="auto"/>
              </w:rPr>
            </w:pPr>
            <w:r>
              <w:rPr>
                <w:rFonts w:ascii="Arial" w:cs="Arial" w:eastAsia="Arial" w:hAnsi="Arial"/>
                <w:sz w:val="18"/>
                <w:szCs w:val="18"/>
                <w:color w:val="auto"/>
                <w:w w:val="98"/>
              </w:rPr>
              <w:t>$133.4</w:t>
            </w:r>
          </w:p>
        </w:tc>
        <w:tc>
          <w:tcPr>
            <w:tcW w:w="1020" w:type="dxa"/>
            <w:vAlign w:val="bottom"/>
          </w:tcPr>
          <w:p>
            <w:pPr>
              <w:jc w:val="center"/>
              <w:spacing w:after="0"/>
              <w:rPr>
                <w:sz w:val="20"/>
                <w:szCs w:val="20"/>
                <w:color w:val="auto"/>
              </w:rPr>
            </w:pPr>
            <w:r>
              <w:rPr>
                <w:rFonts w:ascii="Arial" w:cs="Arial" w:eastAsia="Arial" w:hAnsi="Arial"/>
                <w:sz w:val="18"/>
                <w:szCs w:val="18"/>
                <w:color w:val="auto"/>
                <w:w w:val="98"/>
              </w:rPr>
              <w:t>$122.7</w:t>
            </w:r>
          </w:p>
        </w:tc>
        <w:tc>
          <w:tcPr>
            <w:tcW w:w="1060" w:type="dxa"/>
            <w:vAlign w:val="bottom"/>
          </w:tcPr>
          <w:p>
            <w:pPr>
              <w:jc w:val="center"/>
              <w:spacing w:after="0"/>
              <w:rPr>
                <w:sz w:val="20"/>
                <w:szCs w:val="20"/>
                <w:color w:val="auto"/>
              </w:rPr>
            </w:pPr>
            <w:r>
              <w:rPr>
                <w:rFonts w:ascii="Arial" w:cs="Arial" w:eastAsia="Arial" w:hAnsi="Arial"/>
                <w:sz w:val="18"/>
                <w:szCs w:val="18"/>
                <w:color w:val="auto"/>
                <w:w w:val="99"/>
              </w:rPr>
              <w:t>9%</w:t>
            </w:r>
          </w:p>
        </w:tc>
        <w:tc>
          <w:tcPr>
            <w:tcW w:w="11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3" w:lineRule="exact"/>
        <w:rPr>
          <w:sz w:val="20"/>
          <w:szCs w:val="20"/>
          <w:color w:val="auto"/>
        </w:rPr>
      </w:pPr>
    </w:p>
    <w:p>
      <w:pPr>
        <w:ind w:left="660" w:right="660" w:hanging="328"/>
        <w:spacing w:after="0" w:line="272"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20"/>
          <w:szCs w:val="20"/>
          <w:b w:val="1"/>
          <w:bCs w:val="1"/>
          <w:color w:val="auto"/>
        </w:rPr>
        <w:t xml:space="preserve">Pre-tax operating earnings </w:t>
      </w:r>
      <w:r>
        <w:rPr>
          <w:rFonts w:ascii="Arial" w:cs="Arial" w:eastAsia="Arial" w:hAnsi="Arial"/>
          <w:sz w:val="20"/>
          <w:szCs w:val="20"/>
          <w:color w:val="auto"/>
        </w:rPr>
        <w:t>increased $20.3 million driven by an increase in operating revenues less pass-through</w:t>
      </w:r>
      <w:r>
        <w:rPr>
          <w:rFonts w:ascii="Arial" w:cs="Arial" w:eastAsia="Arial" w:hAnsi="Arial"/>
          <w:sz w:val="20"/>
          <w:szCs w:val="20"/>
          <w:b w:val="1"/>
          <w:bCs w:val="1"/>
          <w:color w:val="auto"/>
        </w:rPr>
        <w:t xml:space="preserve"> </w:t>
      </w:r>
      <w:r>
        <w:rPr>
          <w:rFonts w:ascii="Arial" w:cs="Arial" w:eastAsia="Arial" w:hAnsi="Arial"/>
          <w:sz w:val="20"/>
          <w:szCs w:val="20"/>
          <w:color w:val="auto"/>
        </w:rPr>
        <w:t>commissions and improved margins.</w:t>
      </w:r>
    </w:p>
    <w:p>
      <w:pPr>
        <w:spacing w:after="0" w:line="167" w:lineRule="exact"/>
        <w:rPr>
          <w:rFonts w:ascii="Arial" w:cs="Arial" w:eastAsia="Arial" w:hAnsi="Arial"/>
          <w:sz w:val="18"/>
          <w:szCs w:val="18"/>
          <w:color w:val="auto"/>
        </w:rPr>
      </w:pPr>
    </w:p>
    <w:p>
      <w:pPr>
        <w:ind w:left="660" w:right="260" w:hanging="328"/>
        <w:spacing w:after="0" w:line="272" w:lineRule="auto"/>
        <w:tabs>
          <w:tab w:leader="none" w:pos="660" w:val="left"/>
        </w:tabs>
        <w:numPr>
          <w:ilvl w:val="0"/>
          <w:numId w:val="13"/>
        </w:numPr>
        <w:rPr>
          <w:rFonts w:ascii="Arial" w:cs="Arial" w:eastAsia="Arial" w:hAnsi="Arial"/>
          <w:sz w:val="18"/>
          <w:szCs w:val="18"/>
          <w:color w:val="auto"/>
        </w:rPr>
      </w:pPr>
      <w:r>
        <w:rPr>
          <w:rFonts w:ascii="Arial" w:cs="Arial" w:eastAsia="Arial" w:hAnsi="Arial"/>
          <w:sz w:val="20"/>
          <w:szCs w:val="20"/>
          <w:b w:val="1"/>
          <w:bCs w:val="1"/>
          <w:color w:val="auto"/>
        </w:rPr>
        <w:t xml:space="preserve">Operating revenues less pass-through commissions </w:t>
      </w:r>
      <w:r>
        <w:rPr>
          <w:rFonts w:ascii="Arial" w:cs="Arial" w:eastAsia="Arial" w:hAnsi="Arial"/>
          <w:sz w:val="20"/>
          <w:szCs w:val="20"/>
          <w:color w:val="auto"/>
        </w:rPr>
        <w:t>increased $36.6 million primarily due to growth in management</w:t>
      </w:r>
      <w:r>
        <w:rPr>
          <w:rFonts w:ascii="Arial" w:cs="Arial" w:eastAsia="Arial" w:hAnsi="Arial"/>
          <w:sz w:val="20"/>
          <w:szCs w:val="20"/>
          <w:b w:val="1"/>
          <w:bCs w:val="1"/>
          <w:color w:val="auto"/>
        </w:rPr>
        <w:t xml:space="preserve"> </w:t>
      </w:r>
      <w:r>
        <w:rPr>
          <w:rFonts w:ascii="Arial" w:cs="Arial" w:eastAsia="Arial" w:hAnsi="Arial"/>
          <w:sz w:val="20"/>
          <w:szCs w:val="20"/>
          <w:color w:val="auto"/>
        </w:rPr>
        <w:t>fees.</w:t>
      </w:r>
    </w:p>
    <w:p>
      <w:pPr>
        <w:spacing w:after="0" w:line="154"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Principal International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wp:posOffset>
            </wp:positionV>
            <wp:extent cx="6843395" cy="13290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6843395" cy="1329055"/>
                    </a:xfrm>
                    <a:prstGeom prst="rect">
                      <a:avLst/>
                    </a:prstGeom>
                    <a:noFill/>
                  </pic:spPr>
                </pic:pic>
              </a:graphicData>
            </a:graphic>
          </wp:anchor>
        </w:drawing>
      </w:r>
    </w:p>
    <w:p>
      <w:pPr>
        <w:spacing w:after="0" w:line="156" w:lineRule="exact"/>
        <w:rPr>
          <w:sz w:val="20"/>
          <w:szCs w:val="20"/>
          <w:color w:val="auto"/>
        </w:rPr>
      </w:pPr>
    </w:p>
    <w:tbl>
      <w:tblPr>
        <w:tblLayout w:type="fixed"/>
        <w:tblInd w:w="500" w:type="dxa"/>
        <w:tblCellMar>
          <w:top w:w="0" w:type="dxa"/>
          <w:left w:w="0" w:type="dxa"/>
          <w:bottom w:w="0" w:type="dxa"/>
          <w:right w:w="0" w:type="dxa"/>
        </w:tblCellMar>
      </w:tblPr>
      <w:tr>
        <w:trPr>
          <w:trHeight w:val="270"/>
        </w:trPr>
        <w:tc>
          <w:tcPr>
            <w:tcW w:w="4460" w:type="dxa"/>
            <w:vAlign w:val="bottom"/>
            <w:vMerge w:val="restart"/>
          </w:tcPr>
          <w:p>
            <w:pPr>
              <w:ind w:left="360"/>
              <w:spacing w:after="0"/>
              <w:rPr>
                <w:sz w:val="20"/>
                <w:szCs w:val="20"/>
                <w:color w:val="auto"/>
              </w:rPr>
            </w:pPr>
            <w:r>
              <w:rPr>
                <w:rFonts w:ascii="Arial" w:cs="Arial" w:eastAsia="Arial" w:hAnsi="Arial"/>
                <w:sz w:val="14"/>
                <w:szCs w:val="14"/>
                <w:i w:val="1"/>
                <w:iCs w:val="1"/>
                <w:color w:val="auto"/>
              </w:rPr>
              <w:t>(in millions except percentages or otherwise noted)</w:t>
            </w:r>
          </w:p>
        </w:tc>
        <w:tc>
          <w:tcPr>
            <w:tcW w:w="960" w:type="dxa"/>
            <w:vAlign w:val="bottom"/>
            <w:shd w:val="clear" w:color="auto" w:fill="BFBFBF"/>
          </w:tcPr>
          <w:p>
            <w:pPr>
              <w:spacing w:after="0"/>
              <w:rPr>
                <w:sz w:val="23"/>
                <w:szCs w:val="23"/>
                <w:color w:val="auto"/>
              </w:rPr>
            </w:pPr>
          </w:p>
        </w:tc>
        <w:tc>
          <w:tcPr>
            <w:tcW w:w="980" w:type="dxa"/>
            <w:vAlign w:val="bottom"/>
            <w:shd w:val="clear" w:color="auto" w:fill="BFBFBF"/>
          </w:tcPr>
          <w:p>
            <w:pPr>
              <w:ind w:left="180"/>
              <w:spacing w:after="0"/>
              <w:rPr>
                <w:sz w:val="20"/>
                <w:szCs w:val="20"/>
                <w:color w:val="auto"/>
              </w:rPr>
            </w:pPr>
            <w:r>
              <w:rPr>
                <w:rFonts w:ascii="Arial" w:cs="Arial" w:eastAsia="Arial" w:hAnsi="Arial"/>
                <w:sz w:val="18"/>
                <w:szCs w:val="18"/>
                <w:b w:val="1"/>
                <w:bCs w:val="1"/>
                <w:i w:val="1"/>
                <w:iCs w:val="1"/>
                <w:color w:val="auto"/>
              </w:rPr>
              <w:t>Quarter</w:t>
            </w:r>
          </w:p>
        </w:tc>
        <w:tc>
          <w:tcPr>
            <w:tcW w:w="1020" w:type="dxa"/>
            <w:vAlign w:val="bottom"/>
            <w:shd w:val="clear" w:color="auto" w:fill="BFBFBF"/>
          </w:tcPr>
          <w:p>
            <w:pPr>
              <w:spacing w:after="0"/>
              <w:rPr>
                <w:sz w:val="23"/>
                <w:szCs w:val="23"/>
                <w:color w:val="auto"/>
              </w:rPr>
            </w:pPr>
          </w:p>
        </w:tc>
        <w:tc>
          <w:tcPr>
            <w:tcW w:w="2860" w:type="dxa"/>
            <w:vAlign w:val="bottom"/>
            <w:gridSpan w:val="3"/>
            <w:shd w:val="clear" w:color="auto" w:fill="BFBFBF"/>
          </w:tcPr>
          <w:p>
            <w:pPr>
              <w:ind w:left="420"/>
              <w:spacing w:after="0"/>
              <w:rPr>
                <w:sz w:val="20"/>
                <w:szCs w:val="20"/>
                <w:color w:val="auto"/>
              </w:rPr>
            </w:pPr>
            <w:r>
              <w:rPr>
                <w:rFonts w:ascii="Arial" w:cs="Arial" w:eastAsia="Arial" w:hAnsi="Arial"/>
                <w:sz w:val="18"/>
                <w:szCs w:val="18"/>
                <w:b w:val="1"/>
                <w:bCs w:val="1"/>
                <w:i w:val="1"/>
                <w:iCs w:val="1"/>
                <w:color w:val="auto"/>
              </w:rPr>
              <w:t>Trailing Twelve Months</w:t>
            </w:r>
          </w:p>
        </w:tc>
        <w:tc>
          <w:tcPr>
            <w:tcW w:w="0" w:type="dxa"/>
            <w:vAlign w:val="bottom"/>
          </w:tcPr>
          <w:p>
            <w:pPr>
              <w:spacing w:after="0"/>
              <w:rPr>
                <w:sz w:val="1"/>
                <w:szCs w:val="1"/>
                <w:color w:val="auto"/>
              </w:rPr>
            </w:pPr>
          </w:p>
        </w:tc>
      </w:tr>
      <w:tr>
        <w:trPr>
          <w:trHeight w:val="83"/>
        </w:trPr>
        <w:tc>
          <w:tcPr>
            <w:tcW w:w="4460" w:type="dxa"/>
            <w:vAlign w:val="bottom"/>
            <w:vMerge w:val="continue"/>
          </w:tcPr>
          <w:p>
            <w:pPr>
              <w:spacing w:after="0"/>
              <w:rPr>
                <w:sz w:val="7"/>
                <w:szCs w:val="7"/>
                <w:color w:val="auto"/>
              </w:rPr>
            </w:pPr>
          </w:p>
        </w:tc>
        <w:tc>
          <w:tcPr>
            <w:tcW w:w="96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1Q17</w:t>
            </w:r>
          </w:p>
        </w:tc>
        <w:tc>
          <w:tcPr>
            <w:tcW w:w="98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1Q16</w:t>
            </w:r>
          </w:p>
        </w:tc>
        <w:tc>
          <w:tcPr>
            <w:tcW w:w="1020" w:type="dxa"/>
            <w:vAlign w:val="bottom"/>
            <w:vMerge w:val="restart"/>
          </w:tcPr>
          <w:p>
            <w:pPr>
              <w:jc w:val="center"/>
              <w:spacing w:after="0"/>
              <w:rPr>
                <w:sz w:val="20"/>
                <w:szCs w:val="20"/>
                <w:color w:val="auto"/>
              </w:rPr>
            </w:pPr>
            <w:r>
              <w:rPr>
                <w:rFonts w:ascii="Arial" w:cs="Arial" w:eastAsia="Arial" w:hAnsi="Arial"/>
                <w:sz w:val="14"/>
                <w:szCs w:val="14"/>
                <w:color w:val="auto"/>
              </w:rPr>
              <w:t>% Change</w:t>
            </w:r>
          </w:p>
        </w:tc>
        <w:tc>
          <w:tcPr>
            <w:tcW w:w="94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1Q17</w:t>
            </w:r>
          </w:p>
        </w:tc>
        <w:tc>
          <w:tcPr>
            <w:tcW w:w="92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1Q16</w:t>
            </w:r>
          </w:p>
        </w:tc>
        <w:tc>
          <w:tcPr>
            <w:tcW w:w="1000" w:type="dxa"/>
            <w:vAlign w:val="bottom"/>
            <w:vMerge w:val="restart"/>
          </w:tcPr>
          <w:p>
            <w:pPr>
              <w:jc w:val="center"/>
              <w:spacing w:after="0"/>
              <w:rPr>
                <w:sz w:val="20"/>
                <w:szCs w:val="20"/>
                <w:color w:val="auto"/>
              </w:rPr>
            </w:pPr>
            <w:r>
              <w:rPr>
                <w:rFonts w:ascii="Arial" w:cs="Arial" w:eastAsia="Arial" w:hAnsi="Arial"/>
                <w:sz w:val="14"/>
                <w:szCs w:val="14"/>
                <w:color w:val="auto"/>
              </w:rPr>
              <w:t>% Change</w:t>
            </w:r>
          </w:p>
        </w:tc>
        <w:tc>
          <w:tcPr>
            <w:tcW w:w="0" w:type="dxa"/>
            <w:vAlign w:val="bottom"/>
          </w:tcPr>
          <w:p>
            <w:pPr>
              <w:spacing w:after="0"/>
              <w:rPr>
                <w:sz w:val="1"/>
                <w:szCs w:val="1"/>
                <w:color w:val="auto"/>
              </w:rPr>
            </w:pPr>
          </w:p>
        </w:tc>
      </w:tr>
      <w:tr>
        <w:trPr>
          <w:trHeight w:val="159"/>
        </w:trPr>
        <w:tc>
          <w:tcPr>
            <w:tcW w:w="4460" w:type="dxa"/>
            <w:vAlign w:val="bottom"/>
          </w:tcPr>
          <w:p>
            <w:pPr>
              <w:spacing w:after="0"/>
              <w:rPr>
                <w:sz w:val="13"/>
                <w:szCs w:val="13"/>
                <w:color w:val="auto"/>
              </w:rPr>
            </w:pPr>
          </w:p>
        </w:tc>
        <w:tc>
          <w:tcPr>
            <w:tcW w:w="960" w:type="dxa"/>
            <w:vAlign w:val="bottom"/>
            <w:tcBorders>
              <w:bottom w:val="single" w:sz="8" w:color="auto"/>
            </w:tcBorders>
            <w:vMerge w:val="continue"/>
          </w:tcPr>
          <w:p>
            <w:pPr>
              <w:spacing w:after="0"/>
              <w:rPr>
                <w:sz w:val="13"/>
                <w:szCs w:val="13"/>
                <w:color w:val="auto"/>
              </w:rPr>
            </w:pPr>
          </w:p>
        </w:tc>
        <w:tc>
          <w:tcPr>
            <w:tcW w:w="980" w:type="dxa"/>
            <w:vAlign w:val="bottom"/>
            <w:tcBorders>
              <w:bottom w:val="single" w:sz="8" w:color="auto"/>
            </w:tcBorders>
            <w:vMerge w:val="continue"/>
          </w:tcPr>
          <w:p>
            <w:pPr>
              <w:spacing w:after="0"/>
              <w:rPr>
                <w:sz w:val="13"/>
                <w:szCs w:val="13"/>
                <w:color w:val="auto"/>
              </w:rPr>
            </w:pPr>
          </w:p>
        </w:tc>
        <w:tc>
          <w:tcPr>
            <w:tcW w:w="1020" w:type="dxa"/>
            <w:vAlign w:val="bottom"/>
            <w:tcBorders>
              <w:bottom w:val="single" w:sz="8" w:color="auto"/>
            </w:tcBorders>
            <w:vMerge w:val="continue"/>
          </w:tcPr>
          <w:p>
            <w:pPr>
              <w:spacing w:after="0"/>
              <w:rPr>
                <w:sz w:val="13"/>
                <w:szCs w:val="13"/>
                <w:color w:val="auto"/>
              </w:rPr>
            </w:pPr>
          </w:p>
        </w:tc>
        <w:tc>
          <w:tcPr>
            <w:tcW w:w="940" w:type="dxa"/>
            <w:vAlign w:val="bottom"/>
            <w:tcBorders>
              <w:bottom w:val="single" w:sz="8" w:color="auto"/>
            </w:tcBorders>
            <w:vMerge w:val="continue"/>
          </w:tcPr>
          <w:p>
            <w:pPr>
              <w:spacing w:after="0"/>
              <w:rPr>
                <w:sz w:val="13"/>
                <w:szCs w:val="13"/>
                <w:color w:val="auto"/>
              </w:rPr>
            </w:pPr>
          </w:p>
        </w:tc>
        <w:tc>
          <w:tcPr>
            <w:tcW w:w="920" w:type="dxa"/>
            <w:vAlign w:val="bottom"/>
            <w:tcBorders>
              <w:bottom w:val="single" w:sz="8" w:color="auto"/>
            </w:tcBorders>
            <w:vMerge w:val="continue"/>
          </w:tcPr>
          <w:p>
            <w:pPr>
              <w:spacing w:after="0"/>
              <w:rPr>
                <w:sz w:val="13"/>
                <w:szCs w:val="13"/>
                <w:color w:val="auto"/>
              </w:rPr>
            </w:pPr>
          </w:p>
        </w:tc>
        <w:tc>
          <w:tcPr>
            <w:tcW w:w="1000" w:type="dxa"/>
            <w:vAlign w:val="bottom"/>
            <w:tcBorders>
              <w:bottom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43"/>
        </w:trPr>
        <w:tc>
          <w:tcPr>
            <w:tcW w:w="4460" w:type="dxa"/>
            <w:vAlign w:val="bottom"/>
          </w:tcPr>
          <w:p>
            <w:pPr>
              <w:spacing w:after="0"/>
              <w:rPr>
                <w:sz w:val="20"/>
                <w:szCs w:val="20"/>
                <w:color w:val="auto"/>
              </w:rPr>
            </w:pPr>
            <w:r>
              <w:rPr>
                <w:rFonts w:ascii="Arial" w:cs="Arial" w:eastAsia="Arial" w:hAnsi="Arial"/>
                <w:sz w:val="18"/>
                <w:szCs w:val="18"/>
                <w:color w:val="auto"/>
              </w:rPr>
              <w:t>Pre-tax operating earnings</w:t>
            </w:r>
          </w:p>
        </w:tc>
        <w:tc>
          <w:tcPr>
            <w:tcW w:w="960" w:type="dxa"/>
            <w:vAlign w:val="bottom"/>
          </w:tcPr>
          <w:p>
            <w:pPr>
              <w:jc w:val="center"/>
              <w:spacing w:after="0"/>
              <w:rPr>
                <w:sz w:val="20"/>
                <w:szCs w:val="20"/>
                <w:color w:val="auto"/>
              </w:rPr>
            </w:pPr>
            <w:r>
              <w:rPr>
                <w:rFonts w:ascii="Arial" w:cs="Arial" w:eastAsia="Arial" w:hAnsi="Arial"/>
                <w:sz w:val="18"/>
                <w:szCs w:val="18"/>
                <w:color w:val="auto"/>
              </w:rPr>
              <w:t>$100.9</w:t>
            </w:r>
          </w:p>
        </w:tc>
        <w:tc>
          <w:tcPr>
            <w:tcW w:w="980" w:type="dxa"/>
            <w:vAlign w:val="bottom"/>
          </w:tcPr>
          <w:p>
            <w:pPr>
              <w:jc w:val="center"/>
              <w:spacing w:after="0"/>
              <w:rPr>
                <w:sz w:val="20"/>
                <w:szCs w:val="20"/>
                <w:color w:val="auto"/>
              </w:rPr>
            </w:pPr>
            <w:r>
              <w:rPr>
                <w:rFonts w:ascii="Arial" w:cs="Arial" w:eastAsia="Arial" w:hAnsi="Arial"/>
                <w:sz w:val="18"/>
                <w:szCs w:val="18"/>
                <w:color w:val="auto"/>
                <w:w w:val="97"/>
              </w:rPr>
              <w:t>$68.0</w:t>
            </w:r>
          </w:p>
        </w:tc>
        <w:tc>
          <w:tcPr>
            <w:tcW w:w="1020" w:type="dxa"/>
            <w:vAlign w:val="bottom"/>
          </w:tcPr>
          <w:p>
            <w:pPr>
              <w:jc w:val="center"/>
              <w:spacing w:after="0"/>
              <w:rPr>
                <w:sz w:val="20"/>
                <w:szCs w:val="20"/>
                <w:color w:val="auto"/>
              </w:rPr>
            </w:pPr>
            <w:r>
              <w:rPr>
                <w:rFonts w:ascii="Arial" w:cs="Arial" w:eastAsia="Arial" w:hAnsi="Arial"/>
                <w:sz w:val="18"/>
                <w:szCs w:val="18"/>
                <w:color w:val="auto"/>
                <w:w w:val="99"/>
              </w:rPr>
              <w:t>48%</w:t>
            </w:r>
          </w:p>
        </w:tc>
        <w:tc>
          <w:tcPr>
            <w:tcW w:w="940" w:type="dxa"/>
            <w:vAlign w:val="bottom"/>
          </w:tcPr>
          <w:p>
            <w:pPr>
              <w:jc w:val="center"/>
              <w:spacing w:after="0"/>
              <w:rPr>
                <w:sz w:val="20"/>
                <w:szCs w:val="20"/>
                <w:color w:val="auto"/>
              </w:rPr>
            </w:pPr>
            <w:r>
              <w:rPr>
                <w:rFonts w:ascii="Arial" w:cs="Arial" w:eastAsia="Arial" w:hAnsi="Arial"/>
                <w:sz w:val="18"/>
                <w:szCs w:val="18"/>
                <w:color w:val="auto"/>
                <w:w w:val="98"/>
              </w:rPr>
              <w:t>$321.0</w:t>
            </w:r>
          </w:p>
        </w:tc>
        <w:tc>
          <w:tcPr>
            <w:tcW w:w="920" w:type="dxa"/>
            <w:vAlign w:val="bottom"/>
          </w:tcPr>
          <w:p>
            <w:pPr>
              <w:jc w:val="center"/>
              <w:spacing w:after="0"/>
              <w:rPr>
                <w:sz w:val="20"/>
                <w:szCs w:val="20"/>
                <w:color w:val="auto"/>
              </w:rPr>
            </w:pPr>
            <w:r>
              <w:rPr>
                <w:rFonts w:ascii="Arial" w:cs="Arial" w:eastAsia="Arial" w:hAnsi="Arial"/>
                <w:sz w:val="18"/>
                <w:szCs w:val="18"/>
                <w:color w:val="auto"/>
                <w:w w:val="98"/>
              </w:rPr>
              <w:t>$258.5</w:t>
            </w:r>
          </w:p>
        </w:tc>
        <w:tc>
          <w:tcPr>
            <w:tcW w:w="1000" w:type="dxa"/>
            <w:vAlign w:val="bottom"/>
          </w:tcPr>
          <w:p>
            <w:pPr>
              <w:jc w:val="center"/>
              <w:spacing w:after="0"/>
              <w:rPr>
                <w:sz w:val="20"/>
                <w:szCs w:val="20"/>
                <w:color w:val="auto"/>
              </w:rPr>
            </w:pPr>
            <w:r>
              <w:rPr>
                <w:rFonts w:ascii="Arial" w:cs="Arial" w:eastAsia="Arial" w:hAnsi="Arial"/>
                <w:sz w:val="18"/>
                <w:szCs w:val="18"/>
                <w:color w:val="auto"/>
                <w:w w:val="99"/>
              </w:rPr>
              <w:t>24%</w:t>
            </w:r>
          </w:p>
        </w:tc>
        <w:tc>
          <w:tcPr>
            <w:tcW w:w="0" w:type="dxa"/>
            <w:vAlign w:val="bottom"/>
          </w:tcPr>
          <w:p>
            <w:pPr>
              <w:spacing w:after="0"/>
              <w:rPr>
                <w:sz w:val="1"/>
                <w:szCs w:val="1"/>
                <w:color w:val="auto"/>
              </w:rPr>
            </w:pPr>
          </w:p>
        </w:tc>
      </w:tr>
      <w:tr>
        <w:trPr>
          <w:trHeight w:val="431"/>
        </w:trPr>
        <w:tc>
          <w:tcPr>
            <w:tcW w:w="4460" w:type="dxa"/>
            <w:vAlign w:val="bottom"/>
          </w:tcPr>
          <w:p>
            <w:pPr>
              <w:spacing w:after="0"/>
              <w:rPr>
                <w:sz w:val="20"/>
                <w:szCs w:val="20"/>
                <w:color w:val="auto"/>
              </w:rPr>
            </w:pPr>
            <w:r>
              <w:rPr>
                <w:rFonts w:ascii="Arial" w:cs="Arial" w:eastAsia="Arial" w:hAnsi="Arial"/>
                <w:sz w:val="18"/>
                <w:szCs w:val="18"/>
                <w:color w:val="auto"/>
              </w:rPr>
              <w:t>Combined</w:t>
            </w:r>
            <w:r>
              <w:rPr>
                <w:rFonts w:ascii="Arial" w:cs="Arial" w:eastAsia="Arial" w:hAnsi="Arial"/>
                <w:sz w:val="21"/>
                <w:szCs w:val="21"/>
                <w:color w:val="auto"/>
                <w:vertAlign w:val="superscript"/>
              </w:rPr>
              <w:t>11</w:t>
            </w:r>
            <w:r>
              <w:rPr>
                <w:rFonts w:ascii="Arial" w:cs="Arial" w:eastAsia="Arial" w:hAnsi="Arial"/>
                <w:sz w:val="18"/>
                <w:szCs w:val="18"/>
                <w:color w:val="auto"/>
              </w:rPr>
              <w:t xml:space="preserve"> net revenue (at PFG share)</w:t>
            </w:r>
          </w:p>
        </w:tc>
        <w:tc>
          <w:tcPr>
            <w:tcW w:w="960" w:type="dxa"/>
            <w:vAlign w:val="bottom"/>
          </w:tcPr>
          <w:p>
            <w:pPr>
              <w:jc w:val="center"/>
              <w:spacing w:after="0"/>
              <w:rPr>
                <w:sz w:val="20"/>
                <w:szCs w:val="20"/>
                <w:color w:val="auto"/>
              </w:rPr>
            </w:pPr>
            <w:r>
              <w:rPr>
                <w:rFonts w:ascii="Arial" w:cs="Arial" w:eastAsia="Arial" w:hAnsi="Arial"/>
                <w:sz w:val="18"/>
                <w:szCs w:val="18"/>
                <w:color w:val="auto"/>
              </w:rPr>
              <w:t>$227.7</w:t>
            </w:r>
          </w:p>
        </w:tc>
        <w:tc>
          <w:tcPr>
            <w:tcW w:w="980" w:type="dxa"/>
            <w:vAlign w:val="bottom"/>
          </w:tcPr>
          <w:p>
            <w:pPr>
              <w:jc w:val="center"/>
              <w:spacing w:after="0"/>
              <w:rPr>
                <w:sz w:val="20"/>
                <w:szCs w:val="20"/>
                <w:color w:val="auto"/>
              </w:rPr>
            </w:pPr>
            <w:r>
              <w:rPr>
                <w:rFonts w:ascii="Arial" w:cs="Arial" w:eastAsia="Arial" w:hAnsi="Arial"/>
                <w:sz w:val="18"/>
                <w:szCs w:val="18"/>
                <w:color w:val="auto"/>
              </w:rPr>
              <w:t>$184.7</w:t>
            </w:r>
          </w:p>
        </w:tc>
        <w:tc>
          <w:tcPr>
            <w:tcW w:w="1020" w:type="dxa"/>
            <w:vAlign w:val="bottom"/>
          </w:tcPr>
          <w:p>
            <w:pPr>
              <w:jc w:val="center"/>
              <w:spacing w:after="0"/>
              <w:rPr>
                <w:sz w:val="20"/>
                <w:szCs w:val="20"/>
                <w:color w:val="auto"/>
              </w:rPr>
            </w:pPr>
            <w:r>
              <w:rPr>
                <w:rFonts w:ascii="Arial" w:cs="Arial" w:eastAsia="Arial" w:hAnsi="Arial"/>
                <w:sz w:val="18"/>
                <w:szCs w:val="18"/>
                <w:color w:val="auto"/>
                <w:w w:val="99"/>
              </w:rPr>
              <w:t>23%</w:t>
            </w:r>
          </w:p>
        </w:tc>
        <w:tc>
          <w:tcPr>
            <w:tcW w:w="940" w:type="dxa"/>
            <w:vAlign w:val="bottom"/>
          </w:tcPr>
          <w:p>
            <w:pPr>
              <w:jc w:val="center"/>
              <w:spacing w:after="0"/>
              <w:rPr>
                <w:sz w:val="20"/>
                <w:szCs w:val="20"/>
                <w:color w:val="auto"/>
              </w:rPr>
            </w:pPr>
            <w:r>
              <w:rPr>
                <w:rFonts w:ascii="Arial" w:cs="Arial" w:eastAsia="Arial" w:hAnsi="Arial"/>
                <w:sz w:val="18"/>
                <w:szCs w:val="18"/>
                <w:color w:val="auto"/>
                <w:w w:val="98"/>
              </w:rPr>
              <w:t>$834.7</w:t>
            </w:r>
          </w:p>
        </w:tc>
        <w:tc>
          <w:tcPr>
            <w:tcW w:w="920" w:type="dxa"/>
            <w:vAlign w:val="bottom"/>
          </w:tcPr>
          <w:p>
            <w:pPr>
              <w:jc w:val="center"/>
              <w:spacing w:after="0"/>
              <w:rPr>
                <w:sz w:val="20"/>
                <w:szCs w:val="20"/>
                <w:color w:val="auto"/>
              </w:rPr>
            </w:pPr>
            <w:r>
              <w:rPr>
                <w:rFonts w:ascii="Arial" w:cs="Arial" w:eastAsia="Arial" w:hAnsi="Arial"/>
                <w:sz w:val="18"/>
                <w:szCs w:val="18"/>
                <w:color w:val="auto"/>
                <w:w w:val="98"/>
              </w:rPr>
              <w:t>$761.2</w:t>
            </w:r>
          </w:p>
        </w:tc>
        <w:tc>
          <w:tcPr>
            <w:tcW w:w="1000" w:type="dxa"/>
            <w:vAlign w:val="bottom"/>
          </w:tcPr>
          <w:p>
            <w:pPr>
              <w:jc w:val="center"/>
              <w:spacing w:after="0"/>
              <w:rPr>
                <w:sz w:val="20"/>
                <w:szCs w:val="20"/>
                <w:color w:val="auto"/>
              </w:rPr>
            </w:pPr>
            <w:r>
              <w:rPr>
                <w:rFonts w:ascii="Arial" w:cs="Arial" w:eastAsia="Arial" w:hAnsi="Arial"/>
                <w:sz w:val="18"/>
                <w:szCs w:val="18"/>
                <w:color w:val="auto"/>
                <w:w w:val="99"/>
              </w:rPr>
              <w:t>10%</w:t>
            </w:r>
          </w:p>
        </w:tc>
        <w:tc>
          <w:tcPr>
            <w:tcW w:w="0" w:type="dxa"/>
            <w:vAlign w:val="bottom"/>
          </w:tcPr>
          <w:p>
            <w:pPr>
              <w:spacing w:after="0"/>
              <w:rPr>
                <w:sz w:val="1"/>
                <w:szCs w:val="1"/>
                <w:color w:val="auto"/>
              </w:rPr>
            </w:pPr>
          </w:p>
        </w:tc>
      </w:tr>
      <w:tr>
        <w:trPr>
          <w:trHeight w:val="203"/>
        </w:trPr>
        <w:tc>
          <w:tcPr>
            <w:tcW w:w="4460" w:type="dxa"/>
            <w:vAlign w:val="bottom"/>
          </w:tcPr>
          <w:p>
            <w:pPr>
              <w:ind w:left="40"/>
              <w:spacing w:after="0" w:line="202" w:lineRule="exact"/>
              <w:rPr>
                <w:sz w:val="20"/>
                <w:szCs w:val="20"/>
                <w:color w:val="auto"/>
              </w:rPr>
            </w:pPr>
            <w:r>
              <w:rPr>
                <w:rFonts w:ascii="Arial" w:cs="Arial" w:eastAsia="Arial" w:hAnsi="Arial"/>
                <w:sz w:val="18"/>
                <w:szCs w:val="18"/>
                <w:color w:val="auto"/>
              </w:rPr>
              <w:t>Combined pre-tax return on net revenue (at PFG</w:t>
            </w:r>
          </w:p>
        </w:tc>
        <w:tc>
          <w:tcPr>
            <w:tcW w:w="960" w:type="dxa"/>
            <w:vAlign w:val="bottom"/>
          </w:tcPr>
          <w:p>
            <w:pPr>
              <w:jc w:val="center"/>
              <w:spacing w:after="0" w:line="202" w:lineRule="exact"/>
              <w:rPr>
                <w:sz w:val="20"/>
                <w:szCs w:val="20"/>
                <w:color w:val="auto"/>
              </w:rPr>
            </w:pPr>
            <w:r>
              <w:rPr>
                <w:rFonts w:ascii="Arial" w:cs="Arial" w:eastAsia="Arial" w:hAnsi="Arial"/>
                <w:sz w:val="18"/>
                <w:szCs w:val="18"/>
                <w:color w:val="auto"/>
              </w:rPr>
              <w:t>44.3%</w:t>
            </w:r>
          </w:p>
        </w:tc>
        <w:tc>
          <w:tcPr>
            <w:tcW w:w="980" w:type="dxa"/>
            <w:vAlign w:val="bottom"/>
          </w:tcPr>
          <w:p>
            <w:pPr>
              <w:jc w:val="center"/>
              <w:spacing w:after="0" w:line="202" w:lineRule="exact"/>
              <w:rPr>
                <w:sz w:val="20"/>
                <w:szCs w:val="20"/>
                <w:color w:val="auto"/>
              </w:rPr>
            </w:pPr>
            <w:r>
              <w:rPr>
                <w:rFonts w:ascii="Arial" w:cs="Arial" w:eastAsia="Arial" w:hAnsi="Arial"/>
                <w:sz w:val="18"/>
                <w:szCs w:val="18"/>
                <w:color w:val="auto"/>
              </w:rPr>
              <w:t>36.8%</w:t>
            </w:r>
          </w:p>
        </w:tc>
        <w:tc>
          <w:tcPr>
            <w:tcW w:w="1020" w:type="dxa"/>
            <w:vAlign w:val="bottom"/>
          </w:tcPr>
          <w:p>
            <w:pPr>
              <w:spacing w:after="0"/>
              <w:rPr>
                <w:sz w:val="17"/>
                <w:szCs w:val="17"/>
                <w:color w:val="auto"/>
              </w:rPr>
            </w:pPr>
          </w:p>
        </w:tc>
        <w:tc>
          <w:tcPr>
            <w:tcW w:w="940" w:type="dxa"/>
            <w:vAlign w:val="bottom"/>
          </w:tcPr>
          <w:p>
            <w:pPr>
              <w:jc w:val="center"/>
              <w:spacing w:after="0" w:line="202" w:lineRule="exact"/>
              <w:rPr>
                <w:sz w:val="20"/>
                <w:szCs w:val="20"/>
                <w:color w:val="auto"/>
              </w:rPr>
            </w:pPr>
            <w:r>
              <w:rPr>
                <w:rFonts w:ascii="Arial" w:cs="Arial" w:eastAsia="Arial" w:hAnsi="Arial"/>
                <w:sz w:val="18"/>
                <w:szCs w:val="18"/>
                <w:color w:val="auto"/>
                <w:w w:val="97"/>
              </w:rPr>
              <w:t>38.5%</w:t>
            </w:r>
          </w:p>
        </w:tc>
        <w:tc>
          <w:tcPr>
            <w:tcW w:w="920" w:type="dxa"/>
            <w:vAlign w:val="bottom"/>
          </w:tcPr>
          <w:p>
            <w:pPr>
              <w:jc w:val="center"/>
              <w:spacing w:after="0" w:line="202" w:lineRule="exact"/>
              <w:rPr>
                <w:sz w:val="20"/>
                <w:szCs w:val="20"/>
                <w:color w:val="auto"/>
              </w:rPr>
            </w:pPr>
            <w:r>
              <w:rPr>
                <w:rFonts w:ascii="Arial" w:cs="Arial" w:eastAsia="Arial" w:hAnsi="Arial"/>
                <w:sz w:val="18"/>
                <w:szCs w:val="18"/>
                <w:color w:val="auto"/>
                <w:w w:val="97"/>
              </w:rPr>
              <w:t>34.0%</w:t>
            </w:r>
          </w:p>
        </w:tc>
        <w:tc>
          <w:tcPr>
            <w:tcW w:w="10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4460" w:type="dxa"/>
            <w:vAlign w:val="bottom"/>
          </w:tcPr>
          <w:p>
            <w:pPr>
              <w:ind w:left="40"/>
              <w:spacing w:after="0"/>
              <w:rPr>
                <w:sz w:val="20"/>
                <w:szCs w:val="20"/>
                <w:color w:val="auto"/>
              </w:rPr>
            </w:pPr>
            <w:r>
              <w:rPr>
                <w:rFonts w:ascii="Arial" w:cs="Arial" w:eastAsia="Arial" w:hAnsi="Arial"/>
                <w:sz w:val="18"/>
                <w:szCs w:val="18"/>
                <w:color w:val="auto"/>
              </w:rPr>
              <w:t>share)</w:t>
            </w:r>
          </w:p>
        </w:tc>
        <w:tc>
          <w:tcPr>
            <w:tcW w:w="9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9"/>
        </w:trPr>
        <w:tc>
          <w:tcPr>
            <w:tcW w:w="4460" w:type="dxa"/>
            <w:vAlign w:val="bottom"/>
          </w:tcPr>
          <w:p>
            <w:pPr>
              <w:spacing w:after="0"/>
              <w:rPr>
                <w:sz w:val="20"/>
                <w:szCs w:val="20"/>
                <w:color w:val="auto"/>
              </w:rPr>
            </w:pPr>
            <w:r>
              <w:rPr>
                <w:rFonts w:ascii="Arial" w:cs="Arial" w:eastAsia="Arial" w:hAnsi="Arial"/>
                <w:sz w:val="18"/>
                <w:szCs w:val="18"/>
                <w:color w:val="auto"/>
              </w:rPr>
              <w:t>Assets under management</w:t>
            </w:r>
          </w:p>
        </w:tc>
        <w:tc>
          <w:tcPr>
            <w:tcW w:w="960" w:type="dxa"/>
            <w:vAlign w:val="bottom"/>
          </w:tcPr>
          <w:p>
            <w:pPr>
              <w:jc w:val="center"/>
              <w:spacing w:after="0"/>
              <w:rPr>
                <w:sz w:val="20"/>
                <w:szCs w:val="20"/>
                <w:color w:val="auto"/>
              </w:rPr>
            </w:pPr>
            <w:r>
              <w:rPr>
                <w:rFonts w:ascii="Arial" w:cs="Arial" w:eastAsia="Arial" w:hAnsi="Arial"/>
                <w:sz w:val="18"/>
                <w:szCs w:val="18"/>
                <w:color w:val="auto"/>
              </w:rPr>
              <w:t>$147.3</w:t>
            </w:r>
          </w:p>
        </w:tc>
        <w:tc>
          <w:tcPr>
            <w:tcW w:w="980" w:type="dxa"/>
            <w:vAlign w:val="bottom"/>
          </w:tcPr>
          <w:p>
            <w:pPr>
              <w:jc w:val="center"/>
              <w:spacing w:after="0"/>
              <w:rPr>
                <w:sz w:val="20"/>
                <w:szCs w:val="20"/>
                <w:color w:val="auto"/>
              </w:rPr>
            </w:pPr>
            <w:r>
              <w:rPr>
                <w:rFonts w:ascii="Arial" w:cs="Arial" w:eastAsia="Arial" w:hAnsi="Arial"/>
                <w:sz w:val="18"/>
                <w:szCs w:val="18"/>
                <w:color w:val="auto"/>
              </w:rPr>
              <w:t>$121.0</w:t>
            </w:r>
          </w:p>
        </w:tc>
        <w:tc>
          <w:tcPr>
            <w:tcW w:w="1020" w:type="dxa"/>
            <w:vAlign w:val="bottom"/>
          </w:tcPr>
          <w:p>
            <w:pPr>
              <w:jc w:val="center"/>
              <w:spacing w:after="0"/>
              <w:rPr>
                <w:sz w:val="20"/>
                <w:szCs w:val="20"/>
                <w:color w:val="auto"/>
              </w:rPr>
            </w:pPr>
            <w:r>
              <w:rPr>
                <w:rFonts w:ascii="Arial" w:cs="Arial" w:eastAsia="Arial" w:hAnsi="Arial"/>
                <w:sz w:val="18"/>
                <w:szCs w:val="18"/>
                <w:color w:val="auto"/>
                <w:w w:val="99"/>
              </w:rPr>
              <w:t>22%</w:t>
            </w:r>
          </w:p>
        </w:tc>
        <w:tc>
          <w:tcPr>
            <w:tcW w:w="9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3" w:lineRule="exact"/>
        <w:rPr>
          <w:sz w:val="20"/>
          <w:szCs w:val="20"/>
          <w:color w:val="auto"/>
        </w:rPr>
      </w:pPr>
    </w:p>
    <w:p>
      <w:pPr>
        <w:ind w:left="660" w:right="880" w:hanging="328"/>
        <w:spacing w:after="0" w:line="272"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20"/>
          <w:szCs w:val="20"/>
          <w:b w:val="1"/>
          <w:bCs w:val="1"/>
          <w:color w:val="auto"/>
        </w:rPr>
        <w:t xml:space="preserve">Pre-tax operating earnings </w:t>
      </w:r>
      <w:r>
        <w:rPr>
          <w:rFonts w:ascii="Arial" w:cs="Arial" w:eastAsia="Arial" w:hAnsi="Arial"/>
          <w:sz w:val="20"/>
          <w:szCs w:val="20"/>
          <w:color w:val="auto"/>
        </w:rPr>
        <w:t>increased $32.9 million. Adjusting for higher than expected encaje returns, Principal</w:t>
      </w:r>
      <w:r>
        <w:rPr>
          <w:rFonts w:ascii="Arial" w:cs="Arial" w:eastAsia="Arial" w:hAnsi="Arial"/>
          <w:sz w:val="20"/>
          <w:szCs w:val="20"/>
          <w:b w:val="1"/>
          <w:bCs w:val="1"/>
          <w:color w:val="auto"/>
        </w:rPr>
        <w:t xml:space="preserve"> </w:t>
      </w:r>
      <w:r>
        <w:rPr>
          <w:rFonts w:ascii="Arial" w:cs="Arial" w:eastAsia="Arial" w:hAnsi="Arial"/>
          <w:sz w:val="20"/>
          <w:szCs w:val="20"/>
          <w:color w:val="auto"/>
        </w:rPr>
        <w:t>International continues to generate mid-teens growth on a constant currency basis.</w:t>
      </w:r>
    </w:p>
    <w:p>
      <w:pPr>
        <w:spacing w:after="0" w:line="167" w:lineRule="exact"/>
        <w:rPr>
          <w:rFonts w:ascii="Arial" w:cs="Arial" w:eastAsia="Arial" w:hAnsi="Arial"/>
          <w:sz w:val="18"/>
          <w:szCs w:val="18"/>
          <w:color w:val="auto"/>
        </w:rPr>
      </w:pPr>
    </w:p>
    <w:p>
      <w:pPr>
        <w:ind w:left="660" w:hanging="328"/>
        <w:spacing w:after="0" w:line="272"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20"/>
          <w:szCs w:val="20"/>
          <w:b w:val="1"/>
          <w:bCs w:val="1"/>
          <w:color w:val="auto"/>
        </w:rPr>
        <w:t xml:space="preserve">Combined net revenue (at PFG share) </w:t>
      </w:r>
      <w:r>
        <w:rPr>
          <w:rFonts w:ascii="Arial" w:cs="Arial" w:eastAsia="Arial" w:hAnsi="Arial"/>
          <w:sz w:val="20"/>
          <w:szCs w:val="20"/>
          <w:color w:val="auto"/>
        </w:rPr>
        <w:t>increased $43.0 million driven by growth in AUM and higher than expected encaje</w:t>
      </w:r>
      <w:r>
        <w:rPr>
          <w:rFonts w:ascii="Arial" w:cs="Arial" w:eastAsia="Arial" w:hAnsi="Arial"/>
          <w:sz w:val="20"/>
          <w:szCs w:val="20"/>
          <w:b w:val="1"/>
          <w:bCs w:val="1"/>
          <w:color w:val="auto"/>
        </w:rPr>
        <w:t xml:space="preserve"> </w:t>
      </w:r>
      <w:r>
        <w:rPr>
          <w:rFonts w:ascii="Arial" w:cs="Arial" w:eastAsia="Arial" w:hAnsi="Arial"/>
          <w:sz w:val="20"/>
          <w:szCs w:val="20"/>
          <w:color w:val="auto"/>
        </w:rPr>
        <w:t>returns.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1"/>
          <w:szCs w:val="11"/>
          <w:b w:val="1"/>
          <w:bCs w:val="1"/>
          <w:color w:val="auto"/>
        </w:rPr>
        <w:t>____________________________________</w:t>
      </w:r>
    </w:p>
    <w:p>
      <w:pPr>
        <w:spacing w:after="0" w:line="123" w:lineRule="exact"/>
        <w:rPr>
          <w:sz w:val="20"/>
          <w:szCs w:val="20"/>
          <w:color w:val="auto"/>
        </w:rPr>
      </w:pPr>
    </w:p>
    <w:p>
      <w:pPr>
        <w:ind w:right="80" w:firstLine="8"/>
        <w:spacing w:after="0" w:line="215" w:lineRule="auto"/>
        <w:tabs>
          <w:tab w:leader="none" w:pos="165" w:val="left"/>
        </w:tabs>
        <w:numPr>
          <w:ilvl w:val="0"/>
          <w:numId w:val="15"/>
        </w:numPr>
        <w:rPr>
          <w:rFonts w:ascii="Arial" w:cs="Arial" w:eastAsia="Arial" w:hAnsi="Arial"/>
          <w:sz w:val="21"/>
          <w:szCs w:val="21"/>
          <w:color w:val="auto"/>
          <w:vertAlign w:val="superscript"/>
        </w:rPr>
      </w:pPr>
      <w:r>
        <w:rPr>
          <w:rFonts w:ascii="Arial" w:cs="Arial" w:eastAsia="Arial" w:hAnsi="Arial"/>
          <w:sz w:val="14"/>
          <w:szCs w:val="14"/>
          <w:color w:val="auto"/>
        </w:rPr>
        <w:t>Pre-tax return on operating revenues less pass-through commissions = pre-tax operating earnings, adjusted for noncontrolling interest divided by operating revenues less pass-through commissions.</w:t>
      </w:r>
    </w:p>
    <w:p>
      <w:pPr>
        <w:spacing w:after="0" w:line="31" w:lineRule="exact"/>
        <w:rPr>
          <w:rFonts w:ascii="Arial" w:cs="Arial" w:eastAsia="Arial" w:hAnsi="Arial"/>
          <w:sz w:val="21"/>
          <w:szCs w:val="21"/>
          <w:color w:val="auto"/>
          <w:vertAlign w:val="superscript"/>
        </w:rPr>
      </w:pPr>
    </w:p>
    <w:p>
      <w:pPr>
        <w:ind w:right="180" w:firstLine="8"/>
        <w:spacing w:after="0" w:line="280" w:lineRule="auto"/>
        <w:tabs>
          <w:tab w:leader="none" w:pos="170" w:val="left"/>
        </w:tabs>
        <w:numPr>
          <w:ilvl w:val="0"/>
          <w:numId w:val="15"/>
        </w:numPr>
        <w:rPr>
          <w:rFonts w:ascii="Arial" w:cs="Arial" w:eastAsia="Arial" w:hAnsi="Arial"/>
          <w:sz w:val="21"/>
          <w:szCs w:val="21"/>
          <w:color w:val="auto"/>
          <w:vertAlign w:val="superscript"/>
        </w:rPr>
      </w:pPr>
      <w:r>
        <w:rPr>
          <w:rFonts w:ascii="Arial" w:cs="Arial" w:eastAsia="Arial" w:hAnsi="Arial"/>
          <w:sz w:val="14"/>
          <w:szCs w:val="14"/>
          <w:color w:val="auto"/>
        </w:rPr>
        <w:t>Combined basis = all Principal International companies at 100 percent. The company has provided reconciliations of the non-GAAP measures to the most directly comparable U.S. GAAP measure at the end of the release. The company has determined combined net revenue (at PFG share) is more representative of underlying net revenue growth for Principal International as it reflects our proportionate share of consolidated and equity method subsidiaries. In addition, using this net revenue metric provides a more meaningful representation of our profit margins.</w:t>
      </w:r>
    </w:p>
    <w:p>
      <w:pPr>
        <w:sectPr>
          <w:pgSz w:w="11900" w:h="16838" w:orient="portrait"/>
          <w:cols w:equalWidth="0" w:num="1">
            <w:col w:w="11420"/>
          </w:cols>
          <w:pgMar w:left="240" w:top="1287" w:right="239" w:bottom="1440" w:gutter="0" w:footer="0" w:header="0"/>
        </w:sectPr>
      </w:pPr>
    </w:p>
    <w:bookmarkStart w:id="6" w:name="page7"/>
    <w:bookmarkEnd w:id="6"/>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5397500</wp:posOffset>
            </wp:positionH>
            <wp:positionV relativeFrom="page">
              <wp:posOffset>88900</wp:posOffset>
            </wp:positionV>
            <wp:extent cx="2006600" cy="5918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2006600" cy="591820"/>
                    </a:xfrm>
                    <a:prstGeom prst="rect">
                      <a:avLst/>
                    </a:prstGeom>
                    <a:noFill/>
                  </pic:spPr>
                </pic:pic>
              </a:graphicData>
            </a:graphic>
          </wp:anchor>
        </w:drawing>
        <w:t>Specialty Benefits Insurance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wp:posOffset>
            </wp:positionV>
            <wp:extent cx="7049135" cy="10979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049135" cy="1097915"/>
                    </a:xfrm>
                    <a:prstGeom prst="rect">
                      <a:avLst/>
                    </a:prstGeom>
                    <a:noFill/>
                  </pic:spPr>
                </pic:pic>
              </a:graphicData>
            </a:graphic>
          </wp:anchor>
        </w:drawing>
      </w:r>
    </w:p>
    <w:p>
      <w:pPr>
        <w:spacing w:after="0" w:line="156" w:lineRule="exact"/>
        <w:rPr>
          <w:sz w:val="20"/>
          <w:szCs w:val="20"/>
          <w:color w:val="auto"/>
        </w:rPr>
      </w:pPr>
    </w:p>
    <w:tbl>
      <w:tblPr>
        <w:tblLayout w:type="fixed"/>
        <w:tblInd w:w="500" w:type="dxa"/>
        <w:tblCellMar>
          <w:top w:w="0" w:type="dxa"/>
          <w:left w:w="0" w:type="dxa"/>
          <w:bottom w:w="0" w:type="dxa"/>
          <w:right w:w="0" w:type="dxa"/>
        </w:tblCellMar>
      </w:tblPr>
      <w:tr>
        <w:trPr>
          <w:trHeight w:val="270"/>
        </w:trPr>
        <w:tc>
          <w:tcPr>
            <w:tcW w:w="4280" w:type="dxa"/>
            <w:vAlign w:val="bottom"/>
            <w:vMerge w:val="restart"/>
          </w:tcPr>
          <w:p>
            <w:pPr>
              <w:ind w:left="280"/>
              <w:spacing w:after="0"/>
              <w:rPr>
                <w:sz w:val="20"/>
                <w:szCs w:val="20"/>
                <w:color w:val="auto"/>
              </w:rPr>
            </w:pPr>
            <w:r>
              <w:rPr>
                <w:rFonts w:ascii="Arial" w:cs="Arial" w:eastAsia="Arial" w:hAnsi="Arial"/>
                <w:sz w:val="14"/>
                <w:szCs w:val="14"/>
                <w:i w:val="1"/>
                <w:iCs w:val="1"/>
                <w:color w:val="auto"/>
              </w:rPr>
              <w:t>(in millions except percentages or otherwise noted)</w:t>
            </w:r>
          </w:p>
        </w:tc>
        <w:tc>
          <w:tcPr>
            <w:tcW w:w="1000" w:type="dxa"/>
            <w:vAlign w:val="bottom"/>
            <w:shd w:val="clear" w:color="auto" w:fill="BFBFBF"/>
          </w:tcPr>
          <w:p>
            <w:pPr>
              <w:spacing w:after="0"/>
              <w:rPr>
                <w:sz w:val="23"/>
                <w:szCs w:val="23"/>
                <w:color w:val="auto"/>
              </w:rPr>
            </w:pPr>
          </w:p>
        </w:tc>
        <w:tc>
          <w:tcPr>
            <w:tcW w:w="1000" w:type="dxa"/>
            <w:vAlign w:val="bottom"/>
            <w:shd w:val="clear" w:color="auto" w:fill="BFBFBF"/>
          </w:tcPr>
          <w:p>
            <w:pPr>
              <w:ind w:left="180"/>
              <w:spacing w:after="0"/>
              <w:rPr>
                <w:sz w:val="20"/>
                <w:szCs w:val="20"/>
                <w:color w:val="auto"/>
              </w:rPr>
            </w:pPr>
            <w:r>
              <w:rPr>
                <w:rFonts w:ascii="Arial" w:cs="Arial" w:eastAsia="Arial" w:hAnsi="Arial"/>
                <w:sz w:val="18"/>
                <w:szCs w:val="18"/>
                <w:b w:val="1"/>
                <w:bCs w:val="1"/>
                <w:i w:val="1"/>
                <w:iCs w:val="1"/>
                <w:color w:val="auto"/>
              </w:rPr>
              <w:t>Quarter</w:t>
            </w:r>
          </w:p>
        </w:tc>
        <w:tc>
          <w:tcPr>
            <w:tcW w:w="1040" w:type="dxa"/>
            <w:vAlign w:val="bottom"/>
            <w:shd w:val="clear" w:color="auto" w:fill="BFBFBF"/>
          </w:tcPr>
          <w:p>
            <w:pPr>
              <w:spacing w:after="0"/>
              <w:rPr>
                <w:sz w:val="23"/>
                <w:szCs w:val="23"/>
                <w:color w:val="auto"/>
              </w:rPr>
            </w:pPr>
          </w:p>
        </w:tc>
        <w:tc>
          <w:tcPr>
            <w:tcW w:w="3280" w:type="dxa"/>
            <w:vAlign w:val="bottom"/>
            <w:gridSpan w:val="3"/>
            <w:shd w:val="clear" w:color="auto" w:fill="BFBFBF"/>
          </w:tcPr>
          <w:p>
            <w:pPr>
              <w:ind w:left="640"/>
              <w:spacing w:after="0"/>
              <w:rPr>
                <w:sz w:val="20"/>
                <w:szCs w:val="20"/>
                <w:color w:val="auto"/>
              </w:rPr>
            </w:pPr>
            <w:r>
              <w:rPr>
                <w:rFonts w:ascii="Arial" w:cs="Arial" w:eastAsia="Arial" w:hAnsi="Arial"/>
                <w:sz w:val="18"/>
                <w:szCs w:val="18"/>
                <w:b w:val="1"/>
                <w:bCs w:val="1"/>
                <w:i w:val="1"/>
                <w:iCs w:val="1"/>
                <w:color w:val="auto"/>
              </w:rPr>
              <w:t>Trailing Twelve Months</w:t>
            </w:r>
          </w:p>
        </w:tc>
        <w:tc>
          <w:tcPr>
            <w:tcW w:w="0" w:type="dxa"/>
            <w:vAlign w:val="bottom"/>
          </w:tcPr>
          <w:p>
            <w:pPr>
              <w:spacing w:after="0"/>
              <w:rPr>
                <w:sz w:val="1"/>
                <w:szCs w:val="1"/>
                <w:color w:val="auto"/>
              </w:rPr>
            </w:pPr>
          </w:p>
        </w:tc>
      </w:tr>
      <w:tr>
        <w:trPr>
          <w:trHeight w:val="83"/>
        </w:trPr>
        <w:tc>
          <w:tcPr>
            <w:tcW w:w="4280" w:type="dxa"/>
            <w:vAlign w:val="bottom"/>
            <w:vMerge w:val="continue"/>
          </w:tcPr>
          <w:p>
            <w:pPr>
              <w:spacing w:after="0"/>
              <w:rPr>
                <w:sz w:val="7"/>
                <w:szCs w:val="7"/>
                <w:color w:val="auto"/>
              </w:rPr>
            </w:pPr>
          </w:p>
        </w:tc>
        <w:tc>
          <w:tcPr>
            <w:tcW w:w="100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1Q17</w:t>
            </w:r>
          </w:p>
        </w:tc>
        <w:tc>
          <w:tcPr>
            <w:tcW w:w="100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1Q16</w:t>
            </w:r>
          </w:p>
        </w:tc>
        <w:tc>
          <w:tcPr>
            <w:tcW w:w="1040" w:type="dxa"/>
            <w:vAlign w:val="bottom"/>
            <w:vMerge w:val="restart"/>
          </w:tcPr>
          <w:p>
            <w:pPr>
              <w:ind w:left="180"/>
              <w:spacing w:after="0"/>
              <w:rPr>
                <w:sz w:val="20"/>
                <w:szCs w:val="20"/>
                <w:color w:val="auto"/>
              </w:rPr>
            </w:pPr>
            <w:r>
              <w:rPr>
                <w:rFonts w:ascii="Arial" w:cs="Arial" w:eastAsia="Arial" w:hAnsi="Arial"/>
                <w:sz w:val="14"/>
                <w:szCs w:val="14"/>
                <w:color w:val="auto"/>
              </w:rPr>
              <w:t>% Change</w:t>
            </w:r>
          </w:p>
        </w:tc>
        <w:tc>
          <w:tcPr>
            <w:tcW w:w="110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1Q17</w:t>
            </w:r>
          </w:p>
        </w:tc>
        <w:tc>
          <w:tcPr>
            <w:tcW w:w="114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1Q16</w:t>
            </w:r>
          </w:p>
        </w:tc>
        <w:tc>
          <w:tcPr>
            <w:tcW w:w="1040" w:type="dxa"/>
            <w:vAlign w:val="bottom"/>
            <w:vMerge w:val="restart"/>
          </w:tcPr>
          <w:p>
            <w:pPr>
              <w:ind w:left="200"/>
              <w:spacing w:after="0"/>
              <w:rPr>
                <w:sz w:val="20"/>
                <w:szCs w:val="20"/>
                <w:color w:val="auto"/>
              </w:rPr>
            </w:pPr>
            <w:r>
              <w:rPr>
                <w:rFonts w:ascii="Arial" w:cs="Arial" w:eastAsia="Arial" w:hAnsi="Arial"/>
                <w:sz w:val="14"/>
                <w:szCs w:val="14"/>
                <w:color w:val="auto"/>
              </w:rPr>
              <w:t>% Change</w:t>
            </w:r>
          </w:p>
        </w:tc>
        <w:tc>
          <w:tcPr>
            <w:tcW w:w="0" w:type="dxa"/>
            <w:vAlign w:val="bottom"/>
          </w:tcPr>
          <w:p>
            <w:pPr>
              <w:spacing w:after="0"/>
              <w:rPr>
                <w:sz w:val="1"/>
                <w:szCs w:val="1"/>
                <w:color w:val="auto"/>
              </w:rPr>
            </w:pPr>
          </w:p>
        </w:tc>
      </w:tr>
      <w:tr>
        <w:trPr>
          <w:trHeight w:val="159"/>
        </w:trPr>
        <w:tc>
          <w:tcPr>
            <w:tcW w:w="4280" w:type="dxa"/>
            <w:vAlign w:val="bottom"/>
          </w:tcPr>
          <w:p>
            <w:pPr>
              <w:spacing w:after="0"/>
              <w:rPr>
                <w:sz w:val="13"/>
                <w:szCs w:val="13"/>
                <w:color w:val="auto"/>
              </w:rPr>
            </w:pPr>
          </w:p>
        </w:tc>
        <w:tc>
          <w:tcPr>
            <w:tcW w:w="1000" w:type="dxa"/>
            <w:vAlign w:val="bottom"/>
            <w:tcBorders>
              <w:bottom w:val="single" w:sz="8" w:color="auto"/>
            </w:tcBorders>
            <w:vMerge w:val="continue"/>
          </w:tcPr>
          <w:p>
            <w:pPr>
              <w:spacing w:after="0"/>
              <w:rPr>
                <w:sz w:val="13"/>
                <w:szCs w:val="13"/>
                <w:color w:val="auto"/>
              </w:rPr>
            </w:pPr>
          </w:p>
        </w:tc>
        <w:tc>
          <w:tcPr>
            <w:tcW w:w="1000" w:type="dxa"/>
            <w:vAlign w:val="bottom"/>
            <w:tcBorders>
              <w:bottom w:val="single" w:sz="8" w:color="auto"/>
            </w:tcBorders>
            <w:vMerge w:val="continue"/>
          </w:tcPr>
          <w:p>
            <w:pPr>
              <w:spacing w:after="0"/>
              <w:rPr>
                <w:sz w:val="13"/>
                <w:szCs w:val="13"/>
                <w:color w:val="auto"/>
              </w:rPr>
            </w:pPr>
          </w:p>
        </w:tc>
        <w:tc>
          <w:tcPr>
            <w:tcW w:w="1040" w:type="dxa"/>
            <w:vAlign w:val="bottom"/>
            <w:tcBorders>
              <w:bottom w:val="single" w:sz="8" w:color="auto"/>
            </w:tcBorders>
            <w:vMerge w:val="continue"/>
          </w:tcPr>
          <w:p>
            <w:pPr>
              <w:spacing w:after="0"/>
              <w:rPr>
                <w:sz w:val="13"/>
                <w:szCs w:val="13"/>
                <w:color w:val="auto"/>
              </w:rPr>
            </w:pPr>
          </w:p>
        </w:tc>
        <w:tc>
          <w:tcPr>
            <w:tcW w:w="1100" w:type="dxa"/>
            <w:vAlign w:val="bottom"/>
            <w:tcBorders>
              <w:bottom w:val="single" w:sz="8" w:color="auto"/>
            </w:tcBorders>
            <w:vMerge w:val="continue"/>
          </w:tcPr>
          <w:p>
            <w:pPr>
              <w:spacing w:after="0"/>
              <w:rPr>
                <w:sz w:val="13"/>
                <w:szCs w:val="13"/>
                <w:color w:val="auto"/>
              </w:rPr>
            </w:pPr>
          </w:p>
        </w:tc>
        <w:tc>
          <w:tcPr>
            <w:tcW w:w="1140" w:type="dxa"/>
            <w:vAlign w:val="bottom"/>
            <w:tcBorders>
              <w:bottom w:val="single" w:sz="8" w:color="auto"/>
            </w:tcBorders>
            <w:vMerge w:val="continue"/>
          </w:tcPr>
          <w:p>
            <w:pPr>
              <w:spacing w:after="0"/>
              <w:rPr>
                <w:sz w:val="13"/>
                <w:szCs w:val="13"/>
                <w:color w:val="auto"/>
              </w:rPr>
            </w:pPr>
          </w:p>
        </w:tc>
        <w:tc>
          <w:tcPr>
            <w:tcW w:w="1040" w:type="dxa"/>
            <w:vAlign w:val="bottom"/>
            <w:tcBorders>
              <w:bottom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43"/>
        </w:trPr>
        <w:tc>
          <w:tcPr>
            <w:tcW w:w="4280" w:type="dxa"/>
            <w:vAlign w:val="bottom"/>
          </w:tcPr>
          <w:p>
            <w:pPr>
              <w:spacing w:after="0"/>
              <w:rPr>
                <w:sz w:val="20"/>
                <w:szCs w:val="20"/>
                <w:color w:val="auto"/>
              </w:rPr>
            </w:pPr>
            <w:r>
              <w:rPr>
                <w:rFonts w:ascii="Arial" w:cs="Arial" w:eastAsia="Arial" w:hAnsi="Arial"/>
                <w:sz w:val="18"/>
                <w:szCs w:val="18"/>
                <w:color w:val="auto"/>
              </w:rPr>
              <w:t>Pre-tax operating earnings</w:t>
            </w:r>
          </w:p>
        </w:tc>
        <w:tc>
          <w:tcPr>
            <w:tcW w:w="1000" w:type="dxa"/>
            <w:vAlign w:val="bottom"/>
          </w:tcPr>
          <w:p>
            <w:pPr>
              <w:jc w:val="center"/>
              <w:spacing w:after="0"/>
              <w:rPr>
                <w:sz w:val="20"/>
                <w:szCs w:val="20"/>
                <w:color w:val="auto"/>
              </w:rPr>
            </w:pPr>
            <w:r>
              <w:rPr>
                <w:rFonts w:ascii="Arial" w:cs="Arial" w:eastAsia="Arial" w:hAnsi="Arial"/>
                <w:sz w:val="18"/>
                <w:szCs w:val="18"/>
                <w:color w:val="auto"/>
                <w:w w:val="97"/>
              </w:rPr>
              <w:t>$45.5</w:t>
            </w:r>
          </w:p>
        </w:tc>
        <w:tc>
          <w:tcPr>
            <w:tcW w:w="1000" w:type="dxa"/>
            <w:vAlign w:val="bottom"/>
          </w:tcPr>
          <w:p>
            <w:pPr>
              <w:jc w:val="center"/>
              <w:spacing w:after="0"/>
              <w:rPr>
                <w:sz w:val="20"/>
                <w:szCs w:val="20"/>
                <w:color w:val="auto"/>
              </w:rPr>
            </w:pPr>
            <w:r>
              <w:rPr>
                <w:rFonts w:ascii="Arial" w:cs="Arial" w:eastAsia="Arial" w:hAnsi="Arial"/>
                <w:sz w:val="18"/>
                <w:szCs w:val="18"/>
                <w:color w:val="auto"/>
              </w:rPr>
              <w:t>$38.6</w:t>
            </w:r>
          </w:p>
        </w:tc>
        <w:tc>
          <w:tcPr>
            <w:tcW w:w="1040" w:type="dxa"/>
            <w:vAlign w:val="bottom"/>
          </w:tcPr>
          <w:p>
            <w:pPr>
              <w:jc w:val="right"/>
              <w:ind w:right="276"/>
              <w:spacing w:after="0"/>
              <w:rPr>
                <w:sz w:val="20"/>
                <w:szCs w:val="20"/>
                <w:color w:val="auto"/>
              </w:rPr>
            </w:pPr>
            <w:r>
              <w:rPr>
                <w:rFonts w:ascii="Arial" w:cs="Arial" w:eastAsia="Arial" w:hAnsi="Arial"/>
                <w:sz w:val="18"/>
                <w:szCs w:val="18"/>
                <w:color w:val="auto"/>
              </w:rPr>
              <w:t>18%</w:t>
            </w:r>
          </w:p>
        </w:tc>
        <w:tc>
          <w:tcPr>
            <w:tcW w:w="1100" w:type="dxa"/>
            <w:vAlign w:val="bottom"/>
          </w:tcPr>
          <w:p>
            <w:pPr>
              <w:jc w:val="center"/>
              <w:spacing w:after="0"/>
              <w:rPr>
                <w:sz w:val="20"/>
                <w:szCs w:val="20"/>
                <w:color w:val="auto"/>
              </w:rPr>
            </w:pPr>
            <w:r>
              <w:rPr>
                <w:rFonts w:ascii="Arial" w:cs="Arial" w:eastAsia="Arial" w:hAnsi="Arial"/>
                <w:sz w:val="18"/>
                <w:szCs w:val="18"/>
                <w:color w:val="auto"/>
                <w:w w:val="98"/>
              </w:rPr>
              <w:t>$257.8</w:t>
            </w:r>
          </w:p>
        </w:tc>
        <w:tc>
          <w:tcPr>
            <w:tcW w:w="1140" w:type="dxa"/>
            <w:vAlign w:val="bottom"/>
          </w:tcPr>
          <w:p>
            <w:pPr>
              <w:jc w:val="center"/>
              <w:spacing w:after="0"/>
              <w:rPr>
                <w:sz w:val="20"/>
                <w:szCs w:val="20"/>
                <w:color w:val="auto"/>
              </w:rPr>
            </w:pPr>
            <w:r>
              <w:rPr>
                <w:rFonts w:ascii="Arial" w:cs="Arial" w:eastAsia="Arial" w:hAnsi="Arial"/>
                <w:sz w:val="18"/>
                <w:szCs w:val="18"/>
                <w:color w:val="auto"/>
              </w:rPr>
              <w:t>$212.2</w:t>
            </w:r>
          </w:p>
        </w:tc>
        <w:tc>
          <w:tcPr>
            <w:tcW w:w="1040" w:type="dxa"/>
            <w:vAlign w:val="bottom"/>
          </w:tcPr>
          <w:p>
            <w:pPr>
              <w:jc w:val="right"/>
              <w:ind w:right="236"/>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57"/>
        </w:trPr>
        <w:tc>
          <w:tcPr>
            <w:tcW w:w="4280" w:type="dxa"/>
            <w:vAlign w:val="bottom"/>
          </w:tcPr>
          <w:p>
            <w:pPr>
              <w:spacing w:after="0"/>
              <w:rPr>
                <w:sz w:val="20"/>
                <w:szCs w:val="20"/>
                <w:color w:val="auto"/>
              </w:rPr>
            </w:pPr>
            <w:r>
              <w:rPr>
                <w:rFonts w:ascii="Arial" w:cs="Arial" w:eastAsia="Arial" w:hAnsi="Arial"/>
                <w:sz w:val="18"/>
                <w:szCs w:val="18"/>
                <w:color w:val="auto"/>
              </w:rPr>
              <w:t>Premium and fees</w:t>
            </w:r>
          </w:p>
        </w:tc>
        <w:tc>
          <w:tcPr>
            <w:tcW w:w="1000" w:type="dxa"/>
            <w:vAlign w:val="bottom"/>
          </w:tcPr>
          <w:p>
            <w:pPr>
              <w:jc w:val="center"/>
              <w:spacing w:after="0"/>
              <w:rPr>
                <w:sz w:val="20"/>
                <w:szCs w:val="20"/>
                <w:color w:val="auto"/>
              </w:rPr>
            </w:pPr>
            <w:r>
              <w:rPr>
                <w:rFonts w:ascii="Arial" w:cs="Arial" w:eastAsia="Arial" w:hAnsi="Arial"/>
                <w:sz w:val="18"/>
                <w:szCs w:val="18"/>
                <w:color w:val="auto"/>
              </w:rPr>
              <w:t>$487.6</w:t>
            </w:r>
          </w:p>
        </w:tc>
        <w:tc>
          <w:tcPr>
            <w:tcW w:w="1000" w:type="dxa"/>
            <w:vAlign w:val="bottom"/>
          </w:tcPr>
          <w:p>
            <w:pPr>
              <w:jc w:val="center"/>
              <w:spacing w:after="0"/>
              <w:rPr>
                <w:sz w:val="20"/>
                <w:szCs w:val="20"/>
                <w:color w:val="auto"/>
              </w:rPr>
            </w:pPr>
            <w:r>
              <w:rPr>
                <w:rFonts w:ascii="Arial" w:cs="Arial" w:eastAsia="Arial" w:hAnsi="Arial"/>
                <w:sz w:val="18"/>
                <w:szCs w:val="18"/>
                <w:color w:val="auto"/>
                <w:w w:val="98"/>
              </w:rPr>
              <w:t>$449.7</w:t>
            </w:r>
          </w:p>
        </w:tc>
        <w:tc>
          <w:tcPr>
            <w:tcW w:w="1040" w:type="dxa"/>
            <w:vAlign w:val="bottom"/>
          </w:tcPr>
          <w:p>
            <w:pPr>
              <w:jc w:val="right"/>
              <w:ind w:right="316"/>
              <w:spacing w:after="0"/>
              <w:rPr>
                <w:sz w:val="20"/>
                <w:szCs w:val="20"/>
                <w:color w:val="auto"/>
              </w:rPr>
            </w:pPr>
            <w:r>
              <w:rPr>
                <w:rFonts w:ascii="Arial" w:cs="Arial" w:eastAsia="Arial" w:hAnsi="Arial"/>
                <w:sz w:val="18"/>
                <w:szCs w:val="18"/>
                <w:color w:val="auto"/>
              </w:rPr>
              <w:t>8%</w:t>
            </w:r>
          </w:p>
        </w:tc>
        <w:tc>
          <w:tcPr>
            <w:tcW w:w="1100" w:type="dxa"/>
            <w:vAlign w:val="bottom"/>
          </w:tcPr>
          <w:p>
            <w:pPr>
              <w:jc w:val="center"/>
              <w:spacing w:after="0"/>
              <w:rPr>
                <w:sz w:val="20"/>
                <w:szCs w:val="20"/>
                <w:color w:val="auto"/>
              </w:rPr>
            </w:pPr>
            <w:r>
              <w:rPr>
                <w:rFonts w:ascii="Arial" w:cs="Arial" w:eastAsia="Arial" w:hAnsi="Arial"/>
                <w:sz w:val="18"/>
                <w:szCs w:val="18"/>
                <w:color w:val="auto"/>
                <w:w w:val="99"/>
              </w:rPr>
              <w:t>$1,900.2</w:t>
            </w:r>
          </w:p>
        </w:tc>
        <w:tc>
          <w:tcPr>
            <w:tcW w:w="1140" w:type="dxa"/>
            <w:vAlign w:val="bottom"/>
          </w:tcPr>
          <w:p>
            <w:pPr>
              <w:jc w:val="center"/>
              <w:spacing w:after="0"/>
              <w:rPr>
                <w:sz w:val="20"/>
                <w:szCs w:val="20"/>
                <w:color w:val="auto"/>
              </w:rPr>
            </w:pPr>
            <w:r>
              <w:rPr>
                <w:rFonts w:ascii="Arial" w:cs="Arial" w:eastAsia="Arial" w:hAnsi="Arial"/>
                <w:sz w:val="18"/>
                <w:szCs w:val="18"/>
                <w:color w:val="auto"/>
                <w:w w:val="99"/>
              </w:rPr>
              <w:t>$1,746.7</w:t>
            </w:r>
          </w:p>
        </w:tc>
        <w:tc>
          <w:tcPr>
            <w:tcW w:w="1040" w:type="dxa"/>
            <w:vAlign w:val="bottom"/>
          </w:tcPr>
          <w:p>
            <w:pPr>
              <w:jc w:val="right"/>
              <w:ind w:right="276"/>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314"/>
        </w:trPr>
        <w:tc>
          <w:tcPr>
            <w:tcW w:w="4280" w:type="dxa"/>
            <w:vAlign w:val="bottom"/>
          </w:tcPr>
          <w:p>
            <w:pPr>
              <w:spacing w:after="0"/>
              <w:rPr>
                <w:sz w:val="20"/>
                <w:szCs w:val="20"/>
                <w:color w:val="auto"/>
              </w:rPr>
            </w:pPr>
            <w:r>
              <w:rPr>
                <w:rFonts w:ascii="Arial" w:cs="Arial" w:eastAsia="Arial" w:hAnsi="Arial"/>
                <w:sz w:val="18"/>
                <w:szCs w:val="18"/>
                <w:color w:val="auto"/>
              </w:rPr>
              <w:t>Pre-tax return on premium and fees</w:t>
            </w:r>
            <w:r>
              <w:rPr>
                <w:rFonts w:ascii="Arial" w:cs="Arial" w:eastAsia="Arial" w:hAnsi="Arial"/>
                <w:sz w:val="21"/>
                <w:szCs w:val="21"/>
                <w:color w:val="auto"/>
                <w:vertAlign w:val="superscript"/>
              </w:rPr>
              <w:t>12</w:t>
            </w:r>
          </w:p>
        </w:tc>
        <w:tc>
          <w:tcPr>
            <w:tcW w:w="1000" w:type="dxa"/>
            <w:vAlign w:val="bottom"/>
          </w:tcPr>
          <w:p>
            <w:pPr>
              <w:jc w:val="center"/>
              <w:spacing w:after="0"/>
              <w:rPr>
                <w:sz w:val="20"/>
                <w:szCs w:val="20"/>
                <w:color w:val="auto"/>
              </w:rPr>
            </w:pPr>
            <w:r>
              <w:rPr>
                <w:rFonts w:ascii="Arial" w:cs="Arial" w:eastAsia="Arial" w:hAnsi="Arial"/>
                <w:sz w:val="18"/>
                <w:szCs w:val="18"/>
                <w:color w:val="auto"/>
                <w:w w:val="97"/>
              </w:rPr>
              <w:t>9.3%</w:t>
            </w:r>
          </w:p>
        </w:tc>
        <w:tc>
          <w:tcPr>
            <w:tcW w:w="1000" w:type="dxa"/>
            <w:vAlign w:val="bottom"/>
          </w:tcPr>
          <w:p>
            <w:pPr>
              <w:jc w:val="center"/>
              <w:spacing w:after="0"/>
              <w:rPr>
                <w:sz w:val="20"/>
                <w:szCs w:val="20"/>
                <w:color w:val="auto"/>
              </w:rPr>
            </w:pPr>
            <w:r>
              <w:rPr>
                <w:rFonts w:ascii="Arial" w:cs="Arial" w:eastAsia="Arial" w:hAnsi="Arial"/>
                <w:sz w:val="18"/>
                <w:szCs w:val="18"/>
                <w:color w:val="auto"/>
              </w:rPr>
              <w:t>8.6%</w:t>
            </w:r>
          </w:p>
        </w:tc>
        <w:tc>
          <w:tcPr>
            <w:tcW w:w="1040" w:type="dxa"/>
            <w:vAlign w:val="bottom"/>
          </w:tcPr>
          <w:p>
            <w:pPr>
              <w:spacing w:after="0"/>
              <w:rPr>
                <w:sz w:val="24"/>
                <w:szCs w:val="24"/>
                <w:color w:val="auto"/>
              </w:rPr>
            </w:pPr>
          </w:p>
        </w:tc>
        <w:tc>
          <w:tcPr>
            <w:tcW w:w="1100" w:type="dxa"/>
            <w:vAlign w:val="bottom"/>
          </w:tcPr>
          <w:p>
            <w:pPr>
              <w:jc w:val="center"/>
              <w:spacing w:after="0"/>
              <w:rPr>
                <w:sz w:val="20"/>
                <w:szCs w:val="20"/>
                <w:color w:val="auto"/>
              </w:rPr>
            </w:pPr>
            <w:r>
              <w:rPr>
                <w:rFonts w:ascii="Arial" w:cs="Arial" w:eastAsia="Arial" w:hAnsi="Arial"/>
                <w:sz w:val="18"/>
                <w:szCs w:val="18"/>
                <w:color w:val="auto"/>
                <w:w w:val="97"/>
              </w:rPr>
              <w:t>13.6%</w:t>
            </w:r>
          </w:p>
        </w:tc>
        <w:tc>
          <w:tcPr>
            <w:tcW w:w="1140" w:type="dxa"/>
            <w:vAlign w:val="bottom"/>
          </w:tcPr>
          <w:p>
            <w:pPr>
              <w:jc w:val="center"/>
              <w:spacing w:after="0"/>
              <w:rPr>
                <w:sz w:val="20"/>
                <w:szCs w:val="20"/>
                <w:color w:val="auto"/>
              </w:rPr>
            </w:pPr>
            <w:r>
              <w:rPr>
                <w:rFonts w:ascii="Arial" w:cs="Arial" w:eastAsia="Arial" w:hAnsi="Arial"/>
                <w:sz w:val="18"/>
                <w:szCs w:val="18"/>
                <w:color w:val="auto"/>
              </w:rPr>
              <w:t>12.1%</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5"/>
        </w:trPr>
        <w:tc>
          <w:tcPr>
            <w:tcW w:w="4280" w:type="dxa"/>
            <w:vAlign w:val="bottom"/>
          </w:tcPr>
          <w:p>
            <w:pPr>
              <w:spacing w:after="0"/>
              <w:rPr>
                <w:sz w:val="20"/>
                <w:szCs w:val="20"/>
                <w:color w:val="auto"/>
              </w:rPr>
            </w:pPr>
            <w:r>
              <w:rPr>
                <w:rFonts w:ascii="Arial" w:cs="Arial" w:eastAsia="Arial" w:hAnsi="Arial"/>
                <w:sz w:val="18"/>
                <w:szCs w:val="18"/>
                <w:color w:val="auto"/>
              </w:rPr>
              <w:t>Incurred loss ratio</w:t>
            </w:r>
          </w:p>
        </w:tc>
        <w:tc>
          <w:tcPr>
            <w:tcW w:w="1000" w:type="dxa"/>
            <w:vAlign w:val="bottom"/>
          </w:tcPr>
          <w:p>
            <w:pPr>
              <w:jc w:val="center"/>
              <w:spacing w:after="0"/>
              <w:rPr>
                <w:sz w:val="20"/>
                <w:szCs w:val="20"/>
                <w:color w:val="auto"/>
              </w:rPr>
            </w:pPr>
            <w:r>
              <w:rPr>
                <w:rFonts w:ascii="Arial" w:cs="Arial" w:eastAsia="Arial" w:hAnsi="Arial"/>
                <w:sz w:val="18"/>
                <w:szCs w:val="18"/>
                <w:color w:val="auto"/>
              </w:rPr>
              <w:t>66.5%</w:t>
            </w:r>
          </w:p>
        </w:tc>
        <w:tc>
          <w:tcPr>
            <w:tcW w:w="1000" w:type="dxa"/>
            <w:vAlign w:val="bottom"/>
          </w:tcPr>
          <w:p>
            <w:pPr>
              <w:jc w:val="center"/>
              <w:spacing w:after="0"/>
              <w:rPr>
                <w:sz w:val="20"/>
                <w:szCs w:val="20"/>
                <w:color w:val="auto"/>
              </w:rPr>
            </w:pPr>
            <w:r>
              <w:rPr>
                <w:rFonts w:ascii="Arial" w:cs="Arial" w:eastAsia="Arial" w:hAnsi="Arial"/>
                <w:sz w:val="18"/>
                <w:szCs w:val="18"/>
                <w:color w:val="auto"/>
                <w:w w:val="97"/>
              </w:rPr>
              <w:t>66.4%</w:t>
            </w:r>
          </w:p>
        </w:tc>
        <w:tc>
          <w:tcPr>
            <w:tcW w:w="1040" w:type="dxa"/>
            <w:vAlign w:val="bottom"/>
          </w:tcPr>
          <w:p>
            <w:pPr>
              <w:spacing w:after="0"/>
              <w:rPr>
                <w:sz w:val="24"/>
                <w:szCs w:val="24"/>
                <w:color w:val="auto"/>
              </w:rPr>
            </w:pPr>
          </w:p>
        </w:tc>
        <w:tc>
          <w:tcPr>
            <w:tcW w:w="1100" w:type="dxa"/>
            <w:vAlign w:val="bottom"/>
          </w:tcPr>
          <w:p>
            <w:pPr>
              <w:jc w:val="center"/>
              <w:spacing w:after="0"/>
              <w:rPr>
                <w:sz w:val="20"/>
                <w:szCs w:val="20"/>
                <w:color w:val="auto"/>
              </w:rPr>
            </w:pPr>
            <w:r>
              <w:rPr>
                <w:rFonts w:ascii="Arial" w:cs="Arial" w:eastAsia="Arial" w:hAnsi="Arial"/>
                <w:sz w:val="18"/>
                <w:szCs w:val="18"/>
                <w:color w:val="auto"/>
                <w:w w:val="97"/>
              </w:rPr>
              <w:t>63.6%</w:t>
            </w:r>
          </w:p>
        </w:tc>
        <w:tc>
          <w:tcPr>
            <w:tcW w:w="1140" w:type="dxa"/>
            <w:vAlign w:val="bottom"/>
          </w:tcPr>
          <w:p>
            <w:pPr>
              <w:jc w:val="center"/>
              <w:spacing w:after="0"/>
              <w:rPr>
                <w:sz w:val="20"/>
                <w:szCs w:val="20"/>
                <w:color w:val="auto"/>
              </w:rPr>
            </w:pPr>
            <w:r>
              <w:rPr>
                <w:rFonts w:ascii="Arial" w:cs="Arial" w:eastAsia="Arial" w:hAnsi="Arial"/>
                <w:sz w:val="18"/>
                <w:szCs w:val="18"/>
                <w:color w:val="auto"/>
              </w:rPr>
              <w:t>63.4%</w:t>
            </w:r>
          </w:p>
        </w:tc>
        <w:tc>
          <w:tcPr>
            <w:tcW w:w="10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3" w:lineRule="exact"/>
        <w:rPr>
          <w:sz w:val="20"/>
          <w:szCs w:val="20"/>
          <w:color w:val="auto"/>
        </w:rPr>
      </w:pPr>
    </w:p>
    <w:p>
      <w:pPr>
        <w:ind w:left="660" w:hanging="328"/>
        <w:spacing w:after="0" w:line="272" w:lineRule="auto"/>
        <w:tabs>
          <w:tab w:leader="none" w:pos="660" w:val="left"/>
        </w:tabs>
        <w:numPr>
          <w:ilvl w:val="0"/>
          <w:numId w:val="16"/>
        </w:numPr>
        <w:rPr>
          <w:rFonts w:ascii="Arial" w:cs="Arial" w:eastAsia="Arial" w:hAnsi="Arial"/>
          <w:sz w:val="18"/>
          <w:szCs w:val="18"/>
          <w:color w:val="auto"/>
        </w:rPr>
      </w:pPr>
      <w:r>
        <w:rPr>
          <w:rFonts w:ascii="Arial" w:cs="Arial" w:eastAsia="Arial" w:hAnsi="Arial"/>
          <w:sz w:val="20"/>
          <w:szCs w:val="20"/>
          <w:b w:val="1"/>
          <w:bCs w:val="1"/>
          <w:color w:val="auto"/>
        </w:rPr>
        <w:t xml:space="preserve">Pre-tax operating earnings </w:t>
      </w:r>
      <w:r>
        <w:rPr>
          <w:rFonts w:ascii="Arial" w:cs="Arial" w:eastAsia="Arial" w:hAnsi="Arial"/>
          <w:sz w:val="20"/>
          <w:szCs w:val="20"/>
          <w:color w:val="auto"/>
        </w:rPr>
        <w:t>increased $6.9 million primarily due to growth in the business and the benefits of scale. In the</w:t>
      </w:r>
      <w:r>
        <w:rPr>
          <w:rFonts w:ascii="Arial" w:cs="Arial" w:eastAsia="Arial" w:hAnsi="Arial"/>
          <w:sz w:val="20"/>
          <w:szCs w:val="20"/>
          <w:b w:val="1"/>
          <w:bCs w:val="1"/>
          <w:color w:val="auto"/>
        </w:rPr>
        <w:t xml:space="preserve"> </w:t>
      </w:r>
      <w:r>
        <w:rPr>
          <w:rFonts w:ascii="Arial" w:cs="Arial" w:eastAsia="Arial" w:hAnsi="Arial"/>
          <w:sz w:val="20"/>
          <w:szCs w:val="20"/>
          <w:color w:val="auto"/>
        </w:rPr>
        <w:t>quarter, higher variable investment income was offset by an assessment associated with the Penn Treaty liquidation.</w:t>
      </w:r>
    </w:p>
    <w:p>
      <w:pPr>
        <w:spacing w:after="0" w:line="167"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20"/>
          <w:szCs w:val="20"/>
          <w:b w:val="1"/>
          <w:bCs w:val="1"/>
          <w:color w:val="auto"/>
        </w:rPr>
        <w:t xml:space="preserve">Premium and fees </w:t>
      </w:r>
      <w:r>
        <w:rPr>
          <w:rFonts w:ascii="Arial" w:cs="Arial" w:eastAsia="Arial" w:hAnsi="Arial"/>
          <w:sz w:val="20"/>
          <w:szCs w:val="20"/>
          <w:color w:val="auto"/>
        </w:rPr>
        <w:t>increased $37.9 million reflecting strong sales and retention.</w:t>
      </w:r>
    </w:p>
    <w:p>
      <w:pPr>
        <w:spacing w:after="0" w:line="229" w:lineRule="exact"/>
        <w:rPr>
          <w:rFonts w:ascii="Arial" w:cs="Arial" w:eastAsia="Arial" w:hAnsi="Arial"/>
          <w:sz w:val="18"/>
          <w:szCs w:val="18"/>
          <w:color w:val="auto"/>
        </w:rPr>
      </w:pPr>
    </w:p>
    <w:p>
      <w:pPr>
        <w:ind w:left="660" w:hanging="328"/>
        <w:spacing w:after="0"/>
        <w:tabs>
          <w:tab w:leader="none" w:pos="660" w:val="left"/>
        </w:tabs>
        <w:numPr>
          <w:ilvl w:val="0"/>
          <w:numId w:val="16"/>
        </w:numPr>
        <w:rPr>
          <w:rFonts w:ascii="Arial" w:cs="Arial" w:eastAsia="Arial" w:hAnsi="Arial"/>
          <w:sz w:val="18"/>
          <w:szCs w:val="18"/>
          <w:color w:val="auto"/>
        </w:rPr>
      </w:pPr>
      <w:r>
        <w:rPr>
          <w:rFonts w:ascii="Arial" w:cs="Arial" w:eastAsia="Arial" w:hAnsi="Arial"/>
          <w:sz w:val="20"/>
          <w:szCs w:val="20"/>
          <w:b w:val="1"/>
          <w:bCs w:val="1"/>
          <w:color w:val="auto"/>
        </w:rPr>
        <w:t xml:space="preserve">Incurred loss ratio </w:t>
      </w:r>
      <w:r>
        <w:rPr>
          <w:rFonts w:ascii="Arial" w:cs="Arial" w:eastAsia="Arial" w:hAnsi="Arial"/>
          <w:sz w:val="20"/>
          <w:szCs w:val="20"/>
          <w:color w:val="auto"/>
        </w:rPr>
        <w:t>was within our expected range.</w:t>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Individual Life Insurance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wp:posOffset>
            </wp:positionV>
            <wp:extent cx="6800850" cy="1020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800850" cy="1020445"/>
                    </a:xfrm>
                    <a:prstGeom prst="rect">
                      <a:avLst/>
                    </a:prstGeom>
                    <a:noFill/>
                  </pic:spPr>
                </pic:pic>
              </a:graphicData>
            </a:graphic>
          </wp:anchor>
        </w:drawing>
      </w:r>
    </w:p>
    <w:p>
      <w:pPr>
        <w:spacing w:after="0" w:line="156" w:lineRule="exact"/>
        <w:rPr>
          <w:sz w:val="20"/>
          <w:szCs w:val="20"/>
          <w:color w:val="auto"/>
        </w:rPr>
      </w:pPr>
    </w:p>
    <w:tbl>
      <w:tblPr>
        <w:tblLayout w:type="fixed"/>
        <w:tblInd w:w="500" w:type="dxa"/>
        <w:tblCellMar>
          <w:top w:w="0" w:type="dxa"/>
          <w:left w:w="0" w:type="dxa"/>
          <w:bottom w:w="0" w:type="dxa"/>
          <w:right w:w="0" w:type="dxa"/>
        </w:tblCellMar>
      </w:tblPr>
      <w:tr>
        <w:trPr>
          <w:trHeight w:val="270"/>
        </w:trPr>
        <w:tc>
          <w:tcPr>
            <w:tcW w:w="4440" w:type="dxa"/>
            <w:vAlign w:val="bottom"/>
            <w:vMerge w:val="restart"/>
          </w:tcPr>
          <w:p>
            <w:pPr>
              <w:ind w:left="360"/>
              <w:spacing w:after="0"/>
              <w:rPr>
                <w:sz w:val="20"/>
                <w:szCs w:val="20"/>
                <w:color w:val="auto"/>
              </w:rPr>
            </w:pPr>
            <w:r>
              <w:rPr>
                <w:rFonts w:ascii="Arial" w:cs="Arial" w:eastAsia="Arial" w:hAnsi="Arial"/>
                <w:sz w:val="14"/>
                <w:szCs w:val="14"/>
                <w:i w:val="1"/>
                <w:iCs w:val="1"/>
                <w:color w:val="auto"/>
              </w:rPr>
              <w:t>(in millions except percentages or otherwise noted)</w:t>
            </w:r>
          </w:p>
        </w:tc>
        <w:tc>
          <w:tcPr>
            <w:tcW w:w="940" w:type="dxa"/>
            <w:vAlign w:val="bottom"/>
            <w:shd w:val="clear" w:color="auto" w:fill="BFBFBF"/>
          </w:tcPr>
          <w:p>
            <w:pPr>
              <w:spacing w:after="0"/>
              <w:rPr>
                <w:sz w:val="23"/>
                <w:szCs w:val="23"/>
                <w:color w:val="auto"/>
              </w:rPr>
            </w:pPr>
          </w:p>
        </w:tc>
        <w:tc>
          <w:tcPr>
            <w:tcW w:w="980" w:type="dxa"/>
            <w:vAlign w:val="bottom"/>
            <w:shd w:val="clear" w:color="auto" w:fill="BFBFBF"/>
          </w:tcPr>
          <w:p>
            <w:pPr>
              <w:ind w:left="180"/>
              <w:spacing w:after="0"/>
              <w:rPr>
                <w:sz w:val="20"/>
                <w:szCs w:val="20"/>
                <w:color w:val="auto"/>
              </w:rPr>
            </w:pPr>
            <w:r>
              <w:rPr>
                <w:rFonts w:ascii="Arial" w:cs="Arial" w:eastAsia="Arial" w:hAnsi="Arial"/>
                <w:sz w:val="18"/>
                <w:szCs w:val="18"/>
                <w:b w:val="1"/>
                <w:bCs w:val="1"/>
                <w:i w:val="1"/>
                <w:iCs w:val="1"/>
                <w:color w:val="auto"/>
              </w:rPr>
              <w:t>Quarter</w:t>
            </w:r>
          </w:p>
        </w:tc>
        <w:tc>
          <w:tcPr>
            <w:tcW w:w="960" w:type="dxa"/>
            <w:vAlign w:val="bottom"/>
            <w:shd w:val="clear" w:color="auto" w:fill="BFBFBF"/>
          </w:tcPr>
          <w:p>
            <w:pPr>
              <w:spacing w:after="0"/>
              <w:rPr>
                <w:sz w:val="23"/>
                <w:szCs w:val="23"/>
                <w:color w:val="auto"/>
              </w:rPr>
            </w:pPr>
          </w:p>
        </w:tc>
        <w:tc>
          <w:tcPr>
            <w:tcW w:w="2880" w:type="dxa"/>
            <w:vAlign w:val="bottom"/>
            <w:gridSpan w:val="3"/>
            <w:shd w:val="clear" w:color="auto" w:fill="BFBFBF"/>
          </w:tcPr>
          <w:p>
            <w:pPr>
              <w:ind w:left="460"/>
              <w:spacing w:after="0"/>
              <w:rPr>
                <w:sz w:val="20"/>
                <w:szCs w:val="20"/>
                <w:color w:val="auto"/>
              </w:rPr>
            </w:pPr>
            <w:r>
              <w:rPr>
                <w:rFonts w:ascii="Arial" w:cs="Arial" w:eastAsia="Arial" w:hAnsi="Arial"/>
                <w:sz w:val="18"/>
                <w:szCs w:val="18"/>
                <w:b w:val="1"/>
                <w:bCs w:val="1"/>
                <w:i w:val="1"/>
                <w:iCs w:val="1"/>
                <w:color w:val="auto"/>
              </w:rPr>
              <w:t>Trailing Twelve Months</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3"/>
        </w:trPr>
        <w:tc>
          <w:tcPr>
            <w:tcW w:w="4440" w:type="dxa"/>
            <w:vAlign w:val="bottom"/>
            <w:vMerge w:val="continue"/>
          </w:tcPr>
          <w:p>
            <w:pPr>
              <w:spacing w:after="0"/>
              <w:rPr>
                <w:sz w:val="7"/>
                <w:szCs w:val="7"/>
                <w:color w:val="auto"/>
              </w:rPr>
            </w:pPr>
          </w:p>
        </w:tc>
        <w:tc>
          <w:tcPr>
            <w:tcW w:w="94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6"/>
              </w:rPr>
              <w:t>1Q17</w:t>
            </w:r>
          </w:p>
        </w:tc>
        <w:tc>
          <w:tcPr>
            <w:tcW w:w="98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6"/>
              </w:rPr>
              <w:t>1Q16</w:t>
            </w:r>
          </w:p>
        </w:tc>
        <w:tc>
          <w:tcPr>
            <w:tcW w:w="960" w:type="dxa"/>
            <w:vAlign w:val="bottom"/>
            <w:vMerge w:val="restart"/>
          </w:tcPr>
          <w:p>
            <w:pPr>
              <w:jc w:val="right"/>
              <w:ind w:right="56"/>
              <w:spacing w:after="0"/>
              <w:rPr>
                <w:sz w:val="20"/>
                <w:szCs w:val="20"/>
                <w:color w:val="auto"/>
              </w:rPr>
            </w:pPr>
            <w:r>
              <w:rPr>
                <w:rFonts w:ascii="Arial" w:cs="Arial" w:eastAsia="Arial" w:hAnsi="Arial"/>
                <w:sz w:val="14"/>
                <w:szCs w:val="14"/>
                <w:color w:val="auto"/>
              </w:rPr>
              <w:t>% Change</w:t>
            </w:r>
          </w:p>
        </w:tc>
        <w:tc>
          <w:tcPr>
            <w:tcW w:w="100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1Q17</w:t>
            </w:r>
          </w:p>
        </w:tc>
        <w:tc>
          <w:tcPr>
            <w:tcW w:w="90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1Q16</w:t>
            </w:r>
          </w:p>
        </w:tc>
        <w:tc>
          <w:tcPr>
            <w:tcW w:w="980" w:type="dxa"/>
            <w:vAlign w:val="bottom"/>
            <w:vMerge w:val="restart"/>
          </w:tcPr>
          <w:p>
            <w:pPr>
              <w:ind w:left="160"/>
              <w:spacing w:after="0"/>
              <w:rPr>
                <w:sz w:val="20"/>
                <w:szCs w:val="20"/>
                <w:color w:val="auto"/>
              </w:rPr>
            </w:pPr>
            <w:r>
              <w:rPr>
                <w:rFonts w:ascii="Arial" w:cs="Arial" w:eastAsia="Arial" w:hAnsi="Arial"/>
                <w:sz w:val="14"/>
                <w:szCs w:val="14"/>
                <w:color w:val="auto"/>
              </w:rPr>
              <w:t>% Change</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54"/>
        </w:trPr>
        <w:tc>
          <w:tcPr>
            <w:tcW w:w="4440" w:type="dxa"/>
            <w:vAlign w:val="bottom"/>
          </w:tcPr>
          <w:p>
            <w:pPr>
              <w:spacing w:after="0"/>
              <w:rPr>
                <w:sz w:val="13"/>
                <w:szCs w:val="13"/>
                <w:color w:val="auto"/>
              </w:rPr>
            </w:pPr>
          </w:p>
        </w:tc>
        <w:tc>
          <w:tcPr>
            <w:tcW w:w="940" w:type="dxa"/>
            <w:vAlign w:val="bottom"/>
            <w:tcBorders>
              <w:bottom w:val="single" w:sz="8" w:color="auto"/>
            </w:tcBorders>
            <w:vMerge w:val="continue"/>
          </w:tcPr>
          <w:p>
            <w:pPr>
              <w:spacing w:after="0"/>
              <w:rPr>
                <w:sz w:val="13"/>
                <w:szCs w:val="13"/>
                <w:color w:val="auto"/>
              </w:rPr>
            </w:pPr>
          </w:p>
        </w:tc>
        <w:tc>
          <w:tcPr>
            <w:tcW w:w="980" w:type="dxa"/>
            <w:vAlign w:val="bottom"/>
            <w:tcBorders>
              <w:bottom w:val="single" w:sz="8" w:color="auto"/>
            </w:tcBorders>
            <w:vMerge w:val="continue"/>
          </w:tcPr>
          <w:p>
            <w:pPr>
              <w:spacing w:after="0"/>
              <w:rPr>
                <w:sz w:val="13"/>
                <w:szCs w:val="13"/>
                <w:color w:val="auto"/>
              </w:rPr>
            </w:pPr>
          </w:p>
        </w:tc>
        <w:tc>
          <w:tcPr>
            <w:tcW w:w="960" w:type="dxa"/>
            <w:vAlign w:val="bottom"/>
            <w:tcBorders>
              <w:bottom w:val="single" w:sz="8" w:color="auto"/>
            </w:tcBorders>
            <w:vMerge w:val="continue"/>
          </w:tcPr>
          <w:p>
            <w:pPr>
              <w:spacing w:after="0"/>
              <w:rPr>
                <w:sz w:val="13"/>
                <w:szCs w:val="13"/>
                <w:color w:val="auto"/>
              </w:rPr>
            </w:pPr>
          </w:p>
        </w:tc>
        <w:tc>
          <w:tcPr>
            <w:tcW w:w="1000" w:type="dxa"/>
            <w:vAlign w:val="bottom"/>
            <w:tcBorders>
              <w:bottom w:val="single" w:sz="8" w:color="auto"/>
            </w:tcBorders>
            <w:vMerge w:val="continue"/>
          </w:tcPr>
          <w:p>
            <w:pPr>
              <w:spacing w:after="0"/>
              <w:rPr>
                <w:sz w:val="13"/>
                <w:szCs w:val="13"/>
                <w:color w:val="auto"/>
              </w:rPr>
            </w:pPr>
          </w:p>
        </w:tc>
        <w:tc>
          <w:tcPr>
            <w:tcW w:w="900" w:type="dxa"/>
            <w:vAlign w:val="bottom"/>
            <w:tcBorders>
              <w:bottom w:val="single" w:sz="8" w:color="auto"/>
            </w:tcBorders>
            <w:vMerge w:val="continue"/>
          </w:tcPr>
          <w:p>
            <w:pPr>
              <w:spacing w:after="0"/>
              <w:rPr>
                <w:sz w:val="13"/>
                <w:szCs w:val="13"/>
                <w:color w:val="auto"/>
              </w:rPr>
            </w:pPr>
          </w:p>
        </w:tc>
        <w:tc>
          <w:tcPr>
            <w:tcW w:w="980" w:type="dxa"/>
            <w:vAlign w:val="bottom"/>
            <w:tcBorders>
              <w:bottom w:val="single" w:sz="8" w:color="auto"/>
            </w:tcBorders>
            <w:vMerge w:val="continue"/>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3"/>
        </w:trPr>
        <w:tc>
          <w:tcPr>
            <w:tcW w:w="4440" w:type="dxa"/>
            <w:vAlign w:val="bottom"/>
          </w:tcPr>
          <w:p>
            <w:pPr>
              <w:spacing w:after="0"/>
              <w:rPr>
                <w:sz w:val="20"/>
                <w:szCs w:val="20"/>
                <w:color w:val="auto"/>
              </w:rPr>
            </w:pPr>
            <w:r>
              <w:rPr>
                <w:rFonts w:ascii="Arial" w:cs="Arial" w:eastAsia="Arial" w:hAnsi="Arial"/>
                <w:sz w:val="18"/>
                <w:szCs w:val="18"/>
                <w:color w:val="auto"/>
              </w:rPr>
              <w:t>Pre-tax operating earnings</w:t>
            </w:r>
          </w:p>
        </w:tc>
        <w:tc>
          <w:tcPr>
            <w:tcW w:w="940" w:type="dxa"/>
            <w:vAlign w:val="bottom"/>
          </w:tcPr>
          <w:p>
            <w:pPr>
              <w:jc w:val="center"/>
              <w:spacing w:after="0"/>
              <w:rPr>
                <w:sz w:val="20"/>
                <w:szCs w:val="20"/>
                <w:color w:val="auto"/>
              </w:rPr>
            </w:pPr>
            <w:r>
              <w:rPr>
                <w:rFonts w:ascii="Arial" w:cs="Arial" w:eastAsia="Arial" w:hAnsi="Arial"/>
                <w:sz w:val="18"/>
                <w:szCs w:val="18"/>
                <w:color w:val="auto"/>
              </w:rPr>
              <w:t>$40.7</w:t>
            </w:r>
          </w:p>
        </w:tc>
        <w:tc>
          <w:tcPr>
            <w:tcW w:w="980" w:type="dxa"/>
            <w:vAlign w:val="bottom"/>
          </w:tcPr>
          <w:p>
            <w:pPr>
              <w:jc w:val="center"/>
              <w:spacing w:after="0"/>
              <w:rPr>
                <w:sz w:val="20"/>
                <w:szCs w:val="20"/>
                <w:color w:val="auto"/>
              </w:rPr>
            </w:pPr>
            <w:r>
              <w:rPr>
                <w:rFonts w:ascii="Arial" w:cs="Arial" w:eastAsia="Arial" w:hAnsi="Arial"/>
                <w:sz w:val="18"/>
                <w:szCs w:val="18"/>
                <w:color w:val="auto"/>
              </w:rPr>
              <w:t>$41.9</w:t>
            </w:r>
          </w:p>
        </w:tc>
        <w:tc>
          <w:tcPr>
            <w:tcW w:w="960" w:type="dxa"/>
            <w:vAlign w:val="bottom"/>
          </w:tcPr>
          <w:p>
            <w:pPr>
              <w:jc w:val="right"/>
              <w:ind w:right="196"/>
              <w:spacing w:after="0"/>
              <w:rPr>
                <w:sz w:val="20"/>
                <w:szCs w:val="20"/>
                <w:color w:val="auto"/>
              </w:rPr>
            </w:pPr>
            <w:r>
              <w:rPr>
                <w:rFonts w:ascii="Arial" w:cs="Arial" w:eastAsia="Arial" w:hAnsi="Arial"/>
                <w:sz w:val="18"/>
                <w:szCs w:val="18"/>
                <w:color w:val="auto"/>
              </w:rPr>
              <w:t>(3)%</w:t>
            </w:r>
          </w:p>
        </w:tc>
        <w:tc>
          <w:tcPr>
            <w:tcW w:w="1000" w:type="dxa"/>
            <w:vAlign w:val="bottom"/>
          </w:tcPr>
          <w:p>
            <w:pPr>
              <w:jc w:val="center"/>
              <w:spacing w:after="0"/>
              <w:rPr>
                <w:sz w:val="20"/>
                <w:szCs w:val="20"/>
                <w:color w:val="auto"/>
              </w:rPr>
            </w:pPr>
            <w:r>
              <w:rPr>
                <w:rFonts w:ascii="Arial" w:cs="Arial" w:eastAsia="Arial" w:hAnsi="Arial"/>
                <w:sz w:val="18"/>
                <w:szCs w:val="18"/>
                <w:color w:val="auto"/>
                <w:w w:val="98"/>
              </w:rPr>
              <w:t>$109.1</w:t>
            </w:r>
          </w:p>
        </w:tc>
        <w:tc>
          <w:tcPr>
            <w:tcW w:w="900" w:type="dxa"/>
            <w:vAlign w:val="bottom"/>
          </w:tcPr>
          <w:p>
            <w:pPr>
              <w:jc w:val="center"/>
              <w:spacing w:after="0"/>
              <w:rPr>
                <w:sz w:val="20"/>
                <w:szCs w:val="20"/>
                <w:color w:val="auto"/>
              </w:rPr>
            </w:pPr>
            <w:r>
              <w:rPr>
                <w:rFonts w:ascii="Arial" w:cs="Arial" w:eastAsia="Arial" w:hAnsi="Arial"/>
                <w:sz w:val="18"/>
                <w:szCs w:val="18"/>
                <w:color w:val="auto"/>
                <w:w w:val="98"/>
              </w:rPr>
              <w:t>$215.9</w:t>
            </w:r>
          </w:p>
        </w:tc>
        <w:tc>
          <w:tcPr>
            <w:tcW w:w="980" w:type="dxa"/>
            <w:vAlign w:val="bottom"/>
          </w:tcPr>
          <w:p>
            <w:pPr>
              <w:jc w:val="right"/>
              <w:ind w:right="156"/>
              <w:spacing w:after="0"/>
              <w:rPr>
                <w:sz w:val="20"/>
                <w:szCs w:val="20"/>
                <w:color w:val="auto"/>
              </w:rPr>
            </w:pPr>
            <w:r>
              <w:rPr>
                <w:rFonts w:ascii="Arial" w:cs="Arial" w:eastAsia="Arial" w:hAnsi="Arial"/>
                <w:sz w:val="18"/>
                <w:szCs w:val="18"/>
                <w:color w:val="auto"/>
              </w:rPr>
              <w:t>(49)%</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92"/>
        </w:trPr>
        <w:tc>
          <w:tcPr>
            <w:tcW w:w="4440" w:type="dxa"/>
            <w:vAlign w:val="bottom"/>
          </w:tcPr>
          <w:p>
            <w:pPr>
              <w:spacing w:after="0"/>
              <w:rPr>
                <w:sz w:val="20"/>
                <w:szCs w:val="20"/>
                <w:color w:val="auto"/>
              </w:rPr>
            </w:pPr>
            <w:r>
              <w:rPr>
                <w:rFonts w:ascii="Arial" w:cs="Arial" w:eastAsia="Arial" w:hAnsi="Arial"/>
                <w:sz w:val="18"/>
                <w:szCs w:val="18"/>
                <w:color w:val="auto"/>
              </w:rPr>
              <w:t>Premium and fees</w:t>
            </w:r>
          </w:p>
        </w:tc>
        <w:tc>
          <w:tcPr>
            <w:tcW w:w="940" w:type="dxa"/>
            <w:vAlign w:val="bottom"/>
          </w:tcPr>
          <w:p>
            <w:pPr>
              <w:jc w:val="center"/>
              <w:spacing w:after="0"/>
              <w:rPr>
                <w:sz w:val="20"/>
                <w:szCs w:val="20"/>
                <w:color w:val="auto"/>
              </w:rPr>
            </w:pPr>
            <w:r>
              <w:rPr>
                <w:rFonts w:ascii="Arial" w:cs="Arial" w:eastAsia="Arial" w:hAnsi="Arial"/>
                <w:sz w:val="18"/>
                <w:szCs w:val="18"/>
                <w:color w:val="auto"/>
                <w:w w:val="98"/>
              </w:rPr>
              <w:t>$270.0</w:t>
            </w:r>
          </w:p>
        </w:tc>
        <w:tc>
          <w:tcPr>
            <w:tcW w:w="980" w:type="dxa"/>
            <w:vAlign w:val="bottom"/>
          </w:tcPr>
          <w:p>
            <w:pPr>
              <w:jc w:val="center"/>
              <w:spacing w:after="0"/>
              <w:rPr>
                <w:sz w:val="20"/>
                <w:szCs w:val="20"/>
                <w:color w:val="auto"/>
              </w:rPr>
            </w:pPr>
            <w:r>
              <w:rPr>
                <w:rFonts w:ascii="Arial" w:cs="Arial" w:eastAsia="Arial" w:hAnsi="Arial"/>
                <w:sz w:val="18"/>
                <w:szCs w:val="18"/>
                <w:color w:val="auto"/>
                <w:w w:val="98"/>
              </w:rPr>
              <w:t>$255.2</w:t>
            </w:r>
          </w:p>
        </w:tc>
        <w:tc>
          <w:tcPr>
            <w:tcW w:w="960" w:type="dxa"/>
            <w:vAlign w:val="bottom"/>
          </w:tcPr>
          <w:p>
            <w:pPr>
              <w:jc w:val="right"/>
              <w:ind w:right="256"/>
              <w:spacing w:after="0"/>
              <w:rPr>
                <w:sz w:val="20"/>
                <w:szCs w:val="20"/>
                <w:color w:val="auto"/>
              </w:rPr>
            </w:pPr>
            <w:r>
              <w:rPr>
                <w:rFonts w:ascii="Arial" w:cs="Arial" w:eastAsia="Arial" w:hAnsi="Arial"/>
                <w:sz w:val="18"/>
                <w:szCs w:val="18"/>
                <w:color w:val="auto"/>
              </w:rPr>
              <w:t>6%</w:t>
            </w:r>
          </w:p>
        </w:tc>
        <w:tc>
          <w:tcPr>
            <w:tcW w:w="1000" w:type="dxa"/>
            <w:vAlign w:val="bottom"/>
          </w:tcPr>
          <w:p>
            <w:pPr>
              <w:jc w:val="center"/>
              <w:spacing w:after="0"/>
              <w:rPr>
                <w:sz w:val="20"/>
                <w:szCs w:val="20"/>
                <w:color w:val="auto"/>
              </w:rPr>
            </w:pPr>
            <w:r>
              <w:rPr>
                <w:rFonts w:ascii="Arial" w:cs="Arial" w:eastAsia="Arial" w:hAnsi="Arial"/>
                <w:sz w:val="18"/>
                <w:szCs w:val="18"/>
                <w:color w:val="auto"/>
                <w:w w:val="99"/>
              </w:rPr>
              <w:t>$1,010.9</w:t>
            </w:r>
          </w:p>
        </w:tc>
        <w:tc>
          <w:tcPr>
            <w:tcW w:w="900" w:type="dxa"/>
            <w:vAlign w:val="bottom"/>
          </w:tcPr>
          <w:p>
            <w:pPr>
              <w:jc w:val="center"/>
              <w:spacing w:after="0"/>
              <w:rPr>
                <w:sz w:val="20"/>
                <w:szCs w:val="20"/>
                <w:color w:val="auto"/>
              </w:rPr>
            </w:pPr>
            <w:r>
              <w:rPr>
                <w:rFonts w:ascii="Arial" w:cs="Arial" w:eastAsia="Arial" w:hAnsi="Arial"/>
                <w:sz w:val="18"/>
                <w:szCs w:val="18"/>
                <w:color w:val="auto"/>
                <w:w w:val="98"/>
              </w:rPr>
              <w:t>$973.5</w:t>
            </w:r>
          </w:p>
        </w:tc>
        <w:tc>
          <w:tcPr>
            <w:tcW w:w="980" w:type="dxa"/>
            <w:vAlign w:val="bottom"/>
          </w:tcPr>
          <w:p>
            <w:pPr>
              <w:jc w:val="right"/>
              <w:ind w:right="256"/>
              <w:spacing w:after="0"/>
              <w:rPr>
                <w:sz w:val="20"/>
                <w:szCs w:val="20"/>
                <w:color w:val="auto"/>
              </w:rPr>
            </w:pPr>
            <w:r>
              <w:rPr>
                <w:rFonts w:ascii="Arial" w:cs="Arial" w:eastAsia="Arial" w:hAnsi="Arial"/>
                <w:sz w:val="18"/>
                <w:szCs w:val="18"/>
                <w:color w:val="auto"/>
              </w:rPr>
              <w:t>4%</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4440" w:type="dxa"/>
            <w:vAlign w:val="bottom"/>
          </w:tcPr>
          <w:p>
            <w:pPr>
              <w:spacing w:after="0"/>
              <w:rPr>
                <w:sz w:val="20"/>
                <w:szCs w:val="20"/>
                <w:color w:val="auto"/>
              </w:rPr>
            </w:pPr>
            <w:r>
              <w:rPr>
                <w:rFonts w:ascii="Arial" w:cs="Arial" w:eastAsia="Arial" w:hAnsi="Arial"/>
                <w:sz w:val="18"/>
                <w:szCs w:val="18"/>
                <w:color w:val="auto"/>
              </w:rPr>
              <w:t>Pre-tax return on premium and fees</w:t>
            </w:r>
          </w:p>
        </w:tc>
        <w:tc>
          <w:tcPr>
            <w:tcW w:w="940" w:type="dxa"/>
            <w:vAlign w:val="bottom"/>
          </w:tcPr>
          <w:p>
            <w:pPr>
              <w:jc w:val="center"/>
              <w:spacing w:after="0"/>
              <w:rPr>
                <w:sz w:val="20"/>
                <w:szCs w:val="20"/>
                <w:color w:val="auto"/>
              </w:rPr>
            </w:pPr>
            <w:r>
              <w:rPr>
                <w:rFonts w:ascii="Arial" w:cs="Arial" w:eastAsia="Arial" w:hAnsi="Arial"/>
                <w:sz w:val="18"/>
                <w:szCs w:val="18"/>
                <w:color w:val="auto"/>
                <w:w w:val="97"/>
              </w:rPr>
              <w:t>15.1%</w:t>
            </w:r>
          </w:p>
        </w:tc>
        <w:tc>
          <w:tcPr>
            <w:tcW w:w="980" w:type="dxa"/>
            <w:vAlign w:val="bottom"/>
          </w:tcPr>
          <w:p>
            <w:pPr>
              <w:jc w:val="center"/>
              <w:spacing w:after="0"/>
              <w:rPr>
                <w:sz w:val="20"/>
                <w:szCs w:val="20"/>
                <w:color w:val="auto"/>
              </w:rPr>
            </w:pPr>
            <w:r>
              <w:rPr>
                <w:rFonts w:ascii="Arial" w:cs="Arial" w:eastAsia="Arial" w:hAnsi="Arial"/>
                <w:sz w:val="18"/>
                <w:szCs w:val="18"/>
                <w:color w:val="auto"/>
                <w:w w:val="97"/>
              </w:rPr>
              <w:t>16.4%</w:t>
            </w:r>
          </w:p>
        </w:tc>
        <w:tc>
          <w:tcPr>
            <w:tcW w:w="960" w:type="dxa"/>
            <w:vAlign w:val="bottom"/>
          </w:tcPr>
          <w:p>
            <w:pPr>
              <w:spacing w:after="0"/>
              <w:rPr>
                <w:sz w:val="24"/>
                <w:szCs w:val="24"/>
                <w:color w:val="auto"/>
              </w:rPr>
            </w:pPr>
          </w:p>
        </w:tc>
        <w:tc>
          <w:tcPr>
            <w:tcW w:w="1000" w:type="dxa"/>
            <w:vAlign w:val="bottom"/>
          </w:tcPr>
          <w:p>
            <w:pPr>
              <w:jc w:val="center"/>
              <w:spacing w:after="0"/>
              <w:rPr>
                <w:sz w:val="20"/>
                <w:szCs w:val="20"/>
                <w:color w:val="auto"/>
              </w:rPr>
            </w:pPr>
            <w:r>
              <w:rPr>
                <w:rFonts w:ascii="Arial" w:cs="Arial" w:eastAsia="Arial" w:hAnsi="Arial"/>
                <w:sz w:val="18"/>
                <w:szCs w:val="18"/>
                <w:color w:val="auto"/>
                <w:w w:val="97"/>
              </w:rPr>
              <w:t>10.8%</w:t>
            </w:r>
          </w:p>
        </w:tc>
        <w:tc>
          <w:tcPr>
            <w:tcW w:w="900" w:type="dxa"/>
            <w:vAlign w:val="bottom"/>
          </w:tcPr>
          <w:p>
            <w:pPr>
              <w:jc w:val="center"/>
              <w:spacing w:after="0"/>
              <w:rPr>
                <w:sz w:val="20"/>
                <w:szCs w:val="20"/>
                <w:color w:val="auto"/>
              </w:rPr>
            </w:pPr>
            <w:r>
              <w:rPr>
                <w:rFonts w:ascii="Arial" w:cs="Arial" w:eastAsia="Arial" w:hAnsi="Arial"/>
                <w:sz w:val="18"/>
                <w:szCs w:val="18"/>
                <w:color w:val="auto"/>
                <w:w w:val="97"/>
              </w:rPr>
              <w:t>22.2%</w:t>
            </w: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3" w:lineRule="exact"/>
        <w:rPr>
          <w:sz w:val="20"/>
          <w:szCs w:val="20"/>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20"/>
          <w:szCs w:val="20"/>
          <w:b w:val="1"/>
          <w:bCs w:val="1"/>
          <w:color w:val="auto"/>
        </w:rPr>
        <w:t xml:space="preserve">Pre-tax operating earnings </w:t>
      </w:r>
      <w:r>
        <w:rPr>
          <w:rFonts w:ascii="Arial" w:cs="Arial" w:eastAsia="Arial" w:hAnsi="Arial"/>
          <w:sz w:val="20"/>
          <w:szCs w:val="20"/>
          <w:color w:val="auto"/>
        </w:rPr>
        <w:t>decreased $1.2 million primarily reflecting more favorable claims experience in 1Q16.</w:t>
      </w:r>
    </w:p>
    <w:p>
      <w:pPr>
        <w:spacing w:after="0" w:line="229" w:lineRule="exact"/>
        <w:rPr>
          <w:rFonts w:ascii="Arial" w:cs="Arial" w:eastAsia="Arial" w:hAnsi="Arial"/>
          <w:sz w:val="18"/>
          <w:szCs w:val="18"/>
          <w:color w:val="auto"/>
        </w:rPr>
      </w:pPr>
    </w:p>
    <w:p>
      <w:pPr>
        <w:ind w:left="660" w:hanging="328"/>
        <w:spacing w:after="0"/>
        <w:tabs>
          <w:tab w:leader="none" w:pos="660" w:val="left"/>
        </w:tabs>
        <w:numPr>
          <w:ilvl w:val="0"/>
          <w:numId w:val="17"/>
        </w:numPr>
        <w:rPr>
          <w:rFonts w:ascii="Arial" w:cs="Arial" w:eastAsia="Arial" w:hAnsi="Arial"/>
          <w:sz w:val="18"/>
          <w:szCs w:val="18"/>
          <w:color w:val="auto"/>
        </w:rPr>
      </w:pPr>
      <w:r>
        <w:rPr>
          <w:rFonts w:ascii="Arial" w:cs="Arial" w:eastAsia="Arial" w:hAnsi="Arial"/>
          <w:sz w:val="20"/>
          <w:szCs w:val="20"/>
          <w:b w:val="1"/>
          <w:bCs w:val="1"/>
          <w:color w:val="auto"/>
        </w:rPr>
        <w:t xml:space="preserve">Premium and fees </w:t>
      </w:r>
      <w:r>
        <w:rPr>
          <w:rFonts w:ascii="Arial" w:cs="Arial" w:eastAsia="Arial" w:hAnsi="Arial"/>
          <w:sz w:val="20"/>
          <w:szCs w:val="20"/>
          <w:color w:val="auto"/>
        </w:rPr>
        <w:t>increased $14.8 million reflecting strong sales growth.</w:t>
      </w: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Corporate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102870</wp:posOffset>
            </wp:positionV>
            <wp:extent cx="6783705" cy="514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783705" cy="514350"/>
                    </a:xfrm>
                    <a:prstGeom prst="rect">
                      <a:avLst/>
                    </a:prstGeom>
                    <a:noFill/>
                  </pic:spPr>
                </pic:pic>
              </a:graphicData>
            </a:graphic>
          </wp:anchor>
        </w:drawing>
      </w:r>
    </w:p>
    <w:p>
      <w:pPr>
        <w:spacing w:after="0" w:line="156" w:lineRule="exact"/>
        <w:rPr>
          <w:sz w:val="20"/>
          <w:szCs w:val="20"/>
          <w:color w:val="auto"/>
        </w:rPr>
      </w:pPr>
    </w:p>
    <w:tbl>
      <w:tblPr>
        <w:tblLayout w:type="fixed"/>
        <w:tblInd w:w="500" w:type="dxa"/>
        <w:tblCellMar>
          <w:top w:w="0" w:type="dxa"/>
          <w:left w:w="0" w:type="dxa"/>
          <w:bottom w:w="0" w:type="dxa"/>
          <w:right w:w="0" w:type="dxa"/>
        </w:tblCellMar>
      </w:tblPr>
      <w:tr>
        <w:trPr>
          <w:trHeight w:val="270"/>
        </w:trPr>
        <w:tc>
          <w:tcPr>
            <w:tcW w:w="4440" w:type="dxa"/>
            <w:vAlign w:val="bottom"/>
            <w:gridSpan w:val="2"/>
            <w:vMerge w:val="restart"/>
          </w:tcPr>
          <w:p>
            <w:pPr>
              <w:ind w:left="340"/>
              <w:spacing w:after="0"/>
              <w:rPr>
                <w:sz w:val="20"/>
                <w:szCs w:val="20"/>
                <w:color w:val="auto"/>
              </w:rPr>
            </w:pPr>
            <w:r>
              <w:rPr>
                <w:rFonts w:ascii="Arial" w:cs="Arial" w:eastAsia="Arial" w:hAnsi="Arial"/>
                <w:sz w:val="14"/>
                <w:szCs w:val="14"/>
                <w:i w:val="1"/>
                <w:iCs w:val="1"/>
                <w:color w:val="auto"/>
              </w:rPr>
              <w:t>(in millions except percentages or otherwise noted)</w:t>
            </w:r>
          </w:p>
        </w:tc>
        <w:tc>
          <w:tcPr>
            <w:tcW w:w="920" w:type="dxa"/>
            <w:vAlign w:val="bottom"/>
            <w:shd w:val="clear" w:color="auto" w:fill="BFBFBF"/>
          </w:tcPr>
          <w:p>
            <w:pPr>
              <w:spacing w:after="0"/>
              <w:rPr>
                <w:sz w:val="23"/>
                <w:szCs w:val="23"/>
                <w:color w:val="auto"/>
              </w:rPr>
            </w:pPr>
          </w:p>
        </w:tc>
        <w:tc>
          <w:tcPr>
            <w:tcW w:w="980" w:type="dxa"/>
            <w:vAlign w:val="bottom"/>
            <w:shd w:val="clear" w:color="auto" w:fill="BFBFBF"/>
          </w:tcPr>
          <w:p>
            <w:pPr>
              <w:jc w:val="center"/>
              <w:spacing w:after="0"/>
              <w:rPr>
                <w:sz w:val="20"/>
                <w:szCs w:val="20"/>
                <w:color w:val="auto"/>
              </w:rPr>
            </w:pPr>
            <w:r>
              <w:rPr>
                <w:rFonts w:ascii="Arial" w:cs="Arial" w:eastAsia="Arial" w:hAnsi="Arial"/>
                <w:sz w:val="18"/>
                <w:szCs w:val="18"/>
                <w:b w:val="1"/>
                <w:bCs w:val="1"/>
                <w:i w:val="1"/>
                <w:iCs w:val="1"/>
                <w:color w:val="auto"/>
              </w:rPr>
              <w:t>Quarter</w:t>
            </w:r>
          </w:p>
        </w:tc>
        <w:tc>
          <w:tcPr>
            <w:tcW w:w="960" w:type="dxa"/>
            <w:vAlign w:val="bottom"/>
            <w:shd w:val="clear" w:color="auto" w:fill="BFBFBF"/>
          </w:tcPr>
          <w:p>
            <w:pPr>
              <w:spacing w:after="0"/>
              <w:rPr>
                <w:sz w:val="23"/>
                <w:szCs w:val="23"/>
                <w:color w:val="auto"/>
              </w:rPr>
            </w:pPr>
          </w:p>
        </w:tc>
        <w:tc>
          <w:tcPr>
            <w:tcW w:w="2880" w:type="dxa"/>
            <w:vAlign w:val="bottom"/>
            <w:gridSpan w:val="3"/>
            <w:shd w:val="clear" w:color="auto" w:fill="BFBFBF"/>
          </w:tcPr>
          <w:p>
            <w:pPr>
              <w:ind w:left="460"/>
              <w:spacing w:after="0"/>
              <w:rPr>
                <w:sz w:val="20"/>
                <w:szCs w:val="20"/>
                <w:color w:val="auto"/>
              </w:rPr>
            </w:pPr>
            <w:r>
              <w:rPr>
                <w:rFonts w:ascii="Arial" w:cs="Arial" w:eastAsia="Arial" w:hAnsi="Arial"/>
                <w:sz w:val="18"/>
                <w:szCs w:val="18"/>
                <w:b w:val="1"/>
                <w:bCs w:val="1"/>
                <w:i w:val="1"/>
                <w:iCs w:val="1"/>
                <w:color w:val="auto"/>
              </w:rPr>
              <w:t>Trailing Twelve Months</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83"/>
        </w:trPr>
        <w:tc>
          <w:tcPr>
            <w:tcW w:w="4440" w:type="dxa"/>
            <w:vAlign w:val="bottom"/>
            <w:gridSpan w:val="2"/>
            <w:vMerge w:val="continue"/>
          </w:tcPr>
          <w:p>
            <w:pPr>
              <w:spacing w:after="0"/>
              <w:rPr>
                <w:sz w:val="7"/>
                <w:szCs w:val="7"/>
                <w:color w:val="auto"/>
              </w:rPr>
            </w:pPr>
          </w:p>
        </w:tc>
        <w:tc>
          <w:tcPr>
            <w:tcW w:w="92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6"/>
              </w:rPr>
              <w:t>1Q17</w:t>
            </w:r>
          </w:p>
        </w:tc>
        <w:tc>
          <w:tcPr>
            <w:tcW w:w="98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1Q16</w:t>
            </w:r>
          </w:p>
        </w:tc>
        <w:tc>
          <w:tcPr>
            <w:tcW w:w="960" w:type="dxa"/>
            <w:vAlign w:val="bottom"/>
            <w:vMerge w:val="restart"/>
          </w:tcPr>
          <w:p>
            <w:pPr>
              <w:jc w:val="center"/>
              <w:spacing w:after="0"/>
              <w:rPr>
                <w:sz w:val="20"/>
                <w:szCs w:val="20"/>
                <w:color w:val="auto"/>
              </w:rPr>
            </w:pPr>
            <w:r>
              <w:rPr>
                <w:rFonts w:ascii="Arial" w:cs="Arial" w:eastAsia="Arial" w:hAnsi="Arial"/>
                <w:sz w:val="14"/>
                <w:szCs w:val="14"/>
                <w:color w:val="auto"/>
              </w:rPr>
              <w:t>% Change</w:t>
            </w:r>
          </w:p>
        </w:tc>
        <w:tc>
          <w:tcPr>
            <w:tcW w:w="96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1Q17</w:t>
            </w:r>
          </w:p>
        </w:tc>
        <w:tc>
          <w:tcPr>
            <w:tcW w:w="960" w:type="dxa"/>
            <w:vAlign w:val="bottom"/>
            <w:vMerge w:val="restart"/>
          </w:tcPr>
          <w:p>
            <w:pPr>
              <w:jc w:val="center"/>
              <w:spacing w:after="0"/>
              <w:rPr>
                <w:sz w:val="20"/>
                <w:szCs w:val="20"/>
                <w:color w:val="auto"/>
              </w:rPr>
            </w:pPr>
            <w:r>
              <w:rPr>
                <w:rFonts w:ascii="Arial" w:cs="Arial" w:eastAsia="Arial" w:hAnsi="Arial"/>
                <w:sz w:val="16"/>
                <w:szCs w:val="16"/>
                <w:b w:val="1"/>
                <w:bCs w:val="1"/>
                <w:color w:val="auto"/>
              </w:rPr>
              <w:t>1Q16</w:t>
            </w:r>
          </w:p>
        </w:tc>
        <w:tc>
          <w:tcPr>
            <w:tcW w:w="960" w:type="dxa"/>
            <w:vAlign w:val="bottom"/>
            <w:vMerge w:val="restart"/>
          </w:tcPr>
          <w:p>
            <w:pPr>
              <w:jc w:val="center"/>
              <w:spacing w:after="0"/>
              <w:rPr>
                <w:sz w:val="20"/>
                <w:szCs w:val="20"/>
                <w:color w:val="auto"/>
              </w:rPr>
            </w:pPr>
            <w:r>
              <w:rPr>
                <w:rFonts w:ascii="Arial" w:cs="Arial" w:eastAsia="Arial" w:hAnsi="Arial"/>
                <w:sz w:val="14"/>
                <w:szCs w:val="14"/>
                <w:color w:val="auto"/>
              </w:rPr>
              <w:t>% Change</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54"/>
        </w:trPr>
        <w:tc>
          <w:tcPr>
            <w:tcW w:w="4420" w:type="dxa"/>
            <w:vAlign w:val="bottom"/>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920" w:type="dxa"/>
            <w:vAlign w:val="bottom"/>
            <w:tcBorders>
              <w:bottom w:val="single" w:sz="8" w:color="auto"/>
            </w:tcBorders>
            <w:vMerge w:val="continue"/>
          </w:tcPr>
          <w:p>
            <w:pPr>
              <w:spacing w:after="0"/>
              <w:rPr>
                <w:sz w:val="13"/>
                <w:szCs w:val="13"/>
                <w:color w:val="auto"/>
              </w:rPr>
            </w:pPr>
          </w:p>
        </w:tc>
        <w:tc>
          <w:tcPr>
            <w:tcW w:w="980" w:type="dxa"/>
            <w:vAlign w:val="bottom"/>
            <w:tcBorders>
              <w:bottom w:val="single" w:sz="8" w:color="auto"/>
            </w:tcBorders>
            <w:vMerge w:val="continue"/>
          </w:tcPr>
          <w:p>
            <w:pPr>
              <w:spacing w:after="0"/>
              <w:rPr>
                <w:sz w:val="13"/>
                <w:szCs w:val="13"/>
                <w:color w:val="auto"/>
              </w:rPr>
            </w:pPr>
          </w:p>
        </w:tc>
        <w:tc>
          <w:tcPr>
            <w:tcW w:w="960" w:type="dxa"/>
            <w:vAlign w:val="bottom"/>
            <w:tcBorders>
              <w:bottom w:val="single" w:sz="8" w:color="auto"/>
            </w:tcBorders>
            <w:vMerge w:val="continue"/>
          </w:tcPr>
          <w:p>
            <w:pPr>
              <w:spacing w:after="0"/>
              <w:rPr>
                <w:sz w:val="13"/>
                <w:szCs w:val="13"/>
                <w:color w:val="auto"/>
              </w:rPr>
            </w:pPr>
          </w:p>
        </w:tc>
        <w:tc>
          <w:tcPr>
            <w:tcW w:w="960" w:type="dxa"/>
            <w:vAlign w:val="bottom"/>
            <w:tcBorders>
              <w:bottom w:val="single" w:sz="8" w:color="auto"/>
            </w:tcBorders>
            <w:vMerge w:val="continue"/>
          </w:tcPr>
          <w:p>
            <w:pPr>
              <w:spacing w:after="0"/>
              <w:rPr>
                <w:sz w:val="13"/>
                <w:szCs w:val="13"/>
                <w:color w:val="auto"/>
              </w:rPr>
            </w:pPr>
          </w:p>
        </w:tc>
        <w:tc>
          <w:tcPr>
            <w:tcW w:w="960" w:type="dxa"/>
            <w:vAlign w:val="bottom"/>
            <w:tcBorders>
              <w:bottom w:val="single" w:sz="8" w:color="auto"/>
            </w:tcBorders>
            <w:vMerge w:val="continue"/>
          </w:tcPr>
          <w:p>
            <w:pPr>
              <w:spacing w:after="0"/>
              <w:rPr>
                <w:sz w:val="13"/>
                <w:szCs w:val="13"/>
                <w:color w:val="auto"/>
              </w:rPr>
            </w:pPr>
          </w:p>
        </w:tc>
        <w:tc>
          <w:tcPr>
            <w:tcW w:w="960" w:type="dxa"/>
            <w:vAlign w:val="bottom"/>
            <w:tcBorders>
              <w:bottom w:val="single" w:sz="8" w:color="auto"/>
            </w:tcBorders>
            <w:vMerge w:val="continue"/>
          </w:tcPr>
          <w:p>
            <w:pPr>
              <w:spacing w:after="0"/>
              <w:rPr>
                <w:sz w:val="13"/>
                <w:szCs w:val="13"/>
                <w:color w:val="auto"/>
              </w:rPr>
            </w:pPr>
          </w:p>
        </w:tc>
        <w:tc>
          <w:tcPr>
            <w:tcW w:w="20" w:type="dxa"/>
            <w:vAlign w:val="bottom"/>
            <w:tcBorders>
              <w:bottom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3"/>
        </w:trPr>
        <w:tc>
          <w:tcPr>
            <w:tcW w:w="4440" w:type="dxa"/>
            <w:vAlign w:val="bottom"/>
            <w:gridSpan w:val="2"/>
          </w:tcPr>
          <w:p>
            <w:pPr>
              <w:spacing w:after="0"/>
              <w:rPr>
                <w:sz w:val="20"/>
                <w:szCs w:val="20"/>
                <w:color w:val="auto"/>
              </w:rPr>
            </w:pPr>
            <w:r>
              <w:rPr>
                <w:rFonts w:ascii="Arial" w:cs="Arial" w:eastAsia="Arial" w:hAnsi="Arial"/>
                <w:sz w:val="18"/>
                <w:szCs w:val="18"/>
                <w:color w:val="auto"/>
              </w:rPr>
              <w:t>Pre-tax operating losses</w:t>
            </w:r>
          </w:p>
        </w:tc>
        <w:tc>
          <w:tcPr>
            <w:tcW w:w="920" w:type="dxa"/>
            <w:vAlign w:val="bottom"/>
          </w:tcPr>
          <w:p>
            <w:pPr>
              <w:jc w:val="right"/>
              <w:ind w:right="74"/>
              <w:spacing w:after="0"/>
              <w:rPr>
                <w:sz w:val="20"/>
                <w:szCs w:val="20"/>
                <w:color w:val="auto"/>
              </w:rPr>
            </w:pPr>
            <w:r>
              <w:rPr>
                <w:rFonts w:ascii="Arial" w:cs="Arial" w:eastAsia="Arial" w:hAnsi="Arial"/>
                <w:sz w:val="18"/>
                <w:szCs w:val="18"/>
                <w:color w:val="auto"/>
              </w:rPr>
              <w:t>$(58.5)</w:t>
            </w:r>
          </w:p>
        </w:tc>
        <w:tc>
          <w:tcPr>
            <w:tcW w:w="980" w:type="dxa"/>
            <w:vAlign w:val="bottom"/>
          </w:tcPr>
          <w:p>
            <w:pPr>
              <w:jc w:val="center"/>
              <w:spacing w:after="0"/>
              <w:rPr>
                <w:sz w:val="20"/>
                <w:szCs w:val="20"/>
                <w:color w:val="auto"/>
              </w:rPr>
            </w:pPr>
            <w:r>
              <w:rPr>
                <w:rFonts w:ascii="Arial" w:cs="Arial" w:eastAsia="Arial" w:hAnsi="Arial"/>
                <w:sz w:val="18"/>
                <w:szCs w:val="18"/>
                <w:color w:val="auto"/>
              </w:rPr>
              <w:t>$(53.3)</w:t>
            </w:r>
          </w:p>
        </w:tc>
        <w:tc>
          <w:tcPr>
            <w:tcW w:w="960" w:type="dxa"/>
            <w:vAlign w:val="bottom"/>
          </w:tcPr>
          <w:p>
            <w:pPr>
              <w:jc w:val="right"/>
              <w:ind w:right="159"/>
              <w:spacing w:after="0"/>
              <w:rPr>
                <w:sz w:val="20"/>
                <w:szCs w:val="20"/>
                <w:color w:val="auto"/>
              </w:rPr>
            </w:pPr>
            <w:r>
              <w:rPr>
                <w:rFonts w:ascii="Arial" w:cs="Arial" w:eastAsia="Arial" w:hAnsi="Arial"/>
                <w:sz w:val="18"/>
                <w:szCs w:val="18"/>
                <w:color w:val="auto"/>
              </w:rPr>
              <w:t>(10)%</w:t>
            </w:r>
          </w:p>
        </w:tc>
        <w:tc>
          <w:tcPr>
            <w:tcW w:w="960" w:type="dxa"/>
            <w:vAlign w:val="bottom"/>
          </w:tcPr>
          <w:p>
            <w:pPr>
              <w:jc w:val="right"/>
              <w:ind w:right="53"/>
              <w:spacing w:after="0"/>
              <w:rPr>
                <w:sz w:val="20"/>
                <w:szCs w:val="20"/>
                <w:color w:val="auto"/>
              </w:rPr>
            </w:pPr>
            <w:r>
              <w:rPr>
                <w:rFonts w:ascii="Arial" w:cs="Arial" w:eastAsia="Arial" w:hAnsi="Arial"/>
                <w:sz w:val="18"/>
                <w:szCs w:val="18"/>
                <w:color w:val="auto"/>
              </w:rPr>
              <w:t>$(224.1)</w:t>
            </w:r>
          </w:p>
        </w:tc>
        <w:tc>
          <w:tcPr>
            <w:tcW w:w="960" w:type="dxa"/>
            <w:vAlign w:val="bottom"/>
          </w:tcPr>
          <w:p>
            <w:pPr>
              <w:jc w:val="right"/>
              <w:ind w:right="54"/>
              <w:spacing w:after="0"/>
              <w:rPr>
                <w:sz w:val="20"/>
                <w:szCs w:val="20"/>
                <w:color w:val="auto"/>
              </w:rPr>
            </w:pPr>
            <w:r>
              <w:rPr>
                <w:rFonts w:ascii="Arial" w:cs="Arial" w:eastAsia="Arial" w:hAnsi="Arial"/>
                <w:sz w:val="18"/>
                <w:szCs w:val="18"/>
                <w:color w:val="auto"/>
              </w:rPr>
              <w:t>$(208.3)</w:t>
            </w:r>
          </w:p>
        </w:tc>
        <w:tc>
          <w:tcPr>
            <w:tcW w:w="960" w:type="dxa"/>
            <w:vAlign w:val="bottom"/>
          </w:tcPr>
          <w:p>
            <w:pPr>
              <w:jc w:val="right"/>
              <w:ind w:right="219"/>
              <w:spacing w:after="0"/>
              <w:rPr>
                <w:sz w:val="20"/>
                <w:szCs w:val="20"/>
                <w:color w:val="auto"/>
              </w:rPr>
            </w:pPr>
            <w:r>
              <w:rPr>
                <w:rFonts w:ascii="Arial" w:cs="Arial" w:eastAsia="Arial" w:hAnsi="Arial"/>
                <w:sz w:val="18"/>
                <w:szCs w:val="18"/>
                <w:color w:val="auto"/>
              </w:rPr>
              <w:t>(8)%</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bl>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20"/>
          <w:szCs w:val="20"/>
          <w:b w:val="1"/>
          <w:bCs w:val="1"/>
          <w:color w:val="auto"/>
        </w:rPr>
        <w:t xml:space="preserve">Pre-tax operating losses </w:t>
      </w:r>
      <w:r>
        <w:rPr>
          <w:rFonts w:ascii="Arial" w:cs="Arial" w:eastAsia="Arial" w:hAnsi="Arial"/>
          <w:sz w:val="20"/>
          <w:szCs w:val="20"/>
          <w:color w:val="auto"/>
        </w:rPr>
        <w:t>increased $5.2 million reflecting higher corporate expenses.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1"/>
          <w:szCs w:val="11"/>
          <w:b w:val="1"/>
          <w:bCs w:val="1"/>
          <w:color w:val="auto"/>
        </w:rPr>
        <w:t>____________________________________</w:t>
      </w:r>
    </w:p>
    <w:p>
      <w:pPr>
        <w:spacing w:after="0" w:line="56" w:lineRule="exact"/>
        <w:rPr>
          <w:sz w:val="20"/>
          <w:szCs w:val="20"/>
          <w:color w:val="auto"/>
        </w:rPr>
      </w:pPr>
    </w:p>
    <w:p>
      <w:pPr>
        <w:ind w:left="180" w:hanging="172"/>
        <w:spacing w:after="0"/>
        <w:tabs>
          <w:tab w:leader="none" w:pos="180" w:val="left"/>
        </w:tabs>
        <w:numPr>
          <w:ilvl w:val="0"/>
          <w:numId w:val="19"/>
        </w:numPr>
        <w:rPr>
          <w:rFonts w:ascii="Arial" w:cs="Arial" w:eastAsia="Arial" w:hAnsi="Arial"/>
          <w:sz w:val="22"/>
          <w:szCs w:val="22"/>
          <w:color w:val="auto"/>
          <w:vertAlign w:val="superscript"/>
        </w:rPr>
      </w:pPr>
      <w:r>
        <w:rPr>
          <w:rFonts w:ascii="Arial" w:cs="Arial" w:eastAsia="Arial" w:hAnsi="Arial"/>
          <w:sz w:val="14"/>
          <w:szCs w:val="14"/>
          <w:color w:val="auto"/>
        </w:rPr>
        <w:t>Pre-tax return on premium and fees = pre-tax operating earnings divided by premium and fees.</w:t>
      </w:r>
    </w:p>
    <w:p>
      <w:pPr>
        <w:sectPr>
          <w:pgSz w:w="11900" w:h="16838" w:orient="portrait"/>
          <w:cols w:equalWidth="0" w:num="1">
            <w:col w:w="11380"/>
          </w:cols>
          <w:pgMar w:left="240" w:top="1287" w:right="279" w:bottom="1440" w:gutter="0" w:footer="0" w:header="0"/>
        </w:sectPr>
      </w:pPr>
    </w:p>
    <w:bookmarkStart w:id="7" w:name="page8"/>
    <w:bookmarkEnd w:id="7"/>
    <w:p>
      <w:pPr>
        <w:spacing w:after="0"/>
        <w:rPr>
          <w:sz w:val="20"/>
          <w:szCs w:val="20"/>
          <w:color w:val="auto"/>
        </w:rPr>
      </w:pPr>
      <w:r>
        <w:rPr>
          <w:rFonts w:ascii="Arial" w:cs="Arial" w:eastAsia="Arial" w:hAnsi="Arial"/>
          <w:sz w:val="20"/>
          <w:szCs w:val="20"/>
          <w:b w:val="1"/>
          <w:bCs w:val="1"/>
          <w:color w:val="auto"/>
        </w:rPr>
        <w:drawing>
          <wp:anchor simplePos="0" relativeHeight="251657728" behindDoc="1" locked="0" layoutInCell="0" allowOverlap="1">
            <wp:simplePos x="0" y="0"/>
            <wp:positionH relativeFrom="page">
              <wp:posOffset>5397500</wp:posOffset>
            </wp:positionH>
            <wp:positionV relativeFrom="page">
              <wp:posOffset>88900</wp:posOffset>
            </wp:positionV>
            <wp:extent cx="2006600" cy="5918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2006600" cy="591820"/>
                    </a:xfrm>
                    <a:prstGeom prst="rect">
                      <a:avLst/>
                    </a:prstGeom>
                    <a:noFill/>
                  </pic:spPr>
                </pic:pic>
              </a:graphicData>
            </a:graphic>
          </wp:anchor>
        </w:drawing>
        <w:t>Forward looking and cautionary statements</w:t>
      </w:r>
    </w:p>
    <w:p>
      <w:pPr>
        <w:spacing w:after="0" w:line="24" w:lineRule="exact"/>
        <w:rPr>
          <w:sz w:val="20"/>
          <w:szCs w:val="20"/>
          <w:color w:val="auto"/>
        </w:rPr>
      </w:pPr>
    </w:p>
    <w:p>
      <w:pPr>
        <w:spacing w:after="0" w:line="239" w:lineRule="auto"/>
        <w:rPr>
          <w:sz w:val="20"/>
          <w:szCs w:val="20"/>
          <w:color w:val="auto"/>
        </w:rPr>
      </w:pPr>
      <w:r>
        <w:rPr>
          <w:rFonts w:ascii="Arial" w:cs="Arial" w:eastAsia="Arial" w:hAnsi="Arial"/>
          <w:sz w:val="20"/>
          <w:szCs w:val="20"/>
          <w:color w:val="auto"/>
        </w:rPr>
        <w:t>Certain statements made by the company which are not historical facts may be considered forward-looking statements, including, without limitation, statements as to operating earnings, net income available to common stockholders, net cash flows, realized and unrealized gains and losses, capital and liquidity positions, sales and earnings trends, and management’s beliefs, expectations, goals and opinions. The company does not undertake to update these statements, which are based on a number of assumptions concerning future conditions that may ultimately prove to be inaccurate. Future events and their effects on the company may not be those anticipated, and actual results may differ materially from the results anticipated in these forward-looking statements. The risks, uncertainties and factors that could cause or contribute to such material differences are discussed in the company’s annual report on Form 10-K for the year ended Dec. 31, 2016, filed by the company with the U.S. Securities and Exchange Commission, as updated or supplemented from time to time in subsequent filings. These risks and uncertainties include, without limitation: adverse capital and credit market conditions may significantly affect the company’s ability to meet liquidity needs, access to capital and cost of capital; conditions in the global capital markets and the economy generally; volatility or declines in the equity, bond or real estate markets; changes in interest rates or credit spreads or a sustained low interest rate environment; the company’s investment portfolio is subject to several risks that may diminish the value of its invested assets and the investment returns credited to customers; the company’s valuation of investments and the determination of the amount of allowances and impairments taken on such investments may include methodologies, estimations and assumptions that are subject to differing interpretations; any impairments of or valuation allowances against the company’s deferred tax assets; the company’s actual experience could differ significantly from its pricing and reserving assumptions; the pattern of amortizing the company’s DAC and other actuarial balances on its universal life-type insurance contracts, participating life insurance policies and certain investment contracts may change; the company may not be able to protect its intellectual property and may be subject to infringement claims; the company’s ability to pay stockholder dividends and meet its obligations may be constrained by the limitations on dividends or distributions Iowa insurance laws impose on Principal Life; changes in laws, regulations or accounting standards; results of litigation and regulatory investigations; from time to time the company may become subject to tax audits, tax litigation or similar proceedings, and as a result it may owe additional taxes, interest and penalties in amounts that may be material; applicable laws and the company’s certificate of incorporation and by-laws may discourage takeovers and business combinations that some stockholders might consider in their best interests; competition from companies that may have greater financial resources, broader arrays of products, higher ratings and stronger financial performance; a downgrade in the company’s financial strength or credit ratings; changes in investor preferences; inability to attract and retain qualified employees and sales representatives and develop new distribution sources; international business risks; fluctuations in foreign currency exchange rates; the company may need to fund deficiencies in its “Closed Block” assets that support participating ordinary life insurance policies that had a dividend scale in force at the time of Principal Life’s 1998 conversion into a stock life insurance company; the company’s reinsurers could default on their obligations or increase their rates; risks arising from acquisitions of businesses; and a computer system failure or security breach could disrupt the company’s business and damage its reputation.</w:t>
      </w:r>
    </w:p>
    <w:p>
      <w:pPr>
        <w:spacing w:after="0" w:line="291"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Use of Non-GAAP financial measures</w:t>
      </w:r>
    </w:p>
    <w:p>
      <w:pPr>
        <w:spacing w:after="0" w:line="24" w:lineRule="exact"/>
        <w:rPr>
          <w:sz w:val="20"/>
          <w:szCs w:val="20"/>
          <w:color w:val="auto"/>
        </w:rPr>
      </w:pPr>
    </w:p>
    <w:p>
      <w:pPr>
        <w:spacing w:after="0" w:line="241" w:lineRule="auto"/>
        <w:rPr>
          <w:sz w:val="20"/>
          <w:szCs w:val="20"/>
          <w:color w:val="auto"/>
        </w:rPr>
      </w:pPr>
      <w:r>
        <w:rPr>
          <w:rFonts w:ascii="Arial" w:cs="Arial" w:eastAsia="Arial" w:hAnsi="Arial"/>
          <w:sz w:val="20"/>
          <w:szCs w:val="20"/>
          <w:color w:val="auto"/>
        </w:rPr>
        <w:t>The company uses a number of non-GAAP financial measures that management believes are useful to investors because they illustrate the performance of normal, ongoing operations, which is important in understanding and evaluating the company’s financial condition and results of operations. They are not, however, a substitute for U.S. GAAP financial measures. Therefore, the company has provided reconciliations of the non-GAAP measures to the most directly comparable U.S. GAAP measure at the end of the release. The company adjusts U.S. GAAP measures for items not directly related to ongoing operations. However, it is possible these adjusting items have occurred in the past and could recur in</w:t>
      </w:r>
    </w:p>
    <w:p>
      <w:pPr>
        <w:sectPr>
          <w:pgSz w:w="11900" w:h="16838" w:orient="portrait"/>
          <w:cols w:equalWidth="0" w:num="1">
            <w:col w:w="11400"/>
          </w:cols>
          <w:pgMar w:left="240" w:top="1287" w:right="259" w:bottom="1440" w:gutter="0" w:footer="0" w:header="0"/>
        </w:sectPr>
      </w:pPr>
    </w:p>
    <w:bookmarkStart w:id="8" w:name="page9"/>
    <w:bookmarkEnd w:id="8"/>
    <w:p>
      <w:pPr>
        <w:ind w:right="80"/>
        <w:spacing w:after="0" w:line="243" w:lineRule="auto"/>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5397500</wp:posOffset>
            </wp:positionH>
            <wp:positionV relativeFrom="page">
              <wp:posOffset>88900</wp:posOffset>
            </wp:positionV>
            <wp:extent cx="2006600" cy="5918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2006600" cy="591820"/>
                    </a:xfrm>
                    <a:prstGeom prst="rect">
                      <a:avLst/>
                    </a:prstGeom>
                    <a:noFill/>
                  </pic:spPr>
                </pic:pic>
              </a:graphicData>
            </a:graphic>
          </wp:anchor>
        </w:drawing>
        <w:t>future reporting periods. Management also uses non-GAAP measures for goal setting, as a basis for determining employee and senior management awards and compensation, and evaluating performance on a basis comparable to that used by investors and securities analysts.</w:t>
      </w:r>
    </w:p>
    <w:p>
      <w:pPr>
        <w:spacing w:after="0" w:line="4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Earnings conference call</w:t>
      </w:r>
    </w:p>
    <w:p>
      <w:pPr>
        <w:spacing w:after="0" w:line="24" w:lineRule="exact"/>
        <w:rPr>
          <w:sz w:val="20"/>
          <w:szCs w:val="20"/>
          <w:color w:val="auto"/>
        </w:rPr>
      </w:pPr>
    </w:p>
    <w:p>
      <w:pPr>
        <w:jc w:val="both"/>
        <w:ind w:right="200"/>
        <w:spacing w:after="0" w:line="243" w:lineRule="auto"/>
        <w:rPr>
          <w:sz w:val="20"/>
          <w:szCs w:val="20"/>
          <w:color w:val="auto"/>
        </w:rPr>
      </w:pPr>
      <w:r>
        <w:rPr>
          <w:rFonts w:ascii="Arial" w:cs="Arial" w:eastAsia="Arial" w:hAnsi="Arial"/>
          <w:sz w:val="20"/>
          <w:szCs w:val="20"/>
          <w:color w:val="auto"/>
        </w:rPr>
        <w:t>On Friday, Apr. 28, 2017, at 10:00 a.m. (ET), Chairman, President and Chief Executive Officer Dan Houston and Executive Vice President and Chief Financial Officer Deanna Strable will lead a discussion of results and the impacts on future prospects, asset quality and capital adequacy during a live conference call, which can be accessed as follows:</w:t>
      </w:r>
    </w:p>
    <w:p>
      <w:pPr>
        <w:spacing w:after="0" w:line="98" w:lineRule="exact"/>
        <w:rPr>
          <w:sz w:val="20"/>
          <w:szCs w:val="20"/>
          <w:color w:val="auto"/>
        </w:rPr>
      </w:pPr>
    </w:p>
    <w:p>
      <w:pPr>
        <w:ind w:left="660" w:right="100" w:hanging="328"/>
        <w:spacing w:after="0" w:line="239"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20"/>
          <w:szCs w:val="20"/>
          <w:color w:val="auto"/>
        </w:rPr>
        <w:t xml:space="preserve">Via live Internet webcast. Please go to </w:t>
      </w:r>
      <w:r>
        <w:rPr>
          <w:rFonts w:ascii="Arial" w:cs="Arial" w:eastAsia="Arial" w:hAnsi="Arial"/>
          <w:sz w:val="20"/>
          <w:szCs w:val="20"/>
          <w:u w:val="single" w:color="auto"/>
          <w:color w:val="0000FF"/>
        </w:rPr>
        <w:t>principal.com/investor</w:t>
      </w:r>
      <w:r>
        <w:rPr>
          <w:rFonts w:ascii="Arial" w:cs="Arial" w:eastAsia="Arial" w:hAnsi="Arial"/>
          <w:sz w:val="20"/>
          <w:szCs w:val="20"/>
          <w:color w:val="auto"/>
        </w:rPr>
        <w:t xml:space="preserve"> at least 10-15 minutes prior to the start of the call to register, and to download and install any necessary audio software.</w:t>
      </w:r>
    </w:p>
    <w:p>
      <w:pPr>
        <w:spacing w:after="0" w:line="1" w:lineRule="exact"/>
        <w:rPr>
          <w:rFonts w:ascii="Arial" w:cs="Arial" w:eastAsia="Arial" w:hAnsi="Arial"/>
          <w:sz w:val="18"/>
          <w:szCs w:val="18"/>
          <w:color w:val="auto"/>
        </w:rPr>
      </w:pPr>
    </w:p>
    <w:p>
      <w:pPr>
        <w:ind w:left="660" w:right="180" w:hanging="328"/>
        <w:spacing w:after="0" w:line="239"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20"/>
          <w:szCs w:val="20"/>
          <w:color w:val="auto"/>
        </w:rPr>
        <w:t>Via telephone by dialing 866-427-0175 (U.S. and Canadian callers) or 706-643-7701 (international callers) approximately 10 minutes prior to the start of the call. The access code is 92541151.</w:t>
      </w:r>
    </w:p>
    <w:p>
      <w:pPr>
        <w:spacing w:after="0" w:line="1" w:lineRule="exact"/>
        <w:rPr>
          <w:rFonts w:ascii="Arial" w:cs="Arial" w:eastAsia="Arial" w:hAnsi="Arial"/>
          <w:sz w:val="18"/>
          <w:szCs w:val="18"/>
          <w:color w:val="auto"/>
        </w:rPr>
      </w:pPr>
    </w:p>
    <w:p>
      <w:pPr>
        <w:ind w:left="660" w:right="180" w:hanging="328"/>
        <w:spacing w:after="0" w:line="239"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20"/>
          <w:szCs w:val="20"/>
          <w:color w:val="auto"/>
        </w:rPr>
        <w:t>Replay of the earnings call via telephone is available by dialing 855-859-2056 (U.S. and Canadian callers) or 404-537-3406 (international callers). The access code is 92541151. This replay will be available approximately two hours after the completion of the live earnings call through the end of day May 5, 2017.</w:t>
      </w:r>
    </w:p>
    <w:p>
      <w:pPr>
        <w:spacing w:after="0" w:line="1" w:lineRule="exact"/>
        <w:rPr>
          <w:rFonts w:ascii="Arial" w:cs="Arial" w:eastAsia="Arial" w:hAnsi="Arial"/>
          <w:sz w:val="18"/>
          <w:szCs w:val="18"/>
          <w:color w:val="auto"/>
        </w:rPr>
      </w:pPr>
    </w:p>
    <w:p>
      <w:pPr>
        <w:ind w:left="660" w:right="1620" w:hanging="328"/>
        <w:spacing w:after="0" w:line="247"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20"/>
          <w:szCs w:val="20"/>
          <w:color w:val="auto"/>
        </w:rPr>
        <w:t xml:space="preserve">Replay of the earnings call via webcast as well as a transcript of the call will be available after the call at: </w:t>
      </w:r>
      <w:r>
        <w:rPr>
          <w:rFonts w:ascii="Arial" w:cs="Arial" w:eastAsia="Arial" w:hAnsi="Arial"/>
          <w:sz w:val="20"/>
          <w:szCs w:val="20"/>
          <w:u w:val="single" w:color="auto"/>
          <w:color w:val="0000FF"/>
        </w:rPr>
        <w:t>principal.com/investor</w:t>
      </w:r>
      <w:r>
        <w:rPr>
          <w:rFonts w:ascii="Arial" w:cs="Arial" w:eastAsia="Arial" w:hAnsi="Arial"/>
          <w:sz w:val="20"/>
          <w:szCs w:val="20"/>
          <w:color w:val="000000"/>
        </w:rPr>
        <w:t>.</w:t>
      </w:r>
    </w:p>
    <w:p>
      <w:pPr>
        <w:spacing w:after="0" w:line="296" w:lineRule="exact"/>
        <w:rPr>
          <w:sz w:val="20"/>
          <w:szCs w:val="20"/>
          <w:color w:val="auto"/>
        </w:rPr>
      </w:pPr>
    </w:p>
    <w:p>
      <w:pPr>
        <w:spacing w:after="0" w:line="243" w:lineRule="auto"/>
        <w:rPr>
          <w:sz w:val="20"/>
          <w:szCs w:val="20"/>
          <w:color w:val="auto"/>
        </w:rPr>
      </w:pPr>
      <w:r>
        <w:rPr>
          <w:rFonts w:ascii="Arial" w:cs="Arial" w:eastAsia="Arial" w:hAnsi="Arial"/>
          <w:sz w:val="20"/>
          <w:szCs w:val="20"/>
          <w:color w:val="auto"/>
        </w:rPr>
        <w:t xml:space="preserve">The company’s financial supplement is currently available at </w:t>
      </w:r>
      <w:r>
        <w:rPr>
          <w:rFonts w:ascii="Arial" w:cs="Arial" w:eastAsia="Arial" w:hAnsi="Arial"/>
          <w:sz w:val="20"/>
          <w:szCs w:val="20"/>
          <w:u w:val="single" w:color="auto"/>
          <w:color w:val="0000FF"/>
        </w:rPr>
        <w:t>principal.com/investor</w:t>
      </w:r>
      <w:r>
        <w:rPr>
          <w:rFonts w:ascii="Arial" w:cs="Arial" w:eastAsia="Arial" w:hAnsi="Arial"/>
          <w:sz w:val="20"/>
          <w:szCs w:val="20"/>
          <w:color w:val="auto"/>
        </w:rPr>
        <w:t xml:space="preserve">, and may be referred to during the call. Other slides that will be referenced during the call will be available at </w:t>
      </w:r>
      <w:r>
        <w:rPr>
          <w:rFonts w:ascii="Arial" w:cs="Arial" w:eastAsia="Arial" w:hAnsi="Arial"/>
          <w:sz w:val="20"/>
          <w:szCs w:val="20"/>
          <w:u w:val="single" w:color="auto"/>
          <w:color w:val="0000FF"/>
        </w:rPr>
        <w:t>principal.com/investor</w:t>
      </w:r>
      <w:r>
        <w:rPr>
          <w:rFonts w:ascii="Arial" w:cs="Arial" w:eastAsia="Arial" w:hAnsi="Arial"/>
          <w:sz w:val="20"/>
          <w:szCs w:val="20"/>
          <w:color w:val="auto"/>
        </w:rPr>
        <w:t xml:space="preserve"> approximately one-half hour prior to call start time.</w:t>
      </w:r>
    </w:p>
    <w:p>
      <w:pPr>
        <w:spacing w:after="0" w:line="269"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About Principal</w:t>
      </w:r>
      <w:r>
        <w:rPr>
          <w:rFonts w:ascii="Arial" w:cs="Arial" w:eastAsia="Arial" w:hAnsi="Arial"/>
          <w:sz w:val="25"/>
          <w:szCs w:val="25"/>
          <w:b w:val="1"/>
          <w:bCs w:val="1"/>
          <w:color w:val="auto"/>
          <w:vertAlign w:val="superscript"/>
        </w:rPr>
        <w:t>®13</w:t>
      </w:r>
    </w:p>
    <w:p>
      <w:pPr>
        <w:spacing w:after="0" w:line="69" w:lineRule="exact"/>
        <w:rPr>
          <w:sz w:val="20"/>
          <w:szCs w:val="20"/>
          <w:color w:val="auto"/>
        </w:rPr>
      </w:pPr>
    </w:p>
    <w:p>
      <w:pPr>
        <w:ind w:right="260"/>
        <w:spacing w:after="0" w:line="242" w:lineRule="auto"/>
        <w:rPr>
          <w:sz w:val="20"/>
          <w:szCs w:val="20"/>
          <w:color w:val="auto"/>
        </w:rPr>
      </w:pPr>
      <w:r>
        <w:rPr>
          <w:rFonts w:ascii="Arial" w:cs="Arial" w:eastAsia="Arial" w:hAnsi="Arial"/>
          <w:sz w:val="20"/>
          <w:szCs w:val="20"/>
          <w:color w:val="auto"/>
        </w:rPr>
        <w:t xml:space="preserve">Principal helps people and companies around the world build, protect and advance their financial well-being through retirement, insurance and asset management solutions that fit their lives. Our employees are passionate about helping clients of all income and portfolio sizes achieve their goals - offering innovative ideas, investment expertise and real-life solutions to make financial progress possible. To find out more, visit us at </w:t>
      </w:r>
      <w:r>
        <w:rPr>
          <w:rFonts w:ascii="Arial" w:cs="Arial" w:eastAsia="Arial" w:hAnsi="Arial"/>
          <w:sz w:val="20"/>
          <w:szCs w:val="20"/>
          <w:u w:val="single" w:color="auto"/>
          <w:color w:val="0000FF"/>
        </w:rPr>
        <w:t>principal.com</w:t>
      </w:r>
      <w:r>
        <w:rPr>
          <w:rFonts w:ascii="Arial" w:cs="Arial" w:eastAsia="Arial" w:hAnsi="Arial"/>
          <w:sz w:val="20"/>
          <w:szCs w:val="20"/>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ind w:right="-39"/>
        <w:spacing w:after="0"/>
        <w:rPr>
          <w:sz w:val="20"/>
          <w:szCs w:val="20"/>
          <w:color w:val="auto"/>
        </w:rPr>
      </w:pPr>
      <w:r>
        <w:rPr>
          <w:rFonts w:ascii="Arial" w:cs="Arial" w:eastAsia="Arial" w:hAnsi="Arial"/>
          <w:sz w:val="20"/>
          <w:szCs w:val="20"/>
          <w:color w:val="auto"/>
        </w:rPr>
        <w:t>###</w:t>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____________________________________________________________________________________________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Arial" w:cs="Arial" w:eastAsia="Arial" w:hAnsi="Arial"/>
          <w:sz w:val="11"/>
          <w:szCs w:val="11"/>
          <w:b w:val="1"/>
          <w:bCs w:val="1"/>
          <w:color w:val="auto"/>
        </w:rPr>
        <w:t>____________________________________</w:t>
      </w:r>
    </w:p>
    <w:p>
      <w:pPr>
        <w:spacing w:after="0" w:line="110" w:lineRule="exact"/>
        <w:rPr>
          <w:sz w:val="20"/>
          <w:szCs w:val="20"/>
          <w:color w:val="auto"/>
        </w:rPr>
      </w:pPr>
    </w:p>
    <w:p>
      <w:pPr>
        <w:ind w:right="80" w:firstLine="8"/>
        <w:spacing w:after="0" w:line="225" w:lineRule="auto"/>
        <w:tabs>
          <w:tab w:leader="none" w:pos="140" w:val="left"/>
        </w:tabs>
        <w:numPr>
          <w:ilvl w:val="0"/>
          <w:numId w:val="21"/>
        </w:numPr>
        <w:rPr>
          <w:rFonts w:ascii="Arial" w:cs="Arial" w:eastAsia="Arial" w:hAnsi="Arial"/>
          <w:sz w:val="17"/>
          <w:szCs w:val="17"/>
          <w:color w:val="auto"/>
          <w:vertAlign w:val="superscript"/>
        </w:rPr>
      </w:pPr>
      <w:r>
        <w:rPr>
          <w:rFonts w:ascii="Arial" w:cs="Arial" w:eastAsia="Arial" w:hAnsi="Arial"/>
          <w:sz w:val="14"/>
          <w:szCs w:val="14"/>
          <w:color w:val="auto"/>
        </w:rPr>
        <w:t>Principal, Principal and symbol design and Principal Financial Group are trademarks and service marks of Principal Financial Services, Inc., a member of the Principal Financial Group.</w:t>
      </w:r>
    </w:p>
    <w:p>
      <w:pPr>
        <w:sectPr>
          <w:pgSz w:w="11900" w:h="16838" w:orient="portrait"/>
          <w:cols w:equalWidth="0" w:num="1">
            <w:col w:w="11400"/>
          </w:cols>
          <w:pgMar w:left="240" w:top="1311" w:right="259" w:bottom="1440" w:gutter="0" w:footer="0" w:header="0"/>
        </w:sectPr>
      </w:pPr>
    </w:p>
    <w:bookmarkStart w:id="9" w:name="page10"/>
    <w:bookmarkEnd w:id="9"/>
    <w:p>
      <w:pPr>
        <w:spacing w:after="0"/>
        <w:rPr>
          <w:sz w:val="20"/>
          <w:szCs w:val="20"/>
          <w:color w:val="auto"/>
        </w:rPr>
      </w:pPr>
      <w:r>
        <w:rPr>
          <w:rFonts w:ascii="Arial" w:cs="Arial" w:eastAsia="Arial" w:hAnsi="Arial"/>
          <w:sz w:val="19"/>
          <w:szCs w:val="19"/>
          <w:b w:val="1"/>
          <w:bCs w:val="1"/>
          <w:i w:val="1"/>
          <w:iCs w:val="1"/>
          <w:color w:val="auto"/>
        </w:rPr>
        <w:drawing>
          <wp:anchor simplePos="0" relativeHeight="251657728" behindDoc="1" locked="0" layoutInCell="0" allowOverlap="1">
            <wp:simplePos x="0" y="0"/>
            <wp:positionH relativeFrom="page">
              <wp:posOffset>5397500</wp:posOffset>
            </wp:positionH>
            <wp:positionV relativeFrom="page">
              <wp:posOffset>88900</wp:posOffset>
            </wp:positionV>
            <wp:extent cx="2006600" cy="5918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2006600" cy="591820"/>
                    </a:xfrm>
                    <a:prstGeom prst="rect">
                      <a:avLst/>
                    </a:prstGeom>
                    <a:noFill/>
                  </pic:spPr>
                </pic:pic>
              </a:graphicData>
            </a:graphic>
          </wp:anchor>
        </w:drawing>
        <w:t>Summary of Principal Financial Group, Inc. and Segment Results</w:t>
      </w:r>
    </w:p>
    <w:p>
      <w:pPr>
        <w:spacing w:after="0" w:line="319" w:lineRule="exact"/>
        <w:rPr>
          <w:sz w:val="20"/>
          <w:szCs w:val="20"/>
          <w:color w:val="auto"/>
        </w:rPr>
      </w:pPr>
    </w:p>
    <w:tbl>
      <w:tblPr>
        <w:tblLayout w:type="fixed"/>
        <w:tblInd w:w="530" w:type="dxa"/>
        <w:tblCellMar>
          <w:top w:w="0" w:type="dxa"/>
          <w:left w:w="0" w:type="dxa"/>
          <w:bottom w:w="0" w:type="dxa"/>
          <w:right w:w="0" w:type="dxa"/>
        </w:tblCellMar>
      </w:tblPr>
      <w:tr>
        <w:trPr>
          <w:trHeight w:val="264"/>
        </w:trPr>
        <w:tc>
          <w:tcPr>
            <w:tcW w:w="5120" w:type="dxa"/>
            <w:vAlign w:val="bottom"/>
            <w:tcBorders>
              <w:top w:val="single" w:sz="8" w:color="auto"/>
              <w:left w:val="single" w:sz="8" w:color="auto"/>
              <w:right w:val="single" w:sz="8" w:color="auto"/>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2340" w:type="dxa"/>
            <w:vAlign w:val="bottom"/>
            <w:tcBorders>
              <w:top w:val="single" w:sz="8" w:color="auto"/>
              <w:bottom w:val="single" w:sz="8" w:color="auto"/>
            </w:tcBorders>
            <w:gridSpan w:val="3"/>
          </w:tcPr>
          <w:p>
            <w:pPr>
              <w:jc w:val="right"/>
              <w:ind w:right="690"/>
              <w:spacing w:after="0"/>
              <w:rPr>
                <w:sz w:val="20"/>
                <w:szCs w:val="20"/>
                <w:color w:val="auto"/>
              </w:rPr>
            </w:pPr>
            <w:r>
              <w:rPr>
                <w:rFonts w:ascii="Arial" w:cs="Arial" w:eastAsia="Arial" w:hAnsi="Arial"/>
                <w:sz w:val="18"/>
                <w:szCs w:val="18"/>
                <w:b w:val="1"/>
                <w:bCs w:val="1"/>
                <w:i w:val="1"/>
                <w:iCs w:val="1"/>
                <w:color w:val="auto"/>
              </w:rPr>
              <w:t>(in millions)</w:t>
            </w:r>
          </w:p>
        </w:tc>
        <w:tc>
          <w:tcPr>
            <w:tcW w:w="24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right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2400" w:type="dxa"/>
            <w:vAlign w:val="bottom"/>
            <w:tcBorders>
              <w:bottom w:val="single" w:sz="8" w:color="auto"/>
              <w:right w:val="single" w:sz="8" w:color="auto"/>
            </w:tcBorders>
            <w:gridSpan w:val="3"/>
          </w:tcPr>
          <w:p>
            <w:pPr>
              <w:jc w:val="center"/>
              <w:ind w:right="170"/>
              <w:spacing w:after="0"/>
              <w:rPr>
                <w:sz w:val="20"/>
                <w:szCs w:val="20"/>
                <w:color w:val="auto"/>
              </w:rPr>
            </w:pPr>
            <w:r>
              <w:rPr>
                <w:rFonts w:ascii="Arial" w:cs="Arial" w:eastAsia="Arial" w:hAnsi="Arial"/>
                <w:sz w:val="18"/>
                <w:szCs w:val="18"/>
                <w:i w:val="1"/>
                <w:iCs w:val="1"/>
                <w:color w:val="auto"/>
              </w:rPr>
              <w:t>Three Months Ended,</w:t>
            </w:r>
          </w:p>
        </w:tc>
        <w:tc>
          <w:tcPr>
            <w:tcW w:w="220" w:type="dxa"/>
            <w:vAlign w:val="bottom"/>
            <w:tcBorders>
              <w:bottom w:val="single" w:sz="8" w:color="auto"/>
            </w:tcBorders>
          </w:tcPr>
          <w:p>
            <w:pPr>
              <w:spacing w:after="0"/>
              <w:rPr>
                <w:sz w:val="21"/>
                <w:szCs w:val="21"/>
                <w:color w:val="auto"/>
              </w:rPr>
            </w:pPr>
          </w:p>
        </w:tc>
        <w:tc>
          <w:tcPr>
            <w:tcW w:w="2440" w:type="dxa"/>
            <w:vAlign w:val="bottom"/>
            <w:tcBorders>
              <w:bottom w:val="single" w:sz="8" w:color="auto"/>
              <w:right w:val="single" w:sz="8" w:color="auto"/>
            </w:tcBorders>
            <w:gridSpan w:val="3"/>
          </w:tcPr>
          <w:p>
            <w:pPr>
              <w:jc w:val="center"/>
              <w:ind w:right="150"/>
              <w:spacing w:after="0"/>
              <w:rPr>
                <w:sz w:val="20"/>
                <w:szCs w:val="20"/>
                <w:color w:val="auto"/>
              </w:rPr>
            </w:pPr>
            <w:r>
              <w:rPr>
                <w:rFonts w:ascii="Arial" w:cs="Arial" w:eastAsia="Arial" w:hAnsi="Arial"/>
                <w:sz w:val="18"/>
                <w:szCs w:val="18"/>
                <w:i w:val="1"/>
                <w:iCs w:val="1"/>
                <w:color w:val="auto"/>
                <w:w w:val="98"/>
              </w:rPr>
              <w:t>Trailing Twelve Months,</w:t>
            </w: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b w:val="1"/>
                <w:bCs w:val="1"/>
                <w:i w:val="1"/>
                <w:iCs w:val="1"/>
                <w:color w:val="auto"/>
              </w:rPr>
              <w:t>Principal Financial Group, Inc. Results:</w:t>
            </w:r>
          </w:p>
        </w:tc>
        <w:tc>
          <w:tcPr>
            <w:tcW w:w="240" w:type="dxa"/>
            <w:vAlign w:val="bottom"/>
            <w:tcBorders>
              <w:bottom w:val="single" w:sz="8" w:color="auto"/>
            </w:tcBorders>
          </w:tcPr>
          <w:p>
            <w:pPr>
              <w:spacing w:after="0"/>
              <w:rPr>
                <w:sz w:val="21"/>
                <w:szCs w:val="21"/>
                <w:color w:val="auto"/>
              </w:rPr>
            </w:pPr>
          </w:p>
        </w:tc>
        <w:tc>
          <w:tcPr>
            <w:tcW w:w="1120" w:type="dxa"/>
            <w:vAlign w:val="bottom"/>
            <w:tcBorders>
              <w:bottom w:val="single" w:sz="8" w:color="auto"/>
              <w:right w:val="single" w:sz="8" w:color="auto"/>
            </w:tcBorders>
          </w:tcPr>
          <w:p>
            <w:pPr>
              <w:jc w:val="right"/>
              <w:ind w:right="310"/>
              <w:spacing w:after="0"/>
              <w:rPr>
                <w:sz w:val="20"/>
                <w:szCs w:val="20"/>
                <w:color w:val="auto"/>
              </w:rPr>
            </w:pPr>
            <w:r>
              <w:rPr>
                <w:rFonts w:ascii="Arial" w:cs="Arial" w:eastAsia="Arial" w:hAnsi="Arial"/>
                <w:sz w:val="18"/>
                <w:szCs w:val="18"/>
                <w:color w:val="auto"/>
              </w:rPr>
              <w:t>3/31/17</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270"/>
              <w:spacing w:after="0"/>
              <w:rPr>
                <w:sz w:val="20"/>
                <w:szCs w:val="20"/>
                <w:color w:val="auto"/>
              </w:rPr>
            </w:pPr>
            <w:r>
              <w:rPr>
                <w:rFonts w:ascii="Arial" w:cs="Arial" w:eastAsia="Arial" w:hAnsi="Arial"/>
                <w:sz w:val="18"/>
                <w:szCs w:val="18"/>
                <w:color w:val="auto"/>
              </w:rPr>
              <w:t>3/31/16</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270"/>
              <w:spacing w:after="0"/>
              <w:rPr>
                <w:sz w:val="20"/>
                <w:szCs w:val="20"/>
                <w:color w:val="auto"/>
              </w:rPr>
            </w:pPr>
            <w:r>
              <w:rPr>
                <w:rFonts w:ascii="Arial" w:cs="Arial" w:eastAsia="Arial" w:hAnsi="Arial"/>
                <w:sz w:val="18"/>
                <w:szCs w:val="18"/>
                <w:color w:val="auto"/>
              </w:rPr>
              <w:t>3/31/17</w:t>
            </w:r>
          </w:p>
        </w:tc>
        <w:tc>
          <w:tcPr>
            <w:tcW w:w="240" w:type="dxa"/>
            <w:vAlign w:val="bottom"/>
            <w:tcBorders>
              <w:bottom w:val="single" w:sz="8" w:color="auto"/>
            </w:tcBorders>
          </w:tcPr>
          <w:p>
            <w:pPr>
              <w:spacing w:after="0"/>
              <w:rPr>
                <w:sz w:val="21"/>
                <w:szCs w:val="21"/>
                <w:color w:val="auto"/>
              </w:rPr>
            </w:pPr>
          </w:p>
        </w:tc>
        <w:tc>
          <w:tcPr>
            <w:tcW w:w="1140" w:type="dxa"/>
            <w:vAlign w:val="bottom"/>
            <w:tcBorders>
              <w:bottom w:val="single" w:sz="8" w:color="auto"/>
              <w:right w:val="single" w:sz="8" w:color="auto"/>
            </w:tcBorders>
          </w:tcPr>
          <w:p>
            <w:pPr>
              <w:jc w:val="right"/>
              <w:ind w:right="310"/>
              <w:spacing w:after="0"/>
              <w:rPr>
                <w:sz w:val="20"/>
                <w:szCs w:val="20"/>
                <w:color w:val="auto"/>
              </w:rPr>
            </w:pPr>
            <w:r>
              <w:rPr>
                <w:rFonts w:ascii="Arial" w:cs="Arial" w:eastAsia="Arial" w:hAnsi="Arial"/>
                <w:sz w:val="18"/>
                <w:szCs w:val="18"/>
                <w:color w:val="auto"/>
              </w:rPr>
              <w:t>3/31/16</w:t>
            </w: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b w:val="1"/>
                <w:bCs w:val="1"/>
                <w:i w:val="1"/>
                <w:iCs w:val="1"/>
                <w:color w:val="auto"/>
              </w:rPr>
              <w:t>Net income available to common stockholders</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348.9</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368.0</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1,297.4</w:t>
            </w:r>
          </w:p>
        </w:tc>
        <w:tc>
          <w:tcPr>
            <w:tcW w:w="24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99"/>
              </w:rPr>
              <w:t>$</w:t>
            </w:r>
          </w:p>
        </w:tc>
        <w:tc>
          <w:tcPr>
            <w:tcW w:w="114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1,163.1</w:t>
            </w: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i w:val="1"/>
                <w:iCs w:val="1"/>
                <w:color w:val="auto"/>
              </w:rPr>
              <w:t>Net realized capital (gains) losses, as adjusted</w:t>
            </w:r>
          </w:p>
        </w:tc>
        <w:tc>
          <w:tcPr>
            <w:tcW w:w="240" w:type="dxa"/>
            <w:vAlign w:val="bottom"/>
            <w:tcBorders>
              <w:bottom w:val="single" w:sz="8" w:color="auto"/>
            </w:tcBorders>
          </w:tcPr>
          <w:p>
            <w:pPr>
              <w:spacing w:after="0"/>
              <w:rPr>
                <w:sz w:val="21"/>
                <w:szCs w:val="21"/>
                <w:color w:val="auto"/>
              </w:rPr>
            </w:pP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21.6</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(81.7)</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65.9</w:t>
            </w:r>
          </w:p>
        </w:tc>
        <w:tc>
          <w:tcPr>
            <w:tcW w:w="240" w:type="dxa"/>
            <w:vAlign w:val="bottom"/>
            <w:tcBorders>
              <w:bottom w:val="single" w:sz="8" w:color="auto"/>
            </w:tcBorders>
          </w:tcPr>
          <w:p>
            <w:pPr>
              <w:spacing w:after="0"/>
              <w:rPr>
                <w:sz w:val="21"/>
                <w:szCs w:val="21"/>
                <w:color w:val="auto"/>
              </w:rPr>
            </w:pPr>
          </w:p>
        </w:tc>
        <w:tc>
          <w:tcPr>
            <w:tcW w:w="114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65.2</w:t>
            </w: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i w:val="1"/>
                <w:iCs w:val="1"/>
                <w:color w:val="auto"/>
              </w:rPr>
              <w:t>Other after-tax adjustments</w:t>
            </w:r>
          </w:p>
        </w:tc>
        <w:tc>
          <w:tcPr>
            <w:tcW w:w="240" w:type="dxa"/>
            <w:vAlign w:val="bottom"/>
            <w:tcBorders>
              <w:bottom w:val="single" w:sz="8" w:color="auto"/>
            </w:tcBorders>
          </w:tcPr>
          <w:p>
            <w:pPr>
              <w:spacing w:after="0"/>
              <w:rPr>
                <w:sz w:val="21"/>
                <w:szCs w:val="21"/>
                <w:color w:val="auto"/>
              </w:rPr>
            </w:pP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0.0</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0.0</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52.0</w:t>
            </w:r>
          </w:p>
        </w:tc>
        <w:tc>
          <w:tcPr>
            <w:tcW w:w="240" w:type="dxa"/>
            <w:vAlign w:val="bottom"/>
            <w:tcBorders>
              <w:bottom w:val="single" w:sz="8" w:color="auto"/>
            </w:tcBorders>
          </w:tcPr>
          <w:p>
            <w:pPr>
              <w:spacing w:after="0"/>
              <w:rPr>
                <w:sz w:val="21"/>
                <w:szCs w:val="21"/>
                <w:color w:val="auto"/>
              </w:rPr>
            </w:pPr>
          </w:p>
        </w:tc>
        <w:tc>
          <w:tcPr>
            <w:tcW w:w="114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2.1</w:t>
            </w: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b w:val="1"/>
                <w:bCs w:val="1"/>
                <w:i w:val="1"/>
                <w:iCs w:val="1"/>
                <w:color w:val="auto"/>
              </w:rPr>
              <w:t>Operating Earnings*</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370.5</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286.3</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1,415.3</w:t>
            </w:r>
          </w:p>
        </w:tc>
        <w:tc>
          <w:tcPr>
            <w:tcW w:w="24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99"/>
              </w:rPr>
              <w:t>$</w:t>
            </w:r>
          </w:p>
        </w:tc>
        <w:tc>
          <w:tcPr>
            <w:tcW w:w="114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1,230.4</w:t>
            </w: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i w:val="1"/>
                <w:iCs w:val="1"/>
                <w:color w:val="auto"/>
              </w:rPr>
              <w:t>Income taxes</w:t>
            </w:r>
          </w:p>
        </w:tc>
        <w:tc>
          <w:tcPr>
            <w:tcW w:w="240" w:type="dxa"/>
            <w:vAlign w:val="bottom"/>
            <w:tcBorders>
              <w:bottom w:val="single" w:sz="8" w:color="auto"/>
            </w:tcBorders>
          </w:tcPr>
          <w:p>
            <w:pPr>
              <w:spacing w:after="0"/>
              <w:rPr>
                <w:sz w:val="21"/>
                <w:szCs w:val="21"/>
                <w:color w:val="auto"/>
              </w:rPr>
            </w:pP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102.3</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70.0</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369.9</w:t>
            </w:r>
          </w:p>
        </w:tc>
        <w:tc>
          <w:tcPr>
            <w:tcW w:w="240" w:type="dxa"/>
            <w:vAlign w:val="bottom"/>
            <w:tcBorders>
              <w:bottom w:val="single" w:sz="8" w:color="auto"/>
            </w:tcBorders>
          </w:tcPr>
          <w:p>
            <w:pPr>
              <w:spacing w:after="0"/>
              <w:rPr>
                <w:sz w:val="21"/>
                <w:szCs w:val="21"/>
                <w:color w:val="auto"/>
              </w:rPr>
            </w:pPr>
          </w:p>
        </w:tc>
        <w:tc>
          <w:tcPr>
            <w:tcW w:w="114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325.6</w:t>
            </w: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i w:val="1"/>
                <w:iCs w:val="1"/>
                <w:color w:val="auto"/>
              </w:rPr>
              <w:t>Preferred stock dividends</w:t>
            </w:r>
          </w:p>
        </w:tc>
        <w:tc>
          <w:tcPr>
            <w:tcW w:w="240" w:type="dxa"/>
            <w:vAlign w:val="bottom"/>
            <w:tcBorders>
              <w:bottom w:val="single" w:sz="8" w:color="auto"/>
            </w:tcBorders>
          </w:tcPr>
          <w:p>
            <w:pPr>
              <w:spacing w:after="0"/>
              <w:rPr>
                <w:sz w:val="21"/>
                <w:szCs w:val="21"/>
                <w:color w:val="auto"/>
              </w:rPr>
            </w:pP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0.0</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0.0</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0.0</w:t>
            </w:r>
          </w:p>
        </w:tc>
        <w:tc>
          <w:tcPr>
            <w:tcW w:w="240" w:type="dxa"/>
            <w:vAlign w:val="bottom"/>
            <w:tcBorders>
              <w:bottom w:val="single" w:sz="8" w:color="auto"/>
            </w:tcBorders>
          </w:tcPr>
          <w:p>
            <w:pPr>
              <w:spacing w:after="0"/>
              <w:rPr>
                <w:sz w:val="21"/>
                <w:szCs w:val="21"/>
                <w:color w:val="auto"/>
              </w:rPr>
            </w:pPr>
          </w:p>
        </w:tc>
        <w:tc>
          <w:tcPr>
            <w:tcW w:w="114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8.3</w:t>
            </w:r>
          </w:p>
        </w:tc>
        <w:tc>
          <w:tcPr>
            <w:tcW w:w="0" w:type="dxa"/>
            <w:vAlign w:val="bottom"/>
          </w:tcPr>
          <w:p>
            <w:pPr>
              <w:spacing w:after="0"/>
              <w:rPr>
                <w:sz w:val="1"/>
                <w:szCs w:val="1"/>
                <w:color w:val="auto"/>
              </w:rPr>
            </w:pPr>
          </w:p>
        </w:tc>
      </w:tr>
      <w:tr>
        <w:trPr>
          <w:trHeight w:val="202"/>
        </w:trPr>
        <w:tc>
          <w:tcPr>
            <w:tcW w:w="51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i w:val="1"/>
                <w:iCs w:val="1"/>
                <w:color w:val="auto"/>
              </w:rPr>
              <w:t>Excess of redemption value over carrying value of preferred shares</w:t>
            </w:r>
          </w:p>
        </w:tc>
        <w:tc>
          <w:tcPr>
            <w:tcW w:w="240" w:type="dxa"/>
            <w:vAlign w:val="bottom"/>
          </w:tcPr>
          <w:p>
            <w:pPr>
              <w:spacing w:after="0"/>
              <w:rPr>
                <w:sz w:val="17"/>
                <w:szCs w:val="17"/>
                <w:color w:val="auto"/>
              </w:rPr>
            </w:pPr>
          </w:p>
        </w:tc>
        <w:tc>
          <w:tcPr>
            <w:tcW w:w="112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0.0</w:t>
            </w:r>
          </w:p>
        </w:tc>
        <w:tc>
          <w:tcPr>
            <w:tcW w:w="220" w:type="dxa"/>
            <w:vAlign w:val="bottom"/>
          </w:tcPr>
          <w:p>
            <w:pPr>
              <w:spacing w:after="0"/>
              <w:rPr>
                <w:sz w:val="17"/>
                <w:szCs w:val="17"/>
                <w:color w:val="auto"/>
              </w:rPr>
            </w:pPr>
          </w:p>
        </w:tc>
        <w:tc>
          <w:tcPr>
            <w:tcW w:w="106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0.0</w:t>
            </w:r>
          </w:p>
        </w:tc>
        <w:tc>
          <w:tcPr>
            <w:tcW w:w="220" w:type="dxa"/>
            <w:vAlign w:val="bottom"/>
          </w:tcPr>
          <w:p>
            <w:pPr>
              <w:spacing w:after="0"/>
              <w:rPr>
                <w:sz w:val="17"/>
                <w:szCs w:val="17"/>
                <w:color w:val="auto"/>
              </w:rPr>
            </w:pPr>
          </w:p>
        </w:tc>
        <w:tc>
          <w:tcPr>
            <w:tcW w:w="106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0.0</w:t>
            </w:r>
          </w:p>
        </w:tc>
        <w:tc>
          <w:tcPr>
            <w:tcW w:w="240" w:type="dxa"/>
            <w:vAlign w:val="bottom"/>
          </w:tcPr>
          <w:p>
            <w:pPr>
              <w:spacing w:after="0"/>
              <w:rPr>
                <w:sz w:val="17"/>
                <w:szCs w:val="17"/>
                <w:color w:val="auto"/>
              </w:rPr>
            </w:pPr>
          </w:p>
        </w:tc>
        <w:tc>
          <w:tcPr>
            <w:tcW w:w="1140" w:type="dxa"/>
            <w:vAlign w:val="bottom"/>
            <w:tcBorders>
              <w:right w:val="single" w:sz="8" w:color="auto"/>
            </w:tcBorders>
            <w:vMerge w:val="restart"/>
          </w:tcPr>
          <w:p>
            <w:pPr>
              <w:jc w:val="right"/>
              <w:ind w:right="30"/>
              <w:spacing w:after="0"/>
              <w:rPr>
                <w:sz w:val="20"/>
                <w:szCs w:val="20"/>
                <w:color w:val="auto"/>
              </w:rPr>
            </w:pPr>
            <w:r>
              <w:rPr>
                <w:rFonts w:ascii="Arial" w:cs="Arial" w:eastAsia="Arial" w:hAnsi="Arial"/>
                <w:sz w:val="18"/>
                <w:szCs w:val="18"/>
                <w:color w:val="auto"/>
              </w:rPr>
              <w:t>8.2</w:t>
            </w:r>
          </w:p>
        </w:tc>
        <w:tc>
          <w:tcPr>
            <w:tcW w:w="0" w:type="dxa"/>
            <w:vAlign w:val="bottom"/>
          </w:tcPr>
          <w:p>
            <w:pPr>
              <w:spacing w:after="0"/>
              <w:rPr>
                <w:sz w:val="1"/>
                <w:szCs w:val="1"/>
                <w:color w:val="auto"/>
              </w:rPr>
            </w:pPr>
          </w:p>
        </w:tc>
      </w:tr>
      <w:tr>
        <w:trPr>
          <w:trHeight w:val="224"/>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i w:val="1"/>
                <w:iCs w:val="1"/>
                <w:color w:val="auto"/>
              </w:rPr>
              <w:t>redeemed</w:t>
            </w:r>
          </w:p>
        </w:tc>
        <w:tc>
          <w:tcPr>
            <w:tcW w:w="240" w:type="dxa"/>
            <w:vAlign w:val="bottom"/>
            <w:tcBorders>
              <w:bottom w:val="single" w:sz="8" w:color="auto"/>
            </w:tcBorders>
          </w:tcPr>
          <w:p>
            <w:pPr>
              <w:spacing w:after="0"/>
              <w:rPr>
                <w:sz w:val="19"/>
                <w:szCs w:val="19"/>
                <w:color w:val="auto"/>
              </w:rPr>
            </w:pPr>
          </w:p>
        </w:tc>
        <w:tc>
          <w:tcPr>
            <w:tcW w:w="1120" w:type="dxa"/>
            <w:vAlign w:val="bottom"/>
            <w:tcBorders>
              <w:bottom w:val="single" w:sz="8" w:color="auto"/>
              <w:right w:val="single" w:sz="8" w:color="auto"/>
            </w:tcBorders>
            <w:vMerge w:val="continue"/>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60" w:type="dxa"/>
            <w:vAlign w:val="bottom"/>
            <w:tcBorders>
              <w:bottom w:val="single" w:sz="8" w:color="auto"/>
              <w:right w:val="single" w:sz="8" w:color="auto"/>
            </w:tcBorders>
            <w:vMerge w:val="continue"/>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60" w:type="dxa"/>
            <w:vAlign w:val="bottom"/>
            <w:tcBorders>
              <w:bottom w:val="single" w:sz="8" w:color="auto"/>
              <w:right w:val="single" w:sz="8" w:color="auto"/>
            </w:tcBorders>
            <w:vMerge w:val="continue"/>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140" w:type="dxa"/>
            <w:vAlign w:val="bottom"/>
            <w:tcBorders>
              <w:bottom w:val="single" w:sz="8" w:color="auto"/>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b w:val="1"/>
                <w:bCs w:val="1"/>
                <w:i w:val="1"/>
                <w:iCs w:val="1"/>
                <w:color w:val="auto"/>
              </w:rPr>
              <w:t>Pre-Tax Operating Earnings</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472.8</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356.3</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1,785.2</w:t>
            </w:r>
          </w:p>
        </w:tc>
        <w:tc>
          <w:tcPr>
            <w:tcW w:w="24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99"/>
              </w:rPr>
              <w:t>$</w:t>
            </w:r>
          </w:p>
        </w:tc>
        <w:tc>
          <w:tcPr>
            <w:tcW w:w="114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1,572.5</w:t>
            </w:r>
          </w:p>
        </w:tc>
        <w:tc>
          <w:tcPr>
            <w:tcW w:w="0" w:type="dxa"/>
            <w:vAlign w:val="bottom"/>
          </w:tcPr>
          <w:p>
            <w:pPr>
              <w:spacing w:after="0"/>
              <w:rPr>
                <w:sz w:val="1"/>
                <w:szCs w:val="1"/>
                <w:color w:val="auto"/>
              </w:rPr>
            </w:pPr>
          </w:p>
        </w:tc>
      </w:tr>
      <w:tr>
        <w:trPr>
          <w:trHeight w:val="324"/>
        </w:trPr>
        <w:tc>
          <w:tcPr>
            <w:tcW w:w="5120" w:type="dxa"/>
            <w:vAlign w:val="bottom"/>
            <w:tcBorders>
              <w:left w:val="single" w:sz="8" w:color="auto"/>
              <w:bottom w:val="single" w:sz="8" w:color="auto"/>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20" w:type="dxa"/>
            <w:vAlign w:val="bottom"/>
            <w:tcBorders>
              <w:bottom w:val="single" w:sz="8" w:color="auto"/>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512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b w:val="1"/>
                <w:bCs w:val="1"/>
                <w:i w:val="1"/>
                <w:iCs w:val="1"/>
                <w:color w:val="auto"/>
              </w:rPr>
              <w:t>Segment Pre-Tax Operating Earnings (Losses):</w:t>
            </w:r>
          </w:p>
        </w:tc>
        <w:tc>
          <w:tcPr>
            <w:tcW w:w="240" w:type="dxa"/>
            <w:vAlign w:val="bottom"/>
          </w:tcPr>
          <w:p>
            <w:pPr>
              <w:spacing w:after="0"/>
              <w:rPr>
                <w:sz w:val="20"/>
                <w:szCs w:val="20"/>
                <w:color w:val="auto"/>
              </w:rPr>
            </w:pPr>
          </w:p>
        </w:tc>
        <w:tc>
          <w:tcPr>
            <w:tcW w:w="1120" w:type="dxa"/>
            <w:vAlign w:val="bottom"/>
            <w:tcBorders>
              <w:right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220" w:type="dxa"/>
            <w:vAlign w:val="bottom"/>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240" w:type="dxa"/>
            <w:vAlign w:val="bottom"/>
          </w:tcPr>
          <w:p>
            <w:pPr>
              <w:spacing w:after="0"/>
              <w:rPr>
                <w:sz w:val="20"/>
                <w:szCs w:val="20"/>
                <w:color w:val="auto"/>
              </w:rPr>
            </w:pPr>
          </w:p>
        </w:tc>
        <w:tc>
          <w:tcPr>
            <w:tcW w:w="11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3"/>
        </w:trPr>
        <w:tc>
          <w:tcPr>
            <w:tcW w:w="5120" w:type="dxa"/>
            <w:vAlign w:val="bottom"/>
            <w:tcBorders>
              <w:left w:val="single" w:sz="8" w:color="auto"/>
              <w:bottom w:val="single" w:sz="8" w:color="auto"/>
              <w:right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4"/>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i w:val="1"/>
                <w:iCs w:val="1"/>
                <w:color w:val="auto"/>
              </w:rPr>
              <w:t>Retirement and Income Solutions</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244.2</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181.4</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99"/>
              </w:rPr>
              <w:t>$</w:t>
            </w: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857.3</w:t>
            </w:r>
          </w:p>
        </w:tc>
        <w:tc>
          <w:tcPr>
            <w:tcW w:w="24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color w:val="auto"/>
                <w:w w:val="99"/>
              </w:rPr>
              <w:t>$</w:t>
            </w:r>
          </w:p>
        </w:tc>
        <w:tc>
          <w:tcPr>
            <w:tcW w:w="114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718.6</w:t>
            </w: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i w:val="1"/>
                <w:iCs w:val="1"/>
                <w:color w:val="auto"/>
              </w:rPr>
              <w:t>Principal Global Investors</w:t>
            </w:r>
          </w:p>
        </w:tc>
        <w:tc>
          <w:tcPr>
            <w:tcW w:w="240" w:type="dxa"/>
            <w:vAlign w:val="bottom"/>
            <w:tcBorders>
              <w:bottom w:val="single" w:sz="8" w:color="auto"/>
            </w:tcBorders>
          </w:tcPr>
          <w:p>
            <w:pPr>
              <w:spacing w:after="0"/>
              <w:rPr>
                <w:sz w:val="21"/>
                <w:szCs w:val="21"/>
                <w:color w:val="auto"/>
              </w:rPr>
            </w:pP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100.0</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79.7</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464.1</w:t>
            </w:r>
          </w:p>
        </w:tc>
        <w:tc>
          <w:tcPr>
            <w:tcW w:w="240" w:type="dxa"/>
            <w:vAlign w:val="bottom"/>
            <w:tcBorders>
              <w:bottom w:val="single" w:sz="8" w:color="auto"/>
            </w:tcBorders>
          </w:tcPr>
          <w:p>
            <w:pPr>
              <w:spacing w:after="0"/>
              <w:rPr>
                <w:sz w:val="21"/>
                <w:szCs w:val="21"/>
                <w:color w:val="auto"/>
              </w:rPr>
            </w:pPr>
          </w:p>
        </w:tc>
        <w:tc>
          <w:tcPr>
            <w:tcW w:w="114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375.6</w:t>
            </w: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i w:val="1"/>
                <w:iCs w:val="1"/>
                <w:color w:val="auto"/>
              </w:rPr>
              <w:t>Principal International</w:t>
            </w:r>
          </w:p>
        </w:tc>
        <w:tc>
          <w:tcPr>
            <w:tcW w:w="240" w:type="dxa"/>
            <w:vAlign w:val="bottom"/>
            <w:tcBorders>
              <w:bottom w:val="single" w:sz="8" w:color="auto"/>
            </w:tcBorders>
          </w:tcPr>
          <w:p>
            <w:pPr>
              <w:spacing w:after="0"/>
              <w:rPr>
                <w:sz w:val="21"/>
                <w:szCs w:val="21"/>
                <w:color w:val="auto"/>
              </w:rPr>
            </w:pP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100.9</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68.0</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321.0</w:t>
            </w:r>
          </w:p>
        </w:tc>
        <w:tc>
          <w:tcPr>
            <w:tcW w:w="240" w:type="dxa"/>
            <w:vAlign w:val="bottom"/>
            <w:tcBorders>
              <w:bottom w:val="single" w:sz="8" w:color="auto"/>
            </w:tcBorders>
          </w:tcPr>
          <w:p>
            <w:pPr>
              <w:spacing w:after="0"/>
              <w:rPr>
                <w:sz w:val="21"/>
                <w:szCs w:val="21"/>
                <w:color w:val="auto"/>
              </w:rPr>
            </w:pPr>
          </w:p>
        </w:tc>
        <w:tc>
          <w:tcPr>
            <w:tcW w:w="114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258.5</w:t>
            </w: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i w:val="1"/>
                <w:iCs w:val="1"/>
                <w:color w:val="auto"/>
              </w:rPr>
              <w:t>U.S. Insurance Solutions</w:t>
            </w:r>
          </w:p>
        </w:tc>
        <w:tc>
          <w:tcPr>
            <w:tcW w:w="240" w:type="dxa"/>
            <w:vAlign w:val="bottom"/>
            <w:tcBorders>
              <w:bottom w:val="single" w:sz="8" w:color="auto"/>
            </w:tcBorders>
          </w:tcPr>
          <w:p>
            <w:pPr>
              <w:spacing w:after="0"/>
              <w:rPr>
                <w:sz w:val="21"/>
                <w:szCs w:val="21"/>
                <w:color w:val="auto"/>
              </w:rPr>
            </w:pP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86.2</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80.5</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366.9</w:t>
            </w:r>
          </w:p>
        </w:tc>
        <w:tc>
          <w:tcPr>
            <w:tcW w:w="240" w:type="dxa"/>
            <w:vAlign w:val="bottom"/>
            <w:tcBorders>
              <w:bottom w:val="single" w:sz="8" w:color="auto"/>
            </w:tcBorders>
          </w:tcPr>
          <w:p>
            <w:pPr>
              <w:spacing w:after="0"/>
              <w:rPr>
                <w:sz w:val="21"/>
                <w:szCs w:val="21"/>
                <w:color w:val="auto"/>
              </w:rPr>
            </w:pPr>
          </w:p>
        </w:tc>
        <w:tc>
          <w:tcPr>
            <w:tcW w:w="114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428.1</w:t>
            </w: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i w:val="1"/>
                <w:iCs w:val="1"/>
                <w:color w:val="auto"/>
              </w:rPr>
              <w:t>Corporate</w:t>
            </w:r>
          </w:p>
        </w:tc>
        <w:tc>
          <w:tcPr>
            <w:tcW w:w="240" w:type="dxa"/>
            <w:vAlign w:val="bottom"/>
            <w:tcBorders>
              <w:bottom w:val="single" w:sz="8" w:color="auto"/>
            </w:tcBorders>
          </w:tcPr>
          <w:p>
            <w:pPr>
              <w:spacing w:after="0"/>
              <w:rPr>
                <w:sz w:val="21"/>
                <w:szCs w:val="21"/>
                <w:color w:val="auto"/>
              </w:rPr>
            </w:pPr>
          </w:p>
        </w:tc>
        <w:tc>
          <w:tcPr>
            <w:tcW w:w="11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(58.5)</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(53.3)</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(224.1)</w:t>
            </w:r>
          </w:p>
        </w:tc>
        <w:tc>
          <w:tcPr>
            <w:tcW w:w="240" w:type="dxa"/>
            <w:vAlign w:val="bottom"/>
            <w:tcBorders>
              <w:bottom w:val="single" w:sz="8" w:color="auto"/>
            </w:tcBorders>
          </w:tcPr>
          <w:p>
            <w:pPr>
              <w:spacing w:after="0"/>
              <w:rPr>
                <w:sz w:val="21"/>
                <w:szCs w:val="21"/>
                <w:color w:val="auto"/>
              </w:rPr>
            </w:pPr>
          </w:p>
        </w:tc>
        <w:tc>
          <w:tcPr>
            <w:tcW w:w="114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(208.3)</w:t>
            </w: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b w:val="1"/>
                <w:bCs w:val="1"/>
                <w:i w:val="1"/>
                <w:iCs w:val="1"/>
                <w:color w:val="auto"/>
              </w:rPr>
              <w:t>Pre-Tax Operating Earnings</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472.8</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356.3</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1,785.2</w:t>
            </w:r>
          </w:p>
        </w:tc>
        <w:tc>
          <w:tcPr>
            <w:tcW w:w="240" w:type="dxa"/>
            <w:vAlign w:val="bottom"/>
            <w:tcBorders>
              <w:bottom w:val="single" w:sz="8" w:color="auto"/>
            </w:tcBorders>
          </w:tcPr>
          <w:p>
            <w:pPr>
              <w:jc w:val="center"/>
              <w:ind w:right="10"/>
              <w:spacing w:after="0"/>
              <w:rPr>
                <w:sz w:val="20"/>
                <w:szCs w:val="20"/>
                <w:color w:val="auto"/>
              </w:rPr>
            </w:pPr>
            <w:r>
              <w:rPr>
                <w:rFonts w:ascii="Arial" w:cs="Arial" w:eastAsia="Arial" w:hAnsi="Arial"/>
                <w:sz w:val="18"/>
                <w:szCs w:val="18"/>
                <w:b w:val="1"/>
                <w:bCs w:val="1"/>
                <w:color w:val="auto"/>
                <w:w w:val="99"/>
              </w:rPr>
              <w:t>$</w:t>
            </w:r>
          </w:p>
        </w:tc>
        <w:tc>
          <w:tcPr>
            <w:tcW w:w="114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1,572.5</w:t>
            </w:r>
          </w:p>
        </w:tc>
        <w:tc>
          <w:tcPr>
            <w:tcW w:w="0" w:type="dxa"/>
            <w:vAlign w:val="bottom"/>
          </w:tcPr>
          <w:p>
            <w:pPr>
              <w:spacing w:after="0"/>
              <w:rPr>
                <w:sz w:val="1"/>
                <w:szCs w:val="1"/>
                <w:color w:val="auto"/>
              </w:rPr>
            </w:pPr>
          </w:p>
        </w:tc>
      </w:tr>
      <w:tr>
        <w:trPr>
          <w:trHeight w:val="297"/>
        </w:trPr>
        <w:tc>
          <w:tcPr>
            <w:tcW w:w="5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4"/>
        </w:trPr>
        <w:tc>
          <w:tcPr>
            <w:tcW w:w="5120" w:type="dxa"/>
            <w:vAlign w:val="bottom"/>
            <w:tcBorders>
              <w:left w:val="single" w:sz="8" w:color="auto"/>
              <w:right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2400" w:type="dxa"/>
            <w:vAlign w:val="bottom"/>
            <w:tcBorders>
              <w:bottom w:val="single" w:sz="8" w:color="auto"/>
              <w:right w:val="single" w:sz="8" w:color="auto"/>
            </w:tcBorders>
            <w:gridSpan w:val="3"/>
          </w:tcPr>
          <w:p>
            <w:pPr>
              <w:jc w:val="center"/>
              <w:ind w:right="170"/>
              <w:spacing w:after="0"/>
              <w:rPr>
                <w:sz w:val="20"/>
                <w:szCs w:val="20"/>
                <w:color w:val="auto"/>
              </w:rPr>
            </w:pPr>
            <w:r>
              <w:rPr>
                <w:rFonts w:ascii="Arial" w:cs="Arial" w:eastAsia="Arial" w:hAnsi="Arial"/>
                <w:sz w:val="18"/>
                <w:szCs w:val="18"/>
                <w:b w:val="1"/>
                <w:bCs w:val="1"/>
                <w:color w:val="auto"/>
                <w:w w:val="99"/>
              </w:rPr>
              <w:t>Per Diluted Share</w:t>
            </w:r>
          </w:p>
        </w:tc>
        <w:tc>
          <w:tcPr>
            <w:tcW w:w="2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right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2400" w:type="dxa"/>
            <w:vAlign w:val="bottom"/>
            <w:tcBorders>
              <w:bottom w:val="single" w:sz="8" w:color="auto"/>
              <w:right w:val="single" w:sz="8" w:color="auto"/>
            </w:tcBorders>
            <w:gridSpan w:val="3"/>
          </w:tcPr>
          <w:p>
            <w:pPr>
              <w:jc w:val="center"/>
              <w:ind w:right="170"/>
              <w:spacing w:after="0"/>
              <w:rPr>
                <w:sz w:val="20"/>
                <w:szCs w:val="20"/>
                <w:color w:val="auto"/>
              </w:rPr>
            </w:pPr>
            <w:r>
              <w:rPr>
                <w:rFonts w:ascii="Arial" w:cs="Arial" w:eastAsia="Arial" w:hAnsi="Arial"/>
                <w:sz w:val="18"/>
                <w:szCs w:val="18"/>
                <w:i w:val="1"/>
                <w:iCs w:val="1"/>
                <w:color w:val="auto"/>
              </w:rPr>
              <w:t>Three Months Ended,</w:t>
            </w:r>
          </w:p>
        </w:tc>
        <w:tc>
          <w:tcPr>
            <w:tcW w:w="2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120" w:type="dxa"/>
            <w:vAlign w:val="bottom"/>
            <w:tcBorders>
              <w:bottom w:val="single" w:sz="8" w:color="auto"/>
              <w:right w:val="single" w:sz="8" w:color="auto"/>
            </w:tcBorders>
          </w:tcPr>
          <w:p>
            <w:pPr>
              <w:jc w:val="right"/>
              <w:ind w:right="310"/>
              <w:spacing w:after="0"/>
              <w:rPr>
                <w:sz w:val="20"/>
                <w:szCs w:val="20"/>
                <w:color w:val="auto"/>
              </w:rPr>
            </w:pPr>
            <w:r>
              <w:rPr>
                <w:rFonts w:ascii="Arial" w:cs="Arial" w:eastAsia="Arial" w:hAnsi="Arial"/>
                <w:sz w:val="18"/>
                <w:szCs w:val="18"/>
                <w:color w:val="auto"/>
              </w:rPr>
              <w:t>3/31/17</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270"/>
              <w:spacing w:after="0"/>
              <w:rPr>
                <w:sz w:val="20"/>
                <w:szCs w:val="20"/>
                <w:color w:val="auto"/>
              </w:rPr>
            </w:pPr>
            <w:r>
              <w:rPr>
                <w:rFonts w:ascii="Arial" w:cs="Arial" w:eastAsia="Arial" w:hAnsi="Arial"/>
                <w:sz w:val="18"/>
                <w:szCs w:val="18"/>
                <w:color w:val="auto"/>
              </w:rPr>
              <w:t>3/31/16</w:t>
            </w:r>
          </w:p>
        </w:tc>
        <w:tc>
          <w:tcPr>
            <w:tcW w:w="2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8"/>
                <w:szCs w:val="18"/>
                <w:b w:val="1"/>
                <w:bCs w:val="1"/>
                <w:i w:val="1"/>
                <w:iCs w:val="1"/>
                <w:color w:val="auto"/>
              </w:rPr>
              <w:t>Net income</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1.19</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1.25</w:t>
            </w:r>
          </w:p>
        </w:tc>
        <w:tc>
          <w:tcPr>
            <w:tcW w:w="2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8"/>
                <w:szCs w:val="18"/>
                <w:i w:val="1"/>
                <w:iCs w:val="1"/>
                <w:color w:val="auto"/>
              </w:rPr>
              <w:t>Net realized capital (gains) losses, as adjusted</w:t>
            </w:r>
          </w:p>
        </w:tc>
        <w:tc>
          <w:tcPr>
            <w:tcW w:w="240" w:type="dxa"/>
            <w:vAlign w:val="bottom"/>
            <w:tcBorders>
              <w:bottom w:val="single" w:sz="8" w:color="auto"/>
            </w:tcBorders>
          </w:tcPr>
          <w:p>
            <w:pPr>
              <w:spacing w:after="0"/>
              <w:rPr>
                <w:sz w:val="21"/>
                <w:szCs w:val="21"/>
                <w:color w:val="auto"/>
              </w:rPr>
            </w:pP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color w:val="auto"/>
              </w:rPr>
              <w:t>0.08</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8"/>
                <w:szCs w:val="18"/>
                <w:color w:val="auto"/>
              </w:rPr>
              <w:t>(0.28)</w:t>
            </w:r>
          </w:p>
        </w:tc>
        <w:tc>
          <w:tcPr>
            <w:tcW w:w="2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8"/>
                <w:szCs w:val="18"/>
                <w:b w:val="1"/>
                <w:bCs w:val="1"/>
                <w:i w:val="1"/>
                <w:iCs w:val="1"/>
                <w:color w:val="auto"/>
              </w:rPr>
              <w:t>Operating Earnings</w:t>
            </w:r>
          </w:p>
        </w:tc>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b w:val="1"/>
                <w:bCs w:val="1"/>
                <w:color w:val="auto"/>
                <w:w w:val="79"/>
              </w:rPr>
              <w:t>$</w:t>
            </w: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1.27</w:t>
            </w:r>
          </w:p>
        </w:tc>
        <w:tc>
          <w:tcPr>
            <w:tcW w:w="22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b w:val="1"/>
                <w:bCs w:val="1"/>
                <w:color w:val="auto"/>
                <w:w w:val="99"/>
              </w:rPr>
              <w:t>$</w:t>
            </w: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0.97</w:t>
            </w:r>
          </w:p>
        </w:tc>
        <w:tc>
          <w:tcPr>
            <w:tcW w:w="2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50"/>
        </w:trPr>
        <w:tc>
          <w:tcPr>
            <w:tcW w:w="512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8"/>
                <w:szCs w:val="18"/>
                <w:b w:val="1"/>
                <w:bCs w:val="1"/>
                <w:i w:val="1"/>
                <w:iCs w:val="1"/>
                <w:color w:val="auto"/>
              </w:rPr>
              <w:t>Weighted-average diluted common shares outstanding</w:t>
            </w:r>
          </w:p>
        </w:tc>
        <w:tc>
          <w:tcPr>
            <w:tcW w:w="240" w:type="dxa"/>
            <w:vAlign w:val="bottom"/>
            <w:tcBorders>
              <w:bottom w:val="single" w:sz="8" w:color="auto"/>
            </w:tcBorders>
          </w:tcPr>
          <w:p>
            <w:pPr>
              <w:spacing w:after="0"/>
              <w:rPr>
                <w:sz w:val="21"/>
                <w:szCs w:val="21"/>
                <w:color w:val="auto"/>
              </w:rPr>
            </w:pPr>
          </w:p>
        </w:tc>
        <w:tc>
          <w:tcPr>
            <w:tcW w:w="112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292.4</w:t>
            </w:r>
          </w:p>
        </w:tc>
        <w:tc>
          <w:tcPr>
            <w:tcW w:w="220" w:type="dxa"/>
            <w:vAlign w:val="bottom"/>
            <w:tcBorders>
              <w:bottom w:val="single" w:sz="8" w:color="auto"/>
            </w:tcBorders>
          </w:tcPr>
          <w:p>
            <w:pPr>
              <w:spacing w:after="0"/>
              <w:rPr>
                <w:sz w:val="21"/>
                <w:szCs w:val="21"/>
                <w:color w:val="auto"/>
              </w:rPr>
            </w:pPr>
          </w:p>
        </w:tc>
        <w:tc>
          <w:tcPr>
            <w:tcW w:w="1060" w:type="dxa"/>
            <w:vAlign w:val="bottom"/>
            <w:tcBorders>
              <w:bottom w:val="single" w:sz="8" w:color="auto"/>
              <w:right w:val="single" w:sz="8" w:color="auto"/>
            </w:tcBorders>
          </w:tcPr>
          <w:p>
            <w:pPr>
              <w:jc w:val="right"/>
              <w:ind w:right="30"/>
              <w:spacing w:after="0"/>
              <w:rPr>
                <w:sz w:val="20"/>
                <w:szCs w:val="20"/>
                <w:color w:val="auto"/>
              </w:rPr>
            </w:pPr>
            <w:r>
              <w:rPr>
                <w:rFonts w:ascii="Arial" w:cs="Arial" w:eastAsia="Arial" w:hAnsi="Arial"/>
                <w:sz w:val="18"/>
                <w:szCs w:val="18"/>
                <w:b w:val="1"/>
                <w:bCs w:val="1"/>
                <w:color w:val="auto"/>
              </w:rPr>
              <w:t>294.3</w:t>
            </w:r>
          </w:p>
        </w:tc>
        <w:tc>
          <w:tcPr>
            <w:tcW w:w="220" w:type="dxa"/>
            <w:vAlign w:val="bottom"/>
          </w:tcPr>
          <w:p>
            <w:pPr>
              <w:spacing w:after="0"/>
              <w:rPr>
                <w:sz w:val="21"/>
                <w:szCs w:val="21"/>
                <w:color w:val="auto"/>
              </w:rPr>
            </w:pPr>
          </w:p>
        </w:tc>
        <w:tc>
          <w:tcPr>
            <w:tcW w:w="106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4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*U.S. GAAP (GAAP) net income available to common stockholders versus operating earnings</w:t>
      </w:r>
    </w:p>
    <w:p>
      <w:pPr>
        <w:spacing w:after="0" w:line="132" w:lineRule="exact"/>
        <w:rPr>
          <w:sz w:val="20"/>
          <w:szCs w:val="20"/>
          <w:color w:val="auto"/>
        </w:rPr>
      </w:pPr>
    </w:p>
    <w:p>
      <w:pPr>
        <w:spacing w:after="0"/>
        <w:rPr>
          <w:sz w:val="20"/>
          <w:szCs w:val="20"/>
          <w:color w:val="auto"/>
        </w:rPr>
      </w:pPr>
      <w:r>
        <w:rPr>
          <w:rFonts w:ascii="Arial" w:cs="Arial" w:eastAsia="Arial" w:hAnsi="Arial"/>
          <w:sz w:val="20"/>
          <w:szCs w:val="20"/>
          <w:color w:val="auto"/>
        </w:rPr>
        <w:t>Management uses operating earnings, which is a non-GAAP financial measure that excludes the effect of net realized capital gains and losses, as adjusted, and other after-tax adjustments the company believes are not indicative of overall operating trends, for goal setting, as a basis for determining employee and senior management awards and compensation, and evaluating performance on a basis comparable to that used by investors and securities analysts. Note: it is possible these adjusting items have occurred in the past and could recur in future reporting periods. While these items may be significant components in understanding and assessing our consolidated financial performance, management believes the presentation of operating earnings enhances the understanding of results of operations by highlighting earnings attributable to the normal, ongoing operations of the company’s businesses.</w:t>
      </w:r>
    </w:p>
    <w:p>
      <w:pPr>
        <w:sectPr>
          <w:pgSz w:w="11900" w:h="16838" w:orient="portrait"/>
          <w:cols w:equalWidth="0" w:num="1">
            <w:col w:w="11380"/>
          </w:cols>
          <w:pgMar w:left="240" w:top="1297" w:right="279" w:bottom="1440" w:gutter="0" w:footer="0" w:header="0"/>
        </w:sectPr>
      </w:pPr>
    </w:p>
    <w:bookmarkStart w:id="10" w:name="page11"/>
    <w:bookmarkEnd w:id="10"/>
    <w:p>
      <w:pPr>
        <w:jc w:val="center"/>
        <w:ind w:right="60"/>
        <w:spacing w:after="0"/>
        <w:rPr>
          <w:sz w:val="20"/>
          <w:szCs w:val="20"/>
          <w:color w:val="auto"/>
        </w:rPr>
      </w:pPr>
      <w:r>
        <w:rPr>
          <w:rFonts w:ascii="Arial" w:cs="Arial" w:eastAsia="Arial" w:hAnsi="Arial"/>
          <w:sz w:val="18"/>
          <w:szCs w:val="18"/>
          <w:b w:val="1"/>
          <w:bCs w:val="1"/>
          <w:i w:val="1"/>
          <w:iCs w:val="1"/>
          <w:color w:val="auto"/>
        </w:rPr>
        <w:drawing>
          <wp:anchor simplePos="0" relativeHeight="251657728" behindDoc="1" locked="0" layoutInCell="0" allowOverlap="1">
            <wp:simplePos x="0" y="0"/>
            <wp:positionH relativeFrom="page">
              <wp:posOffset>5397500</wp:posOffset>
            </wp:positionH>
            <wp:positionV relativeFrom="page">
              <wp:posOffset>88900</wp:posOffset>
            </wp:positionV>
            <wp:extent cx="2006600" cy="5918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2006600" cy="591820"/>
                    </a:xfrm>
                    <a:prstGeom prst="rect">
                      <a:avLst/>
                    </a:prstGeom>
                    <a:noFill/>
                  </pic:spPr>
                </pic:pic>
              </a:graphicData>
            </a:graphic>
          </wp:anchor>
        </w:drawing>
        <w:t>Selected Balance Sheet Statistics</w:t>
      </w:r>
    </w:p>
    <w:p>
      <w:pPr>
        <w:spacing w:after="0" w:line="363" w:lineRule="exact"/>
        <w:rPr>
          <w:sz w:val="20"/>
          <w:szCs w:val="20"/>
          <w:color w:val="auto"/>
        </w:rPr>
      </w:pPr>
    </w:p>
    <w:tbl>
      <w:tblPr>
        <w:tblLayout w:type="fixed"/>
        <w:tblInd w:w="0" w:type="dxa"/>
        <w:tblCellMar>
          <w:top w:w="0" w:type="dxa"/>
          <w:left w:w="0" w:type="dxa"/>
          <w:bottom w:w="0" w:type="dxa"/>
          <w:right w:w="0" w:type="dxa"/>
        </w:tblCellMar>
      </w:tblPr>
      <w:tr>
        <w:trPr>
          <w:trHeight w:val="250"/>
        </w:trPr>
        <w:tc>
          <w:tcPr>
            <w:tcW w:w="8680" w:type="dxa"/>
            <w:vAlign w:val="bottom"/>
            <w:tcBorders>
              <w:right w:val="single" w:sz="8" w:color="auto"/>
            </w:tcBorders>
          </w:tcPr>
          <w:p>
            <w:pPr>
              <w:spacing w:after="0"/>
              <w:rPr>
                <w:sz w:val="21"/>
                <w:szCs w:val="21"/>
                <w:color w:val="auto"/>
              </w:rPr>
            </w:pPr>
          </w:p>
        </w:tc>
        <w:tc>
          <w:tcPr>
            <w:tcW w:w="240" w:type="dxa"/>
            <w:vAlign w:val="bottom"/>
            <w:tcBorders>
              <w:top w:val="single" w:sz="8" w:color="auto"/>
              <w:bottom w:val="single" w:sz="8" w:color="auto"/>
            </w:tcBorders>
          </w:tcPr>
          <w:p>
            <w:pPr>
              <w:spacing w:after="0"/>
              <w:rPr>
                <w:sz w:val="21"/>
                <w:szCs w:val="21"/>
                <w:color w:val="auto"/>
              </w:rPr>
            </w:pPr>
          </w:p>
        </w:tc>
        <w:tc>
          <w:tcPr>
            <w:tcW w:w="2480" w:type="dxa"/>
            <w:vAlign w:val="bottom"/>
            <w:tcBorders>
              <w:top w:val="single" w:sz="8" w:color="auto"/>
              <w:bottom w:val="single" w:sz="8" w:color="auto"/>
              <w:right w:val="single" w:sz="8" w:color="auto"/>
            </w:tcBorders>
            <w:gridSpan w:val="3"/>
          </w:tcPr>
          <w:p>
            <w:pPr>
              <w:jc w:val="right"/>
              <w:ind w:right="739"/>
              <w:spacing w:after="0"/>
              <w:rPr>
                <w:sz w:val="20"/>
                <w:szCs w:val="20"/>
                <w:color w:val="auto"/>
              </w:rPr>
            </w:pPr>
            <w:r>
              <w:rPr>
                <w:rFonts w:ascii="Arial" w:cs="Arial" w:eastAsia="Arial" w:hAnsi="Arial"/>
                <w:sz w:val="16"/>
                <w:szCs w:val="16"/>
                <w:b w:val="1"/>
                <w:bCs w:val="1"/>
                <w:color w:val="auto"/>
              </w:rPr>
              <w:t>Period Ended,</w:t>
            </w:r>
          </w:p>
        </w:tc>
      </w:tr>
      <w:tr>
        <w:trPr>
          <w:trHeight w:val="237"/>
        </w:trPr>
        <w:tc>
          <w:tcPr>
            <w:tcW w:w="8680" w:type="dxa"/>
            <w:vAlign w:val="bottom"/>
            <w:tcBorders>
              <w:right w:val="single" w:sz="8" w:color="auto"/>
            </w:tcBorders>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120" w:type="dxa"/>
            <w:vAlign w:val="bottom"/>
            <w:tcBorders>
              <w:bottom w:val="single" w:sz="8" w:color="auto"/>
              <w:right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3/31/17</w:t>
            </w:r>
          </w:p>
        </w:tc>
        <w:tc>
          <w:tcPr>
            <w:tcW w:w="220" w:type="dxa"/>
            <w:vAlign w:val="bottom"/>
            <w:tcBorders>
              <w:bottom w:val="single" w:sz="8" w:color="auto"/>
            </w:tcBorders>
          </w:tcPr>
          <w:p>
            <w:pPr>
              <w:spacing w:after="0"/>
              <w:rPr>
                <w:sz w:val="20"/>
                <w:szCs w:val="20"/>
                <w:color w:val="auto"/>
              </w:rPr>
            </w:pPr>
          </w:p>
        </w:tc>
        <w:tc>
          <w:tcPr>
            <w:tcW w:w="1140" w:type="dxa"/>
            <w:vAlign w:val="bottom"/>
            <w:tcBorders>
              <w:bottom w:val="single" w:sz="8" w:color="auto"/>
              <w:right w:val="single" w:sz="8" w:color="auto"/>
            </w:tcBorders>
          </w:tcPr>
          <w:p>
            <w:pPr>
              <w:jc w:val="right"/>
              <w:ind w:right="299"/>
              <w:spacing w:after="0"/>
              <w:rPr>
                <w:sz w:val="20"/>
                <w:szCs w:val="20"/>
                <w:color w:val="auto"/>
              </w:rPr>
            </w:pPr>
            <w:r>
              <w:rPr>
                <w:rFonts w:ascii="Arial" w:cs="Arial" w:eastAsia="Arial" w:hAnsi="Arial"/>
                <w:sz w:val="16"/>
                <w:szCs w:val="16"/>
                <w:b w:val="1"/>
                <w:bCs w:val="1"/>
                <w:color w:val="auto"/>
              </w:rPr>
              <w:t>12/31/16</w:t>
            </w:r>
          </w:p>
        </w:tc>
      </w:tr>
      <w:tr>
        <w:trPr>
          <w:trHeight w:val="224"/>
        </w:trPr>
        <w:tc>
          <w:tcPr>
            <w:tcW w:w="8680" w:type="dxa"/>
            <w:vAlign w:val="bottom"/>
          </w:tcPr>
          <w:p>
            <w:pPr>
              <w:spacing w:after="0"/>
              <w:rPr>
                <w:sz w:val="20"/>
                <w:szCs w:val="20"/>
                <w:color w:val="auto"/>
              </w:rPr>
            </w:pPr>
            <w:r>
              <w:rPr>
                <w:rFonts w:ascii="Arial" w:cs="Arial" w:eastAsia="Arial" w:hAnsi="Arial"/>
                <w:sz w:val="16"/>
                <w:szCs w:val="16"/>
                <w:color w:val="auto"/>
              </w:rPr>
              <w:t>Total assets (in billions)</w:t>
            </w:r>
          </w:p>
        </w:tc>
        <w:tc>
          <w:tcPr>
            <w:tcW w:w="240" w:type="dxa"/>
            <w:vAlign w:val="bottom"/>
          </w:tcPr>
          <w:p>
            <w:pPr>
              <w:jc w:val="right"/>
              <w:ind w:right="84"/>
              <w:spacing w:after="0"/>
              <w:rPr>
                <w:sz w:val="20"/>
                <w:szCs w:val="20"/>
                <w:color w:val="auto"/>
              </w:rPr>
            </w:pPr>
            <w:r>
              <w:rPr>
                <w:rFonts w:ascii="Arial" w:cs="Arial" w:eastAsia="Arial" w:hAnsi="Arial"/>
                <w:sz w:val="15"/>
                <w:szCs w:val="15"/>
                <w:color w:val="auto"/>
                <w:w w:val="71"/>
              </w:rPr>
              <w:t>$</w:t>
            </w:r>
          </w:p>
        </w:tc>
        <w:tc>
          <w:tcPr>
            <w:tcW w:w="1120" w:type="dxa"/>
            <w:vAlign w:val="bottom"/>
          </w:tcPr>
          <w:p>
            <w:pPr>
              <w:jc w:val="right"/>
              <w:ind w:right="59"/>
              <w:spacing w:after="0"/>
              <w:rPr>
                <w:sz w:val="20"/>
                <w:szCs w:val="20"/>
                <w:color w:val="auto"/>
              </w:rPr>
            </w:pPr>
            <w:r>
              <w:rPr>
                <w:rFonts w:ascii="Arial" w:cs="Arial" w:eastAsia="Arial" w:hAnsi="Arial"/>
                <w:sz w:val="16"/>
                <w:szCs w:val="16"/>
                <w:color w:val="auto"/>
              </w:rPr>
              <w:t>235.5</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228.0</w:t>
            </w:r>
          </w:p>
        </w:tc>
      </w:tr>
      <w:tr>
        <w:trPr>
          <w:trHeight w:val="243"/>
        </w:trPr>
        <w:tc>
          <w:tcPr>
            <w:tcW w:w="8680" w:type="dxa"/>
            <w:vAlign w:val="bottom"/>
          </w:tcPr>
          <w:p>
            <w:pPr>
              <w:spacing w:after="0"/>
              <w:rPr>
                <w:sz w:val="20"/>
                <w:szCs w:val="20"/>
                <w:color w:val="auto"/>
              </w:rPr>
            </w:pPr>
            <w:r>
              <w:rPr>
                <w:rFonts w:ascii="Arial" w:cs="Arial" w:eastAsia="Arial" w:hAnsi="Arial"/>
                <w:sz w:val="16"/>
                <w:szCs w:val="16"/>
                <w:color w:val="auto"/>
              </w:rPr>
              <w:t>Stockholders' equity (in millions)</w:t>
            </w:r>
          </w:p>
        </w:tc>
        <w:tc>
          <w:tcPr>
            <w:tcW w:w="240" w:type="dxa"/>
            <w:vAlign w:val="bottom"/>
          </w:tcPr>
          <w:p>
            <w:pPr>
              <w:jc w:val="right"/>
              <w:ind w:right="84"/>
              <w:spacing w:after="0"/>
              <w:rPr>
                <w:sz w:val="20"/>
                <w:szCs w:val="20"/>
                <w:color w:val="auto"/>
              </w:rPr>
            </w:pPr>
            <w:r>
              <w:rPr>
                <w:rFonts w:ascii="Arial" w:cs="Arial" w:eastAsia="Arial" w:hAnsi="Arial"/>
                <w:sz w:val="15"/>
                <w:szCs w:val="15"/>
                <w:color w:val="auto"/>
                <w:w w:val="71"/>
              </w:rPr>
              <w:t>$</w:t>
            </w:r>
          </w:p>
        </w:tc>
        <w:tc>
          <w:tcPr>
            <w:tcW w:w="1120" w:type="dxa"/>
            <w:vAlign w:val="bottom"/>
          </w:tcPr>
          <w:p>
            <w:pPr>
              <w:jc w:val="right"/>
              <w:ind w:right="59"/>
              <w:spacing w:after="0"/>
              <w:rPr>
                <w:sz w:val="20"/>
                <w:szCs w:val="20"/>
                <w:color w:val="auto"/>
              </w:rPr>
            </w:pPr>
            <w:r>
              <w:rPr>
                <w:rFonts w:ascii="Arial" w:cs="Arial" w:eastAsia="Arial" w:hAnsi="Arial"/>
                <w:sz w:val="16"/>
                <w:szCs w:val="16"/>
                <w:color w:val="auto"/>
              </w:rPr>
              <w:t>10,684.9</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10,293.8</w:t>
            </w:r>
          </w:p>
        </w:tc>
      </w:tr>
      <w:tr>
        <w:trPr>
          <w:trHeight w:val="243"/>
        </w:trPr>
        <w:tc>
          <w:tcPr>
            <w:tcW w:w="8680" w:type="dxa"/>
            <w:vAlign w:val="bottom"/>
          </w:tcPr>
          <w:p>
            <w:pPr>
              <w:spacing w:after="0"/>
              <w:rPr>
                <w:sz w:val="20"/>
                <w:szCs w:val="20"/>
                <w:color w:val="auto"/>
              </w:rPr>
            </w:pPr>
            <w:r>
              <w:rPr>
                <w:rFonts w:ascii="Arial" w:cs="Arial" w:eastAsia="Arial" w:hAnsi="Arial"/>
                <w:sz w:val="16"/>
                <w:szCs w:val="16"/>
                <w:color w:val="auto"/>
              </w:rPr>
              <w:t>Total common equity (in millions)</w:t>
            </w:r>
          </w:p>
        </w:tc>
        <w:tc>
          <w:tcPr>
            <w:tcW w:w="240" w:type="dxa"/>
            <w:vAlign w:val="bottom"/>
          </w:tcPr>
          <w:p>
            <w:pPr>
              <w:jc w:val="right"/>
              <w:ind w:right="84"/>
              <w:spacing w:after="0"/>
              <w:rPr>
                <w:sz w:val="20"/>
                <w:szCs w:val="20"/>
                <w:color w:val="auto"/>
              </w:rPr>
            </w:pPr>
            <w:r>
              <w:rPr>
                <w:rFonts w:ascii="Arial" w:cs="Arial" w:eastAsia="Arial" w:hAnsi="Arial"/>
                <w:sz w:val="15"/>
                <w:szCs w:val="15"/>
                <w:color w:val="auto"/>
                <w:w w:val="71"/>
              </w:rPr>
              <w:t>$</w:t>
            </w:r>
          </w:p>
        </w:tc>
        <w:tc>
          <w:tcPr>
            <w:tcW w:w="1120" w:type="dxa"/>
            <w:vAlign w:val="bottom"/>
          </w:tcPr>
          <w:p>
            <w:pPr>
              <w:jc w:val="right"/>
              <w:ind w:right="59"/>
              <w:spacing w:after="0"/>
              <w:rPr>
                <w:sz w:val="20"/>
                <w:szCs w:val="20"/>
                <w:color w:val="auto"/>
              </w:rPr>
            </w:pPr>
            <w:r>
              <w:rPr>
                <w:rFonts w:ascii="Arial" w:cs="Arial" w:eastAsia="Arial" w:hAnsi="Arial"/>
                <w:sz w:val="16"/>
                <w:szCs w:val="16"/>
                <w:color w:val="auto"/>
              </w:rPr>
              <w:t>10,616.1</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10,227.3</w:t>
            </w:r>
          </w:p>
        </w:tc>
      </w:tr>
      <w:tr>
        <w:trPr>
          <w:trHeight w:val="238"/>
        </w:trPr>
        <w:tc>
          <w:tcPr>
            <w:tcW w:w="8680" w:type="dxa"/>
            <w:vAlign w:val="bottom"/>
          </w:tcPr>
          <w:p>
            <w:pPr>
              <w:spacing w:after="0"/>
              <w:rPr>
                <w:sz w:val="20"/>
                <w:szCs w:val="20"/>
                <w:color w:val="auto"/>
              </w:rPr>
            </w:pPr>
            <w:r>
              <w:rPr>
                <w:rFonts w:ascii="Arial" w:cs="Arial" w:eastAsia="Arial" w:hAnsi="Arial"/>
                <w:sz w:val="16"/>
                <w:szCs w:val="16"/>
                <w:color w:val="auto"/>
              </w:rPr>
              <w:t>Total common equity excluding accumulated other comprehensive income (AOCI)</w:t>
            </w: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40" w:type="dxa"/>
            <w:vAlign w:val="bottom"/>
          </w:tcPr>
          <w:p>
            <w:pPr>
              <w:spacing w:after="0"/>
              <w:rPr>
                <w:sz w:val="20"/>
                <w:szCs w:val="20"/>
                <w:color w:val="auto"/>
              </w:rPr>
            </w:pPr>
          </w:p>
        </w:tc>
      </w:tr>
      <w:tr>
        <w:trPr>
          <w:trHeight w:val="195"/>
        </w:trPr>
        <w:tc>
          <w:tcPr>
            <w:tcW w:w="8680" w:type="dxa"/>
            <w:vAlign w:val="bottom"/>
          </w:tcPr>
          <w:p>
            <w:pPr>
              <w:ind w:left="320"/>
              <w:spacing w:after="0"/>
              <w:rPr>
                <w:sz w:val="20"/>
                <w:szCs w:val="20"/>
                <w:color w:val="auto"/>
              </w:rPr>
            </w:pPr>
            <w:r>
              <w:rPr>
                <w:rFonts w:ascii="Arial" w:cs="Arial" w:eastAsia="Arial" w:hAnsi="Arial"/>
                <w:sz w:val="16"/>
                <w:szCs w:val="16"/>
                <w:color w:val="auto"/>
              </w:rPr>
              <w:t>other than foreign currency translation adjustment (in millions)</w:t>
            </w:r>
          </w:p>
        </w:tc>
        <w:tc>
          <w:tcPr>
            <w:tcW w:w="240" w:type="dxa"/>
            <w:vAlign w:val="bottom"/>
          </w:tcPr>
          <w:p>
            <w:pPr>
              <w:jc w:val="right"/>
              <w:ind w:right="84"/>
              <w:spacing w:after="0"/>
              <w:rPr>
                <w:sz w:val="20"/>
                <w:szCs w:val="20"/>
                <w:color w:val="auto"/>
              </w:rPr>
            </w:pPr>
            <w:r>
              <w:rPr>
                <w:rFonts w:ascii="Arial" w:cs="Arial" w:eastAsia="Arial" w:hAnsi="Arial"/>
                <w:sz w:val="15"/>
                <w:szCs w:val="15"/>
                <w:color w:val="auto"/>
                <w:w w:val="71"/>
              </w:rPr>
              <w:t>$</w:t>
            </w:r>
          </w:p>
        </w:tc>
        <w:tc>
          <w:tcPr>
            <w:tcW w:w="1120" w:type="dxa"/>
            <w:vAlign w:val="bottom"/>
          </w:tcPr>
          <w:p>
            <w:pPr>
              <w:jc w:val="right"/>
              <w:ind w:right="59"/>
              <w:spacing w:after="0"/>
              <w:rPr>
                <w:sz w:val="20"/>
                <w:szCs w:val="20"/>
                <w:color w:val="auto"/>
              </w:rPr>
            </w:pPr>
            <w:r>
              <w:rPr>
                <w:rFonts w:ascii="Arial" w:cs="Arial" w:eastAsia="Arial" w:hAnsi="Arial"/>
                <w:sz w:val="16"/>
                <w:szCs w:val="16"/>
                <w:color w:val="auto"/>
              </w:rPr>
              <w:t>10,040.8</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9,808.7</w:t>
            </w:r>
          </w:p>
        </w:tc>
      </w:tr>
      <w:tr>
        <w:trPr>
          <w:trHeight w:val="243"/>
        </w:trPr>
        <w:tc>
          <w:tcPr>
            <w:tcW w:w="8680" w:type="dxa"/>
            <w:vAlign w:val="bottom"/>
          </w:tcPr>
          <w:p>
            <w:pPr>
              <w:spacing w:after="0"/>
              <w:rPr>
                <w:sz w:val="20"/>
                <w:szCs w:val="20"/>
                <w:color w:val="auto"/>
              </w:rPr>
            </w:pPr>
            <w:r>
              <w:rPr>
                <w:rFonts w:ascii="Arial" w:cs="Arial" w:eastAsia="Arial" w:hAnsi="Arial"/>
                <w:sz w:val="16"/>
                <w:szCs w:val="16"/>
                <w:color w:val="auto"/>
              </w:rPr>
              <w:t>End of period common shares outstanding (in millions)</w:t>
            </w:r>
          </w:p>
        </w:tc>
        <w:tc>
          <w:tcPr>
            <w:tcW w:w="240" w:type="dxa"/>
            <w:vAlign w:val="bottom"/>
          </w:tcPr>
          <w:p>
            <w:pPr>
              <w:spacing w:after="0"/>
              <w:rPr>
                <w:sz w:val="21"/>
                <w:szCs w:val="21"/>
                <w:color w:val="auto"/>
              </w:rPr>
            </w:pPr>
          </w:p>
        </w:tc>
        <w:tc>
          <w:tcPr>
            <w:tcW w:w="1120" w:type="dxa"/>
            <w:vAlign w:val="bottom"/>
          </w:tcPr>
          <w:p>
            <w:pPr>
              <w:jc w:val="right"/>
              <w:ind w:right="59"/>
              <w:spacing w:after="0"/>
              <w:rPr>
                <w:sz w:val="20"/>
                <w:szCs w:val="20"/>
                <w:color w:val="auto"/>
              </w:rPr>
            </w:pPr>
            <w:r>
              <w:rPr>
                <w:rFonts w:ascii="Arial" w:cs="Arial" w:eastAsia="Arial" w:hAnsi="Arial"/>
                <w:sz w:val="16"/>
                <w:szCs w:val="16"/>
                <w:color w:val="auto"/>
              </w:rPr>
              <w:t>288.1</w:t>
            </w:r>
          </w:p>
        </w:tc>
        <w:tc>
          <w:tcPr>
            <w:tcW w:w="220" w:type="dxa"/>
            <w:vAlign w:val="bottom"/>
          </w:tcPr>
          <w:p>
            <w:pPr>
              <w:spacing w:after="0"/>
              <w:rPr>
                <w:sz w:val="21"/>
                <w:szCs w:val="21"/>
                <w:color w:val="auto"/>
              </w:rPr>
            </w:pP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287.7</w:t>
            </w:r>
          </w:p>
        </w:tc>
      </w:tr>
      <w:tr>
        <w:trPr>
          <w:trHeight w:val="243"/>
        </w:trPr>
        <w:tc>
          <w:tcPr>
            <w:tcW w:w="8680" w:type="dxa"/>
            <w:vAlign w:val="bottom"/>
          </w:tcPr>
          <w:p>
            <w:pPr>
              <w:spacing w:after="0"/>
              <w:rPr>
                <w:sz w:val="20"/>
                <w:szCs w:val="20"/>
                <w:color w:val="auto"/>
              </w:rPr>
            </w:pPr>
            <w:r>
              <w:rPr>
                <w:rFonts w:ascii="Arial" w:cs="Arial" w:eastAsia="Arial" w:hAnsi="Arial"/>
                <w:sz w:val="16"/>
                <w:szCs w:val="16"/>
                <w:color w:val="auto"/>
              </w:rPr>
              <w:t>Book value per common share</w:t>
            </w:r>
          </w:p>
        </w:tc>
        <w:tc>
          <w:tcPr>
            <w:tcW w:w="240" w:type="dxa"/>
            <w:vAlign w:val="bottom"/>
          </w:tcPr>
          <w:p>
            <w:pPr>
              <w:jc w:val="right"/>
              <w:ind w:right="84"/>
              <w:spacing w:after="0"/>
              <w:rPr>
                <w:sz w:val="20"/>
                <w:szCs w:val="20"/>
                <w:color w:val="auto"/>
              </w:rPr>
            </w:pPr>
            <w:r>
              <w:rPr>
                <w:rFonts w:ascii="Arial" w:cs="Arial" w:eastAsia="Arial" w:hAnsi="Arial"/>
                <w:sz w:val="15"/>
                <w:szCs w:val="15"/>
                <w:color w:val="auto"/>
                <w:w w:val="71"/>
              </w:rPr>
              <w:t>$</w:t>
            </w:r>
          </w:p>
        </w:tc>
        <w:tc>
          <w:tcPr>
            <w:tcW w:w="1120" w:type="dxa"/>
            <w:vAlign w:val="bottom"/>
          </w:tcPr>
          <w:p>
            <w:pPr>
              <w:jc w:val="right"/>
              <w:ind w:right="59"/>
              <w:spacing w:after="0"/>
              <w:rPr>
                <w:sz w:val="20"/>
                <w:szCs w:val="20"/>
                <w:color w:val="auto"/>
              </w:rPr>
            </w:pPr>
            <w:r>
              <w:rPr>
                <w:rFonts w:ascii="Arial" w:cs="Arial" w:eastAsia="Arial" w:hAnsi="Arial"/>
                <w:sz w:val="16"/>
                <w:szCs w:val="16"/>
                <w:color w:val="auto"/>
              </w:rPr>
              <w:t>36.85</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35.55</w:t>
            </w:r>
          </w:p>
        </w:tc>
      </w:tr>
      <w:tr>
        <w:trPr>
          <w:trHeight w:val="237"/>
        </w:trPr>
        <w:tc>
          <w:tcPr>
            <w:tcW w:w="8680" w:type="dxa"/>
            <w:vAlign w:val="bottom"/>
          </w:tcPr>
          <w:p>
            <w:pPr>
              <w:spacing w:after="0"/>
              <w:rPr>
                <w:sz w:val="20"/>
                <w:szCs w:val="20"/>
                <w:color w:val="auto"/>
              </w:rPr>
            </w:pPr>
            <w:r>
              <w:rPr>
                <w:rFonts w:ascii="Arial" w:cs="Arial" w:eastAsia="Arial" w:hAnsi="Arial"/>
                <w:sz w:val="16"/>
                <w:szCs w:val="16"/>
                <w:color w:val="auto"/>
              </w:rPr>
              <w:t>Book value per common share excluding AOCI other than foreign currency translation</w:t>
            </w: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140" w:type="dxa"/>
            <w:vAlign w:val="bottom"/>
          </w:tcPr>
          <w:p>
            <w:pPr>
              <w:spacing w:after="0"/>
              <w:rPr>
                <w:sz w:val="20"/>
                <w:szCs w:val="20"/>
                <w:color w:val="auto"/>
              </w:rPr>
            </w:pPr>
          </w:p>
        </w:tc>
      </w:tr>
      <w:tr>
        <w:trPr>
          <w:trHeight w:val="195"/>
        </w:trPr>
        <w:tc>
          <w:tcPr>
            <w:tcW w:w="8680" w:type="dxa"/>
            <w:vAlign w:val="bottom"/>
          </w:tcPr>
          <w:p>
            <w:pPr>
              <w:ind w:left="320"/>
              <w:spacing w:after="0"/>
              <w:rPr>
                <w:sz w:val="20"/>
                <w:szCs w:val="20"/>
                <w:color w:val="auto"/>
              </w:rPr>
            </w:pPr>
            <w:r>
              <w:rPr>
                <w:rFonts w:ascii="Arial" w:cs="Arial" w:eastAsia="Arial" w:hAnsi="Arial"/>
                <w:sz w:val="16"/>
                <w:szCs w:val="16"/>
                <w:color w:val="auto"/>
              </w:rPr>
              <w:t>adjustment</w:t>
            </w:r>
          </w:p>
        </w:tc>
        <w:tc>
          <w:tcPr>
            <w:tcW w:w="240" w:type="dxa"/>
            <w:vAlign w:val="bottom"/>
          </w:tcPr>
          <w:p>
            <w:pPr>
              <w:jc w:val="right"/>
              <w:ind w:right="84"/>
              <w:spacing w:after="0"/>
              <w:rPr>
                <w:sz w:val="20"/>
                <w:szCs w:val="20"/>
                <w:color w:val="auto"/>
              </w:rPr>
            </w:pPr>
            <w:r>
              <w:rPr>
                <w:rFonts w:ascii="Arial" w:cs="Arial" w:eastAsia="Arial" w:hAnsi="Arial"/>
                <w:sz w:val="15"/>
                <w:szCs w:val="15"/>
                <w:color w:val="auto"/>
                <w:w w:val="71"/>
              </w:rPr>
              <w:t>$</w:t>
            </w:r>
          </w:p>
        </w:tc>
        <w:tc>
          <w:tcPr>
            <w:tcW w:w="1120" w:type="dxa"/>
            <w:vAlign w:val="bottom"/>
          </w:tcPr>
          <w:p>
            <w:pPr>
              <w:jc w:val="right"/>
              <w:ind w:right="59"/>
              <w:spacing w:after="0"/>
              <w:rPr>
                <w:sz w:val="20"/>
                <w:szCs w:val="20"/>
                <w:color w:val="auto"/>
              </w:rPr>
            </w:pPr>
            <w:r>
              <w:rPr>
                <w:rFonts w:ascii="Arial" w:cs="Arial" w:eastAsia="Arial" w:hAnsi="Arial"/>
                <w:sz w:val="16"/>
                <w:szCs w:val="16"/>
                <w:color w:val="auto"/>
              </w:rPr>
              <w:t>34.85</w:t>
            </w:r>
          </w:p>
        </w:tc>
        <w:tc>
          <w:tcPr>
            <w:tcW w:w="220" w:type="dxa"/>
            <w:vAlign w:val="bottom"/>
          </w:tcPr>
          <w:p>
            <w:pPr>
              <w:jc w:val="right"/>
              <w:ind w:right="39"/>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ind w:right="39"/>
              <w:spacing w:after="0"/>
              <w:rPr>
                <w:sz w:val="20"/>
                <w:szCs w:val="20"/>
                <w:color w:val="auto"/>
              </w:rPr>
            </w:pPr>
            <w:r>
              <w:rPr>
                <w:rFonts w:ascii="Arial" w:cs="Arial" w:eastAsia="Arial" w:hAnsi="Arial"/>
                <w:sz w:val="16"/>
                <w:szCs w:val="16"/>
                <w:color w:val="auto"/>
              </w:rPr>
              <w:t>34.09</w:t>
            </w:r>
          </w:p>
        </w:tc>
      </w:tr>
      <w:tr>
        <w:trPr>
          <w:trHeight w:val="528"/>
        </w:trPr>
        <w:tc>
          <w:tcPr>
            <w:tcW w:w="8680" w:type="dxa"/>
            <w:vAlign w:val="bottom"/>
          </w:tcPr>
          <w:p>
            <w:pPr>
              <w:jc w:val="center"/>
              <w:ind w:left="2579"/>
              <w:spacing w:after="0"/>
              <w:rPr>
                <w:sz w:val="20"/>
                <w:szCs w:val="20"/>
                <w:color w:val="auto"/>
              </w:rPr>
            </w:pPr>
            <w:r>
              <w:rPr>
                <w:rFonts w:ascii="Arial" w:cs="Arial" w:eastAsia="Arial" w:hAnsi="Arial"/>
                <w:sz w:val="16"/>
                <w:szCs w:val="16"/>
                <w:b w:val="1"/>
                <w:bCs w:val="1"/>
                <w:color w:val="auto"/>
              </w:rPr>
              <w:t>Principal Financial Group, Inc.</w:t>
            </w: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140" w:type="dxa"/>
            <w:vAlign w:val="bottom"/>
          </w:tcPr>
          <w:p>
            <w:pPr>
              <w:spacing w:after="0"/>
              <w:rPr>
                <w:sz w:val="24"/>
                <w:szCs w:val="24"/>
                <w:color w:val="auto"/>
              </w:rPr>
            </w:pPr>
          </w:p>
        </w:tc>
      </w:tr>
      <w:tr>
        <w:trPr>
          <w:trHeight w:val="189"/>
        </w:trPr>
        <w:tc>
          <w:tcPr>
            <w:tcW w:w="8680" w:type="dxa"/>
            <w:vAlign w:val="bottom"/>
          </w:tcPr>
          <w:p>
            <w:pPr>
              <w:jc w:val="center"/>
              <w:ind w:left="2599"/>
              <w:spacing w:after="0"/>
              <w:rPr>
                <w:sz w:val="20"/>
                <w:szCs w:val="20"/>
                <w:color w:val="auto"/>
              </w:rPr>
            </w:pPr>
            <w:r>
              <w:rPr>
                <w:rFonts w:ascii="Arial" w:cs="Arial" w:eastAsia="Arial" w:hAnsi="Arial"/>
                <w:sz w:val="16"/>
                <w:szCs w:val="16"/>
                <w:b w:val="1"/>
                <w:bCs w:val="1"/>
                <w:color w:val="auto"/>
              </w:rPr>
              <w:t>Reconciliation of U.S. GAAP to Non-GAAP Financial Measures</w:t>
            </w:r>
          </w:p>
        </w:tc>
        <w:tc>
          <w:tcPr>
            <w:tcW w:w="24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40" w:type="dxa"/>
            <w:vAlign w:val="bottom"/>
          </w:tcPr>
          <w:p>
            <w:pPr>
              <w:spacing w:after="0"/>
              <w:rPr>
                <w:sz w:val="16"/>
                <w:szCs w:val="16"/>
                <w:color w:val="auto"/>
              </w:rPr>
            </w:pPr>
          </w:p>
        </w:tc>
      </w:tr>
      <w:tr>
        <w:trPr>
          <w:trHeight w:val="215"/>
        </w:trPr>
        <w:tc>
          <w:tcPr>
            <w:tcW w:w="8680" w:type="dxa"/>
            <w:vAlign w:val="bottom"/>
          </w:tcPr>
          <w:p>
            <w:pPr>
              <w:jc w:val="center"/>
              <w:ind w:left="2579"/>
              <w:spacing w:after="0"/>
              <w:rPr>
                <w:sz w:val="20"/>
                <w:szCs w:val="20"/>
                <w:color w:val="auto"/>
              </w:rPr>
            </w:pPr>
            <w:r>
              <w:rPr>
                <w:rFonts w:ascii="Arial" w:cs="Arial" w:eastAsia="Arial" w:hAnsi="Arial"/>
                <w:sz w:val="16"/>
                <w:szCs w:val="16"/>
                <w:b w:val="1"/>
                <w:bCs w:val="1"/>
                <w:color w:val="auto"/>
              </w:rPr>
              <w:t>(in millions, except as indicated)</w:t>
            </w:r>
          </w:p>
        </w:tc>
        <w:tc>
          <w:tcPr>
            <w:tcW w:w="2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r>
    </w:tbl>
    <w:p>
      <w:pPr>
        <w:spacing w:after="0" w:line="297"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8420" w:type="dxa"/>
            <w:vAlign w:val="bottom"/>
            <w:tcBorders>
              <w:right w:val="single" w:sz="8" w:color="auto"/>
            </w:tcBorders>
          </w:tcPr>
          <w:p>
            <w:pPr>
              <w:spacing w:after="0"/>
              <w:rPr>
                <w:sz w:val="22"/>
                <w:szCs w:val="22"/>
                <w:color w:val="auto"/>
              </w:rPr>
            </w:pPr>
          </w:p>
        </w:tc>
        <w:tc>
          <w:tcPr>
            <w:tcW w:w="280" w:type="dxa"/>
            <w:vAlign w:val="bottom"/>
            <w:tcBorders>
              <w:top w:val="single" w:sz="8" w:color="auto"/>
              <w:bottom w:val="single" w:sz="8" w:color="auto"/>
            </w:tcBorders>
          </w:tcPr>
          <w:p>
            <w:pPr>
              <w:spacing w:after="0"/>
              <w:rPr>
                <w:sz w:val="22"/>
                <w:szCs w:val="22"/>
                <w:color w:val="auto"/>
              </w:rPr>
            </w:pPr>
          </w:p>
        </w:tc>
        <w:tc>
          <w:tcPr>
            <w:tcW w:w="2680" w:type="dxa"/>
            <w:vAlign w:val="bottom"/>
            <w:tcBorders>
              <w:top w:val="single" w:sz="8" w:color="auto"/>
              <w:bottom w:val="single" w:sz="8" w:color="auto"/>
              <w:right w:val="single" w:sz="8" w:color="auto"/>
            </w:tcBorders>
            <w:gridSpan w:val="3"/>
          </w:tcPr>
          <w:p>
            <w:pPr>
              <w:jc w:val="right"/>
              <w:ind w:right="859"/>
              <w:spacing w:after="0"/>
              <w:rPr>
                <w:sz w:val="20"/>
                <w:szCs w:val="20"/>
                <w:color w:val="auto"/>
              </w:rPr>
            </w:pPr>
            <w:r>
              <w:rPr>
                <w:rFonts w:ascii="Arial" w:cs="Arial" w:eastAsia="Arial" w:hAnsi="Arial"/>
                <w:sz w:val="16"/>
                <w:szCs w:val="16"/>
                <w:b w:val="1"/>
                <w:bCs w:val="1"/>
                <w:color w:val="auto"/>
              </w:rPr>
              <w:t>Period Ended</w:t>
            </w:r>
          </w:p>
        </w:tc>
        <w:tc>
          <w:tcPr>
            <w:tcW w:w="0" w:type="dxa"/>
            <w:vAlign w:val="bottom"/>
          </w:tcPr>
          <w:p>
            <w:pPr>
              <w:spacing w:after="0"/>
              <w:rPr>
                <w:sz w:val="1"/>
                <w:szCs w:val="1"/>
                <w:color w:val="auto"/>
              </w:rPr>
            </w:pPr>
          </w:p>
        </w:tc>
      </w:tr>
      <w:tr>
        <w:trPr>
          <w:trHeight w:val="250"/>
        </w:trPr>
        <w:tc>
          <w:tcPr>
            <w:tcW w:w="8420" w:type="dxa"/>
            <w:vAlign w:val="bottom"/>
            <w:tcBorders>
              <w:right w:val="single" w:sz="8" w:color="auto"/>
            </w:tcBorders>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1220" w:type="dxa"/>
            <w:vAlign w:val="bottom"/>
            <w:tcBorders>
              <w:bottom w:val="single" w:sz="8" w:color="auto"/>
              <w:right w:val="single" w:sz="8" w:color="auto"/>
            </w:tcBorders>
          </w:tcPr>
          <w:p>
            <w:pPr>
              <w:jc w:val="right"/>
              <w:ind w:right="419"/>
              <w:spacing w:after="0"/>
              <w:rPr>
                <w:sz w:val="20"/>
                <w:szCs w:val="20"/>
                <w:color w:val="auto"/>
              </w:rPr>
            </w:pPr>
            <w:r>
              <w:rPr>
                <w:rFonts w:ascii="Arial" w:cs="Arial" w:eastAsia="Arial" w:hAnsi="Arial"/>
                <w:sz w:val="16"/>
                <w:szCs w:val="16"/>
                <w:b w:val="1"/>
                <w:bCs w:val="1"/>
                <w:color w:val="auto"/>
              </w:rPr>
              <w:t>3/31/17</w:t>
            </w:r>
          </w:p>
        </w:tc>
        <w:tc>
          <w:tcPr>
            <w:tcW w:w="240" w:type="dxa"/>
            <w:vAlign w:val="bottom"/>
            <w:tcBorders>
              <w:bottom w:val="single" w:sz="8" w:color="auto"/>
            </w:tcBorders>
          </w:tcPr>
          <w:p>
            <w:pPr>
              <w:spacing w:after="0"/>
              <w:rPr>
                <w:sz w:val="21"/>
                <w:szCs w:val="21"/>
                <w:color w:val="auto"/>
              </w:rPr>
            </w:pPr>
          </w:p>
        </w:tc>
        <w:tc>
          <w:tcPr>
            <w:tcW w:w="1220" w:type="dxa"/>
            <w:vAlign w:val="bottom"/>
            <w:tcBorders>
              <w:bottom w:val="single" w:sz="8" w:color="auto"/>
              <w:right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12/31/16</w:t>
            </w:r>
          </w:p>
        </w:tc>
        <w:tc>
          <w:tcPr>
            <w:tcW w:w="0" w:type="dxa"/>
            <w:vAlign w:val="bottom"/>
          </w:tcPr>
          <w:p>
            <w:pPr>
              <w:spacing w:after="0"/>
              <w:rPr>
                <w:sz w:val="1"/>
                <w:szCs w:val="1"/>
                <w:color w:val="auto"/>
              </w:rPr>
            </w:pPr>
          </w:p>
        </w:tc>
      </w:tr>
      <w:tr>
        <w:trPr>
          <w:trHeight w:val="184"/>
        </w:trPr>
        <w:tc>
          <w:tcPr>
            <w:tcW w:w="8420" w:type="dxa"/>
            <w:vAlign w:val="bottom"/>
          </w:tcPr>
          <w:p>
            <w:pPr>
              <w:spacing w:after="0"/>
              <w:rPr>
                <w:sz w:val="20"/>
                <w:szCs w:val="20"/>
                <w:color w:val="auto"/>
              </w:rPr>
            </w:pPr>
            <w:r>
              <w:rPr>
                <w:rFonts w:ascii="Arial" w:cs="Arial" w:eastAsia="Arial" w:hAnsi="Arial"/>
                <w:sz w:val="16"/>
                <w:szCs w:val="16"/>
                <w:b w:val="1"/>
                <w:bCs w:val="1"/>
                <w:color w:val="auto"/>
              </w:rPr>
              <w:t>Stockholders’ Equity, Excluding AOCI Other Than Foreign Currency Translation</w:t>
            </w:r>
          </w:p>
        </w:tc>
        <w:tc>
          <w:tcPr>
            <w:tcW w:w="28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5"/>
        </w:trPr>
        <w:tc>
          <w:tcPr>
            <w:tcW w:w="8420" w:type="dxa"/>
            <w:vAlign w:val="bottom"/>
          </w:tcPr>
          <w:p>
            <w:pPr>
              <w:ind w:left="660"/>
              <w:spacing w:after="0"/>
              <w:rPr>
                <w:sz w:val="20"/>
                <w:szCs w:val="20"/>
                <w:color w:val="auto"/>
              </w:rPr>
            </w:pPr>
            <w:r>
              <w:rPr>
                <w:rFonts w:ascii="Arial" w:cs="Arial" w:eastAsia="Arial" w:hAnsi="Arial"/>
                <w:sz w:val="16"/>
                <w:szCs w:val="16"/>
                <w:b w:val="1"/>
                <w:bCs w:val="1"/>
                <w:color w:val="auto"/>
              </w:rPr>
              <w:t>Adjustment, Available to Common Stockholders:</w:t>
            </w:r>
          </w:p>
        </w:tc>
        <w:tc>
          <w:tcPr>
            <w:tcW w:w="2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8420" w:type="dxa"/>
            <w:vAlign w:val="bottom"/>
          </w:tcPr>
          <w:p>
            <w:pPr>
              <w:spacing w:after="0"/>
              <w:rPr>
                <w:sz w:val="20"/>
                <w:szCs w:val="20"/>
                <w:color w:val="auto"/>
              </w:rPr>
            </w:pPr>
            <w:r>
              <w:rPr>
                <w:rFonts w:ascii="Arial" w:cs="Arial" w:eastAsia="Arial" w:hAnsi="Arial"/>
                <w:sz w:val="16"/>
                <w:szCs w:val="16"/>
                <w:color w:val="auto"/>
              </w:rPr>
              <w:t>Stockholders’ equity</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59"/>
              <w:spacing w:after="0"/>
              <w:rPr>
                <w:sz w:val="20"/>
                <w:szCs w:val="20"/>
                <w:color w:val="auto"/>
              </w:rPr>
            </w:pPr>
            <w:r>
              <w:rPr>
                <w:rFonts w:ascii="Arial" w:cs="Arial" w:eastAsia="Arial" w:hAnsi="Arial"/>
                <w:sz w:val="16"/>
                <w:szCs w:val="16"/>
                <w:color w:val="auto"/>
              </w:rPr>
              <w:t>10,684.9</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10,293.8</w:t>
            </w:r>
          </w:p>
        </w:tc>
        <w:tc>
          <w:tcPr>
            <w:tcW w:w="0" w:type="dxa"/>
            <w:vAlign w:val="bottom"/>
          </w:tcPr>
          <w:p>
            <w:pPr>
              <w:spacing w:after="0"/>
              <w:rPr>
                <w:sz w:val="1"/>
                <w:szCs w:val="1"/>
                <w:color w:val="auto"/>
              </w:rPr>
            </w:pPr>
          </w:p>
        </w:tc>
      </w:tr>
      <w:tr>
        <w:trPr>
          <w:trHeight w:val="256"/>
        </w:trPr>
        <w:tc>
          <w:tcPr>
            <w:tcW w:w="8420" w:type="dxa"/>
            <w:vAlign w:val="bottom"/>
          </w:tcPr>
          <w:p>
            <w:pPr>
              <w:spacing w:after="0"/>
              <w:rPr>
                <w:sz w:val="20"/>
                <w:szCs w:val="20"/>
                <w:color w:val="auto"/>
              </w:rPr>
            </w:pPr>
            <w:r>
              <w:rPr>
                <w:rFonts w:ascii="Arial" w:cs="Arial" w:eastAsia="Arial" w:hAnsi="Arial"/>
                <w:sz w:val="16"/>
                <w:szCs w:val="16"/>
                <w:color w:val="auto"/>
              </w:rPr>
              <w:t>Noncontrolling interest</w:t>
            </w:r>
          </w:p>
        </w:tc>
        <w:tc>
          <w:tcPr>
            <w:tcW w:w="28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(68.8)</w:t>
            </w:r>
          </w:p>
        </w:tc>
        <w:tc>
          <w:tcPr>
            <w:tcW w:w="2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(66.5)</w:t>
            </w:r>
          </w:p>
        </w:tc>
        <w:tc>
          <w:tcPr>
            <w:tcW w:w="0" w:type="dxa"/>
            <w:vAlign w:val="bottom"/>
          </w:tcPr>
          <w:p>
            <w:pPr>
              <w:spacing w:after="0"/>
              <w:rPr>
                <w:sz w:val="1"/>
                <w:szCs w:val="1"/>
                <w:color w:val="auto"/>
              </w:rPr>
            </w:pPr>
          </w:p>
        </w:tc>
      </w:tr>
      <w:tr>
        <w:trPr>
          <w:trHeight w:val="224"/>
        </w:trPr>
        <w:tc>
          <w:tcPr>
            <w:tcW w:w="8420" w:type="dxa"/>
            <w:vAlign w:val="bottom"/>
          </w:tcPr>
          <w:p>
            <w:pPr>
              <w:spacing w:after="0"/>
              <w:rPr>
                <w:sz w:val="20"/>
                <w:szCs w:val="20"/>
                <w:color w:val="auto"/>
              </w:rPr>
            </w:pPr>
            <w:r>
              <w:rPr>
                <w:rFonts w:ascii="Arial" w:cs="Arial" w:eastAsia="Arial" w:hAnsi="Arial"/>
                <w:sz w:val="16"/>
                <w:szCs w:val="16"/>
                <w:color w:val="auto"/>
              </w:rPr>
              <w:t>Stockholders’ equity available to common stockholders</w:t>
            </w:r>
          </w:p>
        </w:tc>
        <w:tc>
          <w:tcPr>
            <w:tcW w:w="280" w:type="dxa"/>
            <w:vAlign w:val="bottom"/>
          </w:tcPr>
          <w:p>
            <w:pPr>
              <w:spacing w:after="0"/>
              <w:rPr>
                <w:sz w:val="19"/>
                <w:szCs w:val="19"/>
                <w:color w:val="auto"/>
              </w:rPr>
            </w:pPr>
          </w:p>
        </w:tc>
        <w:tc>
          <w:tcPr>
            <w:tcW w:w="1220" w:type="dxa"/>
            <w:vAlign w:val="bottom"/>
          </w:tcPr>
          <w:p>
            <w:pPr>
              <w:jc w:val="right"/>
              <w:ind w:right="59"/>
              <w:spacing w:after="0"/>
              <w:rPr>
                <w:sz w:val="20"/>
                <w:szCs w:val="20"/>
                <w:color w:val="auto"/>
              </w:rPr>
            </w:pPr>
            <w:r>
              <w:rPr>
                <w:rFonts w:ascii="Arial" w:cs="Arial" w:eastAsia="Arial" w:hAnsi="Arial"/>
                <w:sz w:val="16"/>
                <w:szCs w:val="16"/>
                <w:color w:val="auto"/>
              </w:rPr>
              <w:t>10,616.1</w:t>
            </w:r>
          </w:p>
        </w:tc>
        <w:tc>
          <w:tcPr>
            <w:tcW w:w="240" w:type="dxa"/>
            <w:vAlign w:val="bottom"/>
          </w:tcPr>
          <w:p>
            <w:pPr>
              <w:spacing w:after="0"/>
              <w:rPr>
                <w:sz w:val="19"/>
                <w:szCs w:val="19"/>
                <w:color w:val="auto"/>
              </w:rPr>
            </w:pPr>
          </w:p>
        </w:tc>
        <w:tc>
          <w:tcPr>
            <w:tcW w:w="1220" w:type="dxa"/>
            <w:vAlign w:val="bottom"/>
          </w:tcPr>
          <w:p>
            <w:pPr>
              <w:jc w:val="right"/>
              <w:ind w:right="39"/>
              <w:spacing w:after="0"/>
              <w:rPr>
                <w:sz w:val="20"/>
                <w:szCs w:val="20"/>
                <w:color w:val="auto"/>
              </w:rPr>
            </w:pPr>
            <w:r>
              <w:rPr>
                <w:rFonts w:ascii="Arial" w:cs="Arial" w:eastAsia="Arial" w:hAnsi="Arial"/>
                <w:sz w:val="16"/>
                <w:szCs w:val="16"/>
                <w:color w:val="auto"/>
              </w:rPr>
              <w:t>10,227.3</w:t>
            </w:r>
          </w:p>
        </w:tc>
        <w:tc>
          <w:tcPr>
            <w:tcW w:w="0" w:type="dxa"/>
            <w:vAlign w:val="bottom"/>
          </w:tcPr>
          <w:p>
            <w:pPr>
              <w:spacing w:after="0"/>
              <w:rPr>
                <w:sz w:val="1"/>
                <w:szCs w:val="1"/>
                <w:color w:val="auto"/>
              </w:rPr>
            </w:pPr>
          </w:p>
        </w:tc>
      </w:tr>
      <w:tr>
        <w:trPr>
          <w:trHeight w:val="243"/>
        </w:trPr>
        <w:tc>
          <w:tcPr>
            <w:tcW w:w="8420" w:type="dxa"/>
            <w:vAlign w:val="bottom"/>
          </w:tcPr>
          <w:p>
            <w:pPr>
              <w:spacing w:after="0"/>
              <w:rPr>
                <w:sz w:val="20"/>
                <w:szCs w:val="20"/>
                <w:color w:val="auto"/>
              </w:rPr>
            </w:pPr>
            <w:r>
              <w:rPr>
                <w:rFonts w:ascii="Arial" w:cs="Arial" w:eastAsia="Arial" w:hAnsi="Arial"/>
                <w:sz w:val="16"/>
                <w:szCs w:val="16"/>
                <w:color w:val="auto"/>
              </w:rPr>
              <w:t>Net unrealized capital (gains) losses</w:t>
            </w:r>
          </w:p>
        </w:tc>
        <w:tc>
          <w:tcPr>
            <w:tcW w:w="28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(979.4)</w:t>
            </w:r>
          </w:p>
        </w:tc>
        <w:tc>
          <w:tcPr>
            <w:tcW w:w="240" w:type="dxa"/>
            <w:vAlign w:val="bottom"/>
          </w:tcPr>
          <w:p>
            <w:pPr>
              <w:spacing w:after="0"/>
              <w:rPr>
                <w:sz w:val="21"/>
                <w:szCs w:val="21"/>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(827.0)</w:t>
            </w:r>
          </w:p>
        </w:tc>
        <w:tc>
          <w:tcPr>
            <w:tcW w:w="0" w:type="dxa"/>
            <w:vAlign w:val="bottom"/>
          </w:tcPr>
          <w:p>
            <w:pPr>
              <w:spacing w:after="0"/>
              <w:rPr>
                <w:sz w:val="1"/>
                <w:szCs w:val="1"/>
                <w:color w:val="auto"/>
              </w:rPr>
            </w:pPr>
          </w:p>
        </w:tc>
      </w:tr>
      <w:tr>
        <w:trPr>
          <w:trHeight w:val="256"/>
        </w:trPr>
        <w:tc>
          <w:tcPr>
            <w:tcW w:w="8420" w:type="dxa"/>
            <w:vAlign w:val="bottom"/>
          </w:tcPr>
          <w:p>
            <w:pPr>
              <w:spacing w:after="0"/>
              <w:rPr>
                <w:sz w:val="20"/>
                <w:szCs w:val="20"/>
                <w:color w:val="auto"/>
              </w:rPr>
            </w:pPr>
            <w:r>
              <w:rPr>
                <w:rFonts w:ascii="Arial" w:cs="Arial" w:eastAsia="Arial" w:hAnsi="Arial"/>
                <w:sz w:val="16"/>
                <w:szCs w:val="16"/>
                <w:color w:val="auto"/>
              </w:rPr>
              <w:t>Net unrecognized postretirement benefit obligation</w:t>
            </w:r>
          </w:p>
        </w:tc>
        <w:tc>
          <w:tcPr>
            <w:tcW w:w="28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404.1</w:t>
            </w:r>
          </w:p>
        </w:tc>
        <w:tc>
          <w:tcPr>
            <w:tcW w:w="2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408.4</w:t>
            </w:r>
          </w:p>
        </w:tc>
        <w:tc>
          <w:tcPr>
            <w:tcW w:w="0" w:type="dxa"/>
            <w:vAlign w:val="bottom"/>
          </w:tcPr>
          <w:p>
            <w:pPr>
              <w:spacing w:after="0"/>
              <w:rPr>
                <w:sz w:val="1"/>
                <w:szCs w:val="1"/>
                <w:color w:val="auto"/>
              </w:rPr>
            </w:pPr>
          </w:p>
        </w:tc>
      </w:tr>
      <w:tr>
        <w:trPr>
          <w:trHeight w:val="204"/>
        </w:trPr>
        <w:tc>
          <w:tcPr>
            <w:tcW w:w="8420" w:type="dxa"/>
            <w:vAlign w:val="bottom"/>
          </w:tcPr>
          <w:p>
            <w:pPr>
              <w:spacing w:after="0"/>
              <w:rPr>
                <w:sz w:val="20"/>
                <w:szCs w:val="20"/>
                <w:color w:val="auto"/>
              </w:rPr>
            </w:pPr>
            <w:r>
              <w:rPr>
                <w:rFonts w:ascii="Arial" w:cs="Arial" w:eastAsia="Arial" w:hAnsi="Arial"/>
                <w:sz w:val="16"/>
                <w:szCs w:val="16"/>
                <w:color w:val="auto"/>
              </w:rPr>
              <w:t>Stockholders' equity, excluding AOCI other than foreign currency translation adjustment, available to common</w:t>
            </w:r>
          </w:p>
        </w:tc>
        <w:tc>
          <w:tcPr>
            <w:tcW w:w="280" w:type="dxa"/>
            <w:vAlign w:val="bottom"/>
            <w:vMerge w:val="restart"/>
          </w:tcPr>
          <w:p>
            <w:pPr>
              <w:jc w:val="right"/>
              <w:ind w:right="99"/>
              <w:spacing w:after="0"/>
              <w:rPr>
                <w:sz w:val="20"/>
                <w:szCs w:val="20"/>
                <w:color w:val="auto"/>
              </w:rPr>
            </w:pPr>
            <w:r>
              <w:rPr>
                <w:rFonts w:ascii="Arial" w:cs="Arial" w:eastAsia="Arial" w:hAnsi="Arial"/>
                <w:sz w:val="16"/>
                <w:szCs w:val="16"/>
                <w:color w:val="auto"/>
                <w:w w:val="89"/>
              </w:rPr>
              <w:t>$</w:t>
            </w:r>
          </w:p>
        </w:tc>
        <w:tc>
          <w:tcPr>
            <w:tcW w:w="1220" w:type="dxa"/>
            <w:vAlign w:val="bottom"/>
            <w:vMerge w:val="restart"/>
          </w:tcPr>
          <w:p>
            <w:pPr>
              <w:jc w:val="right"/>
              <w:ind w:right="59"/>
              <w:spacing w:after="0"/>
              <w:rPr>
                <w:sz w:val="20"/>
                <w:szCs w:val="20"/>
                <w:color w:val="auto"/>
              </w:rPr>
            </w:pPr>
            <w:r>
              <w:rPr>
                <w:rFonts w:ascii="Arial" w:cs="Arial" w:eastAsia="Arial" w:hAnsi="Arial"/>
                <w:sz w:val="16"/>
                <w:szCs w:val="16"/>
                <w:color w:val="auto"/>
              </w:rPr>
              <w:t>10,040.8</w:t>
            </w:r>
          </w:p>
        </w:tc>
        <w:tc>
          <w:tcPr>
            <w:tcW w:w="240" w:type="dxa"/>
            <w:vAlign w:val="bottom"/>
            <w:vMerge w:val="restart"/>
          </w:tcPr>
          <w:p>
            <w:pPr>
              <w:jc w:val="right"/>
              <w:ind w:right="59"/>
              <w:spacing w:after="0"/>
              <w:rPr>
                <w:sz w:val="20"/>
                <w:szCs w:val="20"/>
                <w:color w:val="auto"/>
              </w:rPr>
            </w:pPr>
            <w:r>
              <w:rPr>
                <w:rFonts w:ascii="Arial" w:cs="Arial" w:eastAsia="Arial" w:hAnsi="Arial"/>
                <w:sz w:val="16"/>
                <w:szCs w:val="16"/>
                <w:color w:val="auto"/>
                <w:w w:val="89"/>
              </w:rPr>
              <w:t>$</w:t>
            </w:r>
          </w:p>
        </w:tc>
        <w:tc>
          <w:tcPr>
            <w:tcW w:w="1220" w:type="dxa"/>
            <w:vAlign w:val="bottom"/>
            <w:vMerge w:val="restart"/>
          </w:tcPr>
          <w:p>
            <w:pPr>
              <w:jc w:val="right"/>
              <w:ind w:right="39"/>
              <w:spacing w:after="0"/>
              <w:rPr>
                <w:sz w:val="20"/>
                <w:szCs w:val="20"/>
                <w:color w:val="auto"/>
              </w:rPr>
            </w:pPr>
            <w:r>
              <w:rPr>
                <w:rFonts w:ascii="Arial" w:cs="Arial" w:eastAsia="Arial" w:hAnsi="Arial"/>
                <w:sz w:val="16"/>
                <w:szCs w:val="16"/>
                <w:color w:val="auto"/>
              </w:rPr>
              <w:t>9,808.7</w:t>
            </w:r>
          </w:p>
        </w:tc>
        <w:tc>
          <w:tcPr>
            <w:tcW w:w="0" w:type="dxa"/>
            <w:vAlign w:val="bottom"/>
          </w:tcPr>
          <w:p>
            <w:pPr>
              <w:spacing w:after="0"/>
              <w:rPr>
                <w:sz w:val="1"/>
                <w:szCs w:val="1"/>
                <w:color w:val="auto"/>
              </w:rPr>
            </w:pPr>
          </w:p>
        </w:tc>
      </w:tr>
      <w:tr>
        <w:trPr>
          <w:trHeight w:val="203"/>
        </w:trPr>
        <w:tc>
          <w:tcPr>
            <w:tcW w:w="8420" w:type="dxa"/>
            <w:vAlign w:val="bottom"/>
          </w:tcPr>
          <w:p>
            <w:pPr>
              <w:spacing w:after="0"/>
              <w:rPr>
                <w:sz w:val="20"/>
                <w:szCs w:val="20"/>
                <w:color w:val="auto"/>
              </w:rPr>
            </w:pPr>
            <w:r>
              <w:rPr>
                <w:rFonts w:ascii="Arial" w:cs="Arial" w:eastAsia="Arial" w:hAnsi="Arial"/>
                <w:sz w:val="16"/>
                <w:szCs w:val="16"/>
                <w:color w:val="auto"/>
              </w:rPr>
              <w:t>stockholders</w:t>
            </w:r>
          </w:p>
        </w:tc>
        <w:tc>
          <w:tcPr>
            <w:tcW w:w="280" w:type="dxa"/>
            <w:vAlign w:val="bottom"/>
            <w:tcBorders>
              <w:bottom w:val="single" w:sz="8" w:color="auto"/>
            </w:tcBorders>
            <w:vMerge w:val="continue"/>
          </w:tcPr>
          <w:p>
            <w:pPr>
              <w:spacing w:after="0"/>
              <w:rPr>
                <w:sz w:val="17"/>
                <w:szCs w:val="17"/>
                <w:color w:val="auto"/>
              </w:rPr>
            </w:pPr>
          </w:p>
        </w:tc>
        <w:tc>
          <w:tcPr>
            <w:tcW w:w="1220" w:type="dxa"/>
            <w:vAlign w:val="bottom"/>
            <w:tcBorders>
              <w:bottom w:val="single" w:sz="8" w:color="auto"/>
            </w:tcBorders>
            <w:vMerge w:val="continue"/>
          </w:tcPr>
          <w:p>
            <w:pPr>
              <w:spacing w:after="0"/>
              <w:rPr>
                <w:sz w:val="17"/>
                <w:szCs w:val="17"/>
                <w:color w:val="auto"/>
              </w:rPr>
            </w:pPr>
          </w:p>
        </w:tc>
        <w:tc>
          <w:tcPr>
            <w:tcW w:w="240" w:type="dxa"/>
            <w:vAlign w:val="bottom"/>
            <w:tcBorders>
              <w:bottom w:val="single" w:sz="8" w:color="auto"/>
            </w:tcBorders>
            <w:vMerge w:val="continue"/>
          </w:tcPr>
          <w:p>
            <w:pPr>
              <w:spacing w:after="0"/>
              <w:rPr>
                <w:sz w:val="17"/>
                <w:szCs w:val="17"/>
                <w:color w:val="auto"/>
              </w:rPr>
            </w:pPr>
          </w:p>
        </w:tc>
        <w:tc>
          <w:tcPr>
            <w:tcW w:w="122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4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8400" w:type="dxa"/>
            <w:vAlign w:val="bottom"/>
          </w:tcPr>
          <w:p>
            <w:pPr>
              <w:spacing w:after="0"/>
              <w:rPr>
                <w:sz w:val="20"/>
                <w:szCs w:val="20"/>
                <w:color w:val="auto"/>
              </w:rPr>
            </w:pPr>
            <w:r>
              <w:rPr>
                <w:rFonts w:ascii="Arial" w:cs="Arial" w:eastAsia="Arial" w:hAnsi="Arial"/>
                <w:sz w:val="16"/>
                <w:szCs w:val="16"/>
                <w:b w:val="1"/>
                <w:bCs w:val="1"/>
                <w:color w:val="auto"/>
              </w:rPr>
              <w:t>Book Value Per Common Share, Excluding AOCI Other Than Foreign Currency Translation Adjustment:</w:t>
            </w:r>
          </w:p>
        </w:tc>
        <w:tc>
          <w:tcPr>
            <w:tcW w:w="560" w:type="dxa"/>
            <w:vAlign w:val="bottom"/>
          </w:tcPr>
          <w:p>
            <w:pPr>
              <w:spacing w:after="0"/>
              <w:rPr>
                <w:sz w:val="18"/>
                <w:szCs w:val="18"/>
                <w:color w:val="auto"/>
              </w:rPr>
            </w:pPr>
          </w:p>
        </w:tc>
        <w:tc>
          <w:tcPr>
            <w:tcW w:w="9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920" w:type="dxa"/>
            <w:vAlign w:val="bottom"/>
          </w:tcPr>
          <w:p>
            <w:pPr>
              <w:spacing w:after="0"/>
              <w:rPr>
                <w:sz w:val="18"/>
                <w:szCs w:val="18"/>
                <w:color w:val="auto"/>
              </w:rPr>
            </w:pPr>
          </w:p>
        </w:tc>
      </w:tr>
      <w:tr>
        <w:trPr>
          <w:trHeight w:val="243"/>
        </w:trPr>
        <w:tc>
          <w:tcPr>
            <w:tcW w:w="8400" w:type="dxa"/>
            <w:vAlign w:val="bottom"/>
          </w:tcPr>
          <w:p>
            <w:pPr>
              <w:spacing w:after="0"/>
              <w:rPr>
                <w:sz w:val="20"/>
                <w:szCs w:val="20"/>
                <w:color w:val="auto"/>
              </w:rPr>
            </w:pPr>
            <w:r>
              <w:rPr>
                <w:rFonts w:ascii="Arial" w:cs="Arial" w:eastAsia="Arial" w:hAnsi="Arial"/>
                <w:sz w:val="16"/>
                <w:szCs w:val="16"/>
                <w:color w:val="auto"/>
              </w:rPr>
              <w:t>Book value per common share</w:t>
            </w:r>
          </w:p>
        </w:tc>
        <w:tc>
          <w:tcPr>
            <w:tcW w:w="560" w:type="dxa"/>
            <w:vAlign w:val="bottom"/>
          </w:tcPr>
          <w:p>
            <w:pPr>
              <w:jc w:val="right"/>
              <w:ind w:right="359"/>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36.85</w:t>
            </w:r>
          </w:p>
        </w:tc>
        <w:tc>
          <w:tcPr>
            <w:tcW w:w="560" w:type="dxa"/>
            <w:vAlign w:val="bottom"/>
          </w:tcPr>
          <w:p>
            <w:pPr>
              <w:jc w:val="right"/>
              <w:ind w:right="339"/>
              <w:spacing w:after="0"/>
              <w:rPr>
                <w:sz w:val="20"/>
                <w:szCs w:val="20"/>
                <w:color w:val="auto"/>
              </w:rPr>
            </w:pPr>
            <w:r>
              <w:rPr>
                <w:rFonts w:ascii="Arial" w:cs="Arial" w:eastAsia="Arial" w:hAnsi="Arial"/>
                <w:sz w:val="16"/>
                <w:szCs w:val="16"/>
                <w:color w:val="auto"/>
              </w:rPr>
              <w:t>$</w:t>
            </w:r>
          </w:p>
        </w:tc>
        <w:tc>
          <w:tcPr>
            <w:tcW w:w="920" w:type="dxa"/>
            <w:vAlign w:val="bottom"/>
          </w:tcPr>
          <w:p>
            <w:pPr>
              <w:jc w:val="right"/>
              <w:ind w:right="19"/>
              <w:spacing w:after="0"/>
              <w:rPr>
                <w:sz w:val="20"/>
                <w:szCs w:val="20"/>
                <w:color w:val="auto"/>
              </w:rPr>
            </w:pPr>
            <w:r>
              <w:rPr>
                <w:rFonts w:ascii="Arial" w:cs="Arial" w:eastAsia="Arial" w:hAnsi="Arial"/>
                <w:sz w:val="16"/>
                <w:szCs w:val="16"/>
                <w:color w:val="auto"/>
              </w:rPr>
              <w:t>35.55</w:t>
            </w:r>
          </w:p>
        </w:tc>
      </w:tr>
      <w:tr>
        <w:trPr>
          <w:trHeight w:val="243"/>
        </w:trPr>
        <w:tc>
          <w:tcPr>
            <w:tcW w:w="8400" w:type="dxa"/>
            <w:vAlign w:val="bottom"/>
          </w:tcPr>
          <w:p>
            <w:pPr>
              <w:spacing w:after="0"/>
              <w:rPr>
                <w:sz w:val="20"/>
                <w:szCs w:val="20"/>
                <w:color w:val="auto"/>
              </w:rPr>
            </w:pPr>
            <w:r>
              <w:rPr>
                <w:rFonts w:ascii="Arial" w:cs="Arial" w:eastAsia="Arial" w:hAnsi="Arial"/>
                <w:sz w:val="16"/>
                <w:szCs w:val="16"/>
                <w:color w:val="auto"/>
              </w:rPr>
              <w:t>Net unrealized capital (gains) losses</w:t>
            </w:r>
          </w:p>
        </w:tc>
        <w:tc>
          <w:tcPr>
            <w:tcW w:w="5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(3.40)</w:t>
            </w:r>
          </w:p>
        </w:tc>
        <w:tc>
          <w:tcPr>
            <w:tcW w:w="560" w:type="dxa"/>
            <w:vAlign w:val="bottom"/>
          </w:tcPr>
          <w:p>
            <w:pPr>
              <w:spacing w:after="0"/>
              <w:rPr>
                <w:sz w:val="21"/>
                <w:szCs w:val="21"/>
                <w:color w:val="auto"/>
              </w:rPr>
            </w:pPr>
          </w:p>
        </w:tc>
        <w:tc>
          <w:tcPr>
            <w:tcW w:w="920" w:type="dxa"/>
            <w:vAlign w:val="bottom"/>
          </w:tcPr>
          <w:p>
            <w:pPr>
              <w:jc w:val="right"/>
              <w:spacing w:after="0"/>
              <w:rPr>
                <w:sz w:val="20"/>
                <w:szCs w:val="20"/>
                <w:color w:val="auto"/>
              </w:rPr>
            </w:pPr>
            <w:r>
              <w:rPr>
                <w:rFonts w:ascii="Arial" w:cs="Arial" w:eastAsia="Arial" w:hAnsi="Arial"/>
                <w:sz w:val="16"/>
                <w:szCs w:val="16"/>
                <w:color w:val="auto"/>
              </w:rPr>
              <w:t>(2.88)</w:t>
            </w:r>
          </w:p>
        </w:tc>
      </w:tr>
      <w:tr>
        <w:trPr>
          <w:trHeight w:val="256"/>
        </w:trPr>
        <w:tc>
          <w:tcPr>
            <w:tcW w:w="8400" w:type="dxa"/>
            <w:vAlign w:val="bottom"/>
          </w:tcPr>
          <w:p>
            <w:pPr>
              <w:spacing w:after="0"/>
              <w:rPr>
                <w:sz w:val="20"/>
                <w:szCs w:val="20"/>
                <w:color w:val="auto"/>
              </w:rPr>
            </w:pPr>
            <w:r>
              <w:rPr>
                <w:rFonts w:ascii="Arial" w:cs="Arial" w:eastAsia="Arial" w:hAnsi="Arial"/>
                <w:sz w:val="16"/>
                <w:szCs w:val="16"/>
                <w:color w:val="auto"/>
              </w:rPr>
              <w:t>Net unrecognized postretirement benefit obligation</w:t>
            </w:r>
          </w:p>
        </w:tc>
        <w:tc>
          <w:tcPr>
            <w:tcW w:w="56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1.40</w:t>
            </w:r>
          </w:p>
        </w:tc>
        <w:tc>
          <w:tcPr>
            <w:tcW w:w="560" w:type="dxa"/>
            <w:vAlign w:val="bottom"/>
            <w:tcBorders>
              <w:bottom w:val="single" w:sz="8" w:color="auto"/>
            </w:tcBorders>
          </w:tcPr>
          <w:p>
            <w:pPr>
              <w:spacing w:after="0"/>
              <w:rPr>
                <w:sz w:val="22"/>
                <w:szCs w:val="22"/>
                <w:color w:val="auto"/>
              </w:rPr>
            </w:pPr>
          </w:p>
        </w:tc>
        <w:tc>
          <w:tcPr>
            <w:tcW w:w="9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1.42</w:t>
            </w:r>
          </w:p>
        </w:tc>
      </w:tr>
      <w:tr>
        <w:trPr>
          <w:trHeight w:val="240"/>
        </w:trPr>
        <w:tc>
          <w:tcPr>
            <w:tcW w:w="8400" w:type="dxa"/>
            <w:vAlign w:val="bottom"/>
          </w:tcPr>
          <w:p>
            <w:pPr>
              <w:spacing w:after="0"/>
              <w:rPr>
                <w:sz w:val="20"/>
                <w:szCs w:val="20"/>
                <w:color w:val="auto"/>
              </w:rPr>
            </w:pPr>
            <w:r>
              <w:rPr>
                <w:rFonts w:ascii="Arial" w:cs="Arial" w:eastAsia="Arial" w:hAnsi="Arial"/>
                <w:sz w:val="16"/>
                <w:szCs w:val="16"/>
                <w:color w:val="auto"/>
              </w:rPr>
              <w:t>Book value per common share, excluding AOCI other than foreign currency translation adjustment</w:t>
            </w:r>
          </w:p>
        </w:tc>
        <w:tc>
          <w:tcPr>
            <w:tcW w:w="560" w:type="dxa"/>
            <w:vAlign w:val="bottom"/>
            <w:tcBorders>
              <w:bottom w:val="single" w:sz="8" w:color="auto"/>
            </w:tcBorders>
          </w:tcPr>
          <w:p>
            <w:pPr>
              <w:jc w:val="right"/>
              <w:ind w:right="359"/>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34.85</w:t>
            </w:r>
          </w:p>
        </w:tc>
        <w:tc>
          <w:tcPr>
            <w:tcW w:w="56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34.09</w:t>
            </w:r>
          </w:p>
        </w:tc>
      </w:tr>
      <w:tr>
        <w:trPr>
          <w:trHeight w:val="20"/>
        </w:trPr>
        <w:tc>
          <w:tcPr>
            <w:tcW w:w="8400" w:type="dxa"/>
            <w:vAlign w:val="bottom"/>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56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r>
    </w:tbl>
    <w:p>
      <w:pPr>
        <w:sectPr>
          <w:pgSz w:w="11900" w:h="16838" w:orient="portrait"/>
          <w:cols w:equalWidth="0" w:num="1">
            <w:col w:w="11400"/>
          </w:cols>
          <w:pgMar w:left="280" w:top="1292" w:right="219" w:bottom="1440" w:gutter="0" w:footer="0" w:header="0"/>
        </w:sectPr>
      </w:pPr>
    </w:p>
    <w:bookmarkStart w:id="11" w:name="page12"/>
    <w:bookmarkEnd w:id="11"/>
    <w:p>
      <w:pPr>
        <w:jc w:val="center"/>
        <w:ind w:right="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5397500</wp:posOffset>
            </wp:positionH>
            <wp:positionV relativeFrom="page">
              <wp:posOffset>88900</wp:posOffset>
            </wp:positionV>
            <wp:extent cx="2006600" cy="5918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2006600" cy="591820"/>
                    </a:xfrm>
                    <a:prstGeom prst="rect">
                      <a:avLst/>
                    </a:prstGeom>
                    <a:noFill/>
                  </pic:spPr>
                </pic:pic>
              </a:graphicData>
            </a:graphic>
          </wp:anchor>
        </w:drawing>
        <w:t>Principal Financial Group, Inc.</w:t>
      </w:r>
    </w:p>
    <w:p>
      <w:pPr>
        <w:spacing w:after="0" w:line="31" w:lineRule="exact"/>
        <w:rPr>
          <w:sz w:val="20"/>
          <w:szCs w:val="20"/>
          <w:color w:val="auto"/>
        </w:rPr>
      </w:pPr>
    </w:p>
    <w:p>
      <w:pPr>
        <w:jc w:val="center"/>
        <w:ind w:right="60"/>
        <w:spacing w:after="0"/>
        <w:rPr>
          <w:sz w:val="20"/>
          <w:szCs w:val="20"/>
          <w:color w:val="auto"/>
        </w:rPr>
      </w:pPr>
      <w:r>
        <w:rPr>
          <w:rFonts w:ascii="Arial" w:cs="Arial" w:eastAsia="Arial" w:hAnsi="Arial"/>
          <w:sz w:val="18"/>
          <w:szCs w:val="18"/>
          <w:b w:val="1"/>
          <w:bCs w:val="1"/>
          <w:color w:val="auto"/>
        </w:rPr>
        <w:t>Reconciliation of U.S. GAAP to Non-GAAP Financial Measures</w:t>
      </w:r>
    </w:p>
    <w:p>
      <w:pPr>
        <w:spacing w:after="0" w:line="9" w:lineRule="exact"/>
        <w:rPr>
          <w:sz w:val="20"/>
          <w:szCs w:val="20"/>
          <w:color w:val="auto"/>
        </w:rPr>
      </w:pPr>
    </w:p>
    <w:p>
      <w:pPr>
        <w:jc w:val="center"/>
        <w:ind w:right="60"/>
        <w:spacing w:after="0"/>
        <w:rPr>
          <w:sz w:val="20"/>
          <w:szCs w:val="20"/>
          <w:color w:val="auto"/>
        </w:rPr>
      </w:pPr>
      <w:r>
        <w:rPr>
          <w:rFonts w:ascii="Arial" w:cs="Arial" w:eastAsia="Arial" w:hAnsi="Arial"/>
          <w:sz w:val="18"/>
          <w:szCs w:val="18"/>
          <w:b w:val="1"/>
          <w:bCs w:val="1"/>
          <w:color w:val="auto"/>
        </w:rPr>
        <w:t>(in millions)</w:t>
      </w:r>
    </w:p>
    <w:p>
      <w:pPr>
        <w:spacing w:after="0" w:line="125"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5020" w:type="dxa"/>
            <w:vAlign w:val="bottom"/>
            <w:tcBorders>
              <w:right w:val="single" w:sz="8" w:color="auto"/>
            </w:tcBorders>
          </w:tcPr>
          <w:p>
            <w:pPr>
              <w:spacing w:after="0"/>
              <w:rPr>
                <w:sz w:val="22"/>
                <w:szCs w:val="22"/>
                <w:color w:val="auto"/>
              </w:rPr>
            </w:pPr>
          </w:p>
        </w:tc>
        <w:tc>
          <w:tcPr>
            <w:tcW w:w="220" w:type="dxa"/>
            <w:vAlign w:val="bottom"/>
            <w:tcBorders>
              <w:top w:val="single" w:sz="8" w:color="auto"/>
              <w:bottom w:val="single" w:sz="8" w:color="auto"/>
            </w:tcBorders>
          </w:tcPr>
          <w:p>
            <w:pPr>
              <w:spacing w:after="0"/>
              <w:rPr>
                <w:sz w:val="22"/>
                <w:szCs w:val="22"/>
                <w:color w:val="auto"/>
              </w:rPr>
            </w:pPr>
          </w:p>
        </w:tc>
        <w:tc>
          <w:tcPr>
            <w:tcW w:w="2460" w:type="dxa"/>
            <w:vAlign w:val="bottom"/>
            <w:tcBorders>
              <w:top w:val="single" w:sz="8" w:color="auto"/>
              <w:bottom w:val="single" w:sz="8" w:color="auto"/>
              <w:right w:val="single" w:sz="8" w:color="auto"/>
            </w:tcBorders>
            <w:gridSpan w:val="3"/>
          </w:tcPr>
          <w:p>
            <w:pPr>
              <w:jc w:val="right"/>
              <w:ind w:right="459"/>
              <w:spacing w:after="0"/>
              <w:rPr>
                <w:sz w:val="20"/>
                <w:szCs w:val="20"/>
                <w:color w:val="auto"/>
              </w:rPr>
            </w:pPr>
            <w:r>
              <w:rPr>
                <w:rFonts w:ascii="Arial" w:cs="Arial" w:eastAsia="Arial" w:hAnsi="Arial"/>
                <w:sz w:val="16"/>
                <w:szCs w:val="16"/>
                <w:b w:val="1"/>
                <w:bCs w:val="1"/>
                <w:color w:val="auto"/>
              </w:rPr>
              <w:t>Three Months Ended,</w:t>
            </w:r>
          </w:p>
        </w:tc>
        <w:tc>
          <w:tcPr>
            <w:tcW w:w="240" w:type="dxa"/>
            <w:vAlign w:val="bottom"/>
            <w:tcBorders>
              <w:top w:val="single" w:sz="8" w:color="auto"/>
              <w:bottom w:val="single" w:sz="8" w:color="auto"/>
            </w:tcBorders>
          </w:tcPr>
          <w:p>
            <w:pPr>
              <w:spacing w:after="0"/>
              <w:rPr>
                <w:sz w:val="22"/>
                <w:szCs w:val="22"/>
                <w:color w:val="auto"/>
              </w:rPr>
            </w:pPr>
          </w:p>
        </w:tc>
        <w:tc>
          <w:tcPr>
            <w:tcW w:w="2460" w:type="dxa"/>
            <w:vAlign w:val="bottom"/>
            <w:tcBorders>
              <w:top w:val="single" w:sz="8" w:color="auto"/>
              <w:bottom w:val="single" w:sz="8" w:color="auto"/>
              <w:right w:val="single" w:sz="8" w:color="auto"/>
            </w:tcBorders>
            <w:gridSpan w:val="3"/>
          </w:tcPr>
          <w:p>
            <w:pPr>
              <w:jc w:val="right"/>
              <w:ind w:right="359"/>
              <w:spacing w:after="0"/>
              <w:rPr>
                <w:sz w:val="20"/>
                <w:szCs w:val="20"/>
                <w:color w:val="auto"/>
              </w:rPr>
            </w:pPr>
            <w:r>
              <w:rPr>
                <w:rFonts w:ascii="Arial" w:cs="Arial" w:eastAsia="Arial" w:hAnsi="Arial"/>
                <w:sz w:val="16"/>
                <w:szCs w:val="16"/>
                <w:b w:val="1"/>
                <w:bCs w:val="1"/>
                <w:color w:val="auto"/>
              </w:rPr>
              <w:t>Trailing Twelve Months,</w:t>
            </w:r>
          </w:p>
        </w:tc>
        <w:tc>
          <w:tcPr>
            <w:tcW w:w="0" w:type="dxa"/>
            <w:vAlign w:val="bottom"/>
          </w:tcPr>
          <w:p>
            <w:pPr>
              <w:spacing w:after="0"/>
              <w:rPr>
                <w:sz w:val="1"/>
                <w:szCs w:val="1"/>
                <w:color w:val="auto"/>
              </w:rPr>
            </w:pPr>
          </w:p>
        </w:tc>
      </w:tr>
      <w:tr>
        <w:trPr>
          <w:trHeight w:val="250"/>
        </w:trPr>
        <w:tc>
          <w:tcPr>
            <w:tcW w:w="5020" w:type="dxa"/>
            <w:vAlign w:val="bottom"/>
            <w:tcBorders>
              <w:right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1100" w:type="dxa"/>
            <w:vAlign w:val="bottom"/>
            <w:tcBorders>
              <w:bottom w:val="single" w:sz="8" w:color="auto"/>
              <w:right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3/31/17</w:t>
            </w:r>
          </w:p>
        </w:tc>
        <w:tc>
          <w:tcPr>
            <w:tcW w:w="240" w:type="dxa"/>
            <w:vAlign w:val="bottom"/>
            <w:tcBorders>
              <w:bottom w:val="single" w:sz="8" w:color="auto"/>
            </w:tcBorders>
          </w:tcPr>
          <w:p>
            <w:pPr>
              <w:spacing w:after="0"/>
              <w:rPr>
                <w:sz w:val="21"/>
                <w:szCs w:val="21"/>
                <w:color w:val="auto"/>
              </w:rPr>
            </w:pPr>
          </w:p>
        </w:tc>
        <w:tc>
          <w:tcPr>
            <w:tcW w:w="1120" w:type="dxa"/>
            <w:vAlign w:val="bottom"/>
            <w:tcBorders>
              <w:bottom w:val="single" w:sz="8" w:color="auto"/>
              <w:right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3/31/16</w:t>
            </w:r>
          </w:p>
        </w:tc>
        <w:tc>
          <w:tcPr>
            <w:tcW w:w="240" w:type="dxa"/>
            <w:vAlign w:val="bottom"/>
            <w:tcBorders>
              <w:bottom w:val="single" w:sz="8" w:color="auto"/>
            </w:tcBorders>
          </w:tcPr>
          <w:p>
            <w:pPr>
              <w:spacing w:after="0"/>
              <w:rPr>
                <w:sz w:val="21"/>
                <w:szCs w:val="21"/>
                <w:color w:val="auto"/>
              </w:rPr>
            </w:pPr>
          </w:p>
        </w:tc>
        <w:tc>
          <w:tcPr>
            <w:tcW w:w="1100" w:type="dxa"/>
            <w:vAlign w:val="bottom"/>
            <w:tcBorders>
              <w:bottom w:val="single" w:sz="8" w:color="auto"/>
              <w:right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3/31/17</w:t>
            </w:r>
          </w:p>
        </w:tc>
        <w:tc>
          <w:tcPr>
            <w:tcW w:w="240" w:type="dxa"/>
            <w:vAlign w:val="bottom"/>
            <w:tcBorders>
              <w:bottom w:val="single" w:sz="8" w:color="auto"/>
            </w:tcBorders>
          </w:tcPr>
          <w:p>
            <w:pPr>
              <w:spacing w:after="0"/>
              <w:rPr>
                <w:sz w:val="21"/>
                <w:szCs w:val="21"/>
                <w:color w:val="auto"/>
              </w:rPr>
            </w:pPr>
          </w:p>
        </w:tc>
        <w:tc>
          <w:tcPr>
            <w:tcW w:w="1120" w:type="dxa"/>
            <w:vAlign w:val="bottom"/>
            <w:tcBorders>
              <w:bottom w:val="single" w:sz="8" w:color="auto"/>
              <w:right w:val="single" w:sz="8" w:color="auto"/>
            </w:tcBorders>
          </w:tcPr>
          <w:p>
            <w:pPr>
              <w:jc w:val="right"/>
              <w:ind w:right="339"/>
              <w:spacing w:after="0"/>
              <w:rPr>
                <w:sz w:val="20"/>
                <w:szCs w:val="20"/>
                <w:color w:val="auto"/>
              </w:rPr>
            </w:pPr>
            <w:r>
              <w:rPr>
                <w:rFonts w:ascii="Arial" w:cs="Arial" w:eastAsia="Arial" w:hAnsi="Arial"/>
                <w:sz w:val="16"/>
                <w:szCs w:val="16"/>
                <w:b w:val="1"/>
                <w:bCs w:val="1"/>
                <w:color w:val="auto"/>
              </w:rPr>
              <w:t>3/31/16</w:t>
            </w:r>
          </w:p>
        </w:tc>
        <w:tc>
          <w:tcPr>
            <w:tcW w:w="0" w:type="dxa"/>
            <w:vAlign w:val="bottom"/>
          </w:tcPr>
          <w:p>
            <w:pPr>
              <w:spacing w:after="0"/>
              <w:rPr>
                <w:sz w:val="1"/>
                <w:szCs w:val="1"/>
                <w:color w:val="auto"/>
              </w:rPr>
            </w:pPr>
          </w:p>
        </w:tc>
      </w:tr>
      <w:tr>
        <w:trPr>
          <w:trHeight w:val="251"/>
        </w:trPr>
        <w:tc>
          <w:tcPr>
            <w:tcW w:w="5020" w:type="dxa"/>
            <w:vAlign w:val="bottom"/>
          </w:tcPr>
          <w:p>
            <w:pPr>
              <w:spacing w:after="0"/>
              <w:rPr>
                <w:sz w:val="20"/>
                <w:szCs w:val="20"/>
                <w:color w:val="auto"/>
              </w:rPr>
            </w:pPr>
            <w:r>
              <w:rPr>
                <w:rFonts w:ascii="Arial" w:cs="Arial" w:eastAsia="Arial" w:hAnsi="Arial"/>
                <w:sz w:val="16"/>
                <w:szCs w:val="16"/>
                <w:b w:val="1"/>
                <w:bCs w:val="1"/>
                <w:color w:val="auto"/>
              </w:rPr>
              <w:t>Income Taxes:</w:t>
            </w:r>
          </w:p>
        </w:tc>
        <w:tc>
          <w:tcPr>
            <w:tcW w:w="22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3"/>
        </w:trPr>
        <w:tc>
          <w:tcPr>
            <w:tcW w:w="5020" w:type="dxa"/>
            <w:vAlign w:val="bottom"/>
          </w:tcPr>
          <w:p>
            <w:pPr>
              <w:spacing w:after="0"/>
              <w:rPr>
                <w:sz w:val="20"/>
                <w:szCs w:val="20"/>
                <w:color w:val="auto"/>
              </w:rPr>
            </w:pPr>
            <w:r>
              <w:rPr>
                <w:rFonts w:ascii="Arial" w:cs="Arial" w:eastAsia="Arial" w:hAnsi="Arial"/>
                <w:sz w:val="16"/>
                <w:szCs w:val="16"/>
                <w:color w:val="auto"/>
              </w:rPr>
              <w:t>Total GAAP income taxes</w:t>
            </w: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60.4</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70.6</w:t>
            </w:r>
          </w:p>
        </w:tc>
        <w:tc>
          <w:tcPr>
            <w:tcW w:w="240" w:type="dxa"/>
            <w:vAlign w:val="bottom"/>
          </w:tcPr>
          <w:p>
            <w:pPr>
              <w:jc w:val="right"/>
              <w:ind w:right="84"/>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219.7</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219.2</w:t>
            </w:r>
          </w:p>
        </w:tc>
        <w:tc>
          <w:tcPr>
            <w:tcW w:w="0" w:type="dxa"/>
            <w:vAlign w:val="bottom"/>
          </w:tcPr>
          <w:p>
            <w:pPr>
              <w:spacing w:after="0"/>
              <w:rPr>
                <w:sz w:val="1"/>
                <w:szCs w:val="1"/>
                <w:color w:val="auto"/>
              </w:rPr>
            </w:pPr>
          </w:p>
        </w:tc>
      </w:tr>
      <w:tr>
        <w:trPr>
          <w:trHeight w:val="243"/>
        </w:trPr>
        <w:tc>
          <w:tcPr>
            <w:tcW w:w="5020" w:type="dxa"/>
            <w:vAlign w:val="bottom"/>
          </w:tcPr>
          <w:p>
            <w:pPr>
              <w:spacing w:after="0"/>
              <w:rPr>
                <w:sz w:val="20"/>
                <w:szCs w:val="20"/>
                <w:color w:val="auto"/>
              </w:rPr>
            </w:pPr>
            <w:r>
              <w:rPr>
                <w:rFonts w:ascii="Arial" w:cs="Arial" w:eastAsia="Arial" w:hAnsi="Arial"/>
                <w:sz w:val="16"/>
                <w:szCs w:val="16"/>
                <w:color w:val="auto"/>
              </w:rPr>
              <w:t>Net realized capital gains (losses) tax adjustments</w:t>
            </w:r>
          </w:p>
        </w:tc>
        <w:tc>
          <w:tcPr>
            <w:tcW w:w="22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19.4</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(14.8)</w:t>
            </w:r>
          </w:p>
        </w:tc>
        <w:tc>
          <w:tcPr>
            <w:tcW w:w="24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40.8</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48.4</w:t>
            </w:r>
          </w:p>
        </w:tc>
        <w:tc>
          <w:tcPr>
            <w:tcW w:w="0" w:type="dxa"/>
            <w:vAlign w:val="bottom"/>
          </w:tcPr>
          <w:p>
            <w:pPr>
              <w:spacing w:after="0"/>
              <w:rPr>
                <w:sz w:val="1"/>
                <w:szCs w:val="1"/>
                <w:color w:val="auto"/>
              </w:rPr>
            </w:pPr>
          </w:p>
        </w:tc>
      </w:tr>
      <w:tr>
        <w:trPr>
          <w:trHeight w:val="243"/>
        </w:trPr>
        <w:tc>
          <w:tcPr>
            <w:tcW w:w="5020" w:type="dxa"/>
            <w:vAlign w:val="bottom"/>
          </w:tcPr>
          <w:p>
            <w:pPr>
              <w:spacing w:after="0"/>
              <w:rPr>
                <w:sz w:val="20"/>
                <w:szCs w:val="20"/>
                <w:color w:val="auto"/>
              </w:rPr>
            </w:pPr>
            <w:r>
              <w:rPr>
                <w:rFonts w:ascii="Arial" w:cs="Arial" w:eastAsia="Arial" w:hAnsi="Arial"/>
                <w:sz w:val="16"/>
                <w:szCs w:val="16"/>
                <w:color w:val="auto"/>
              </w:rPr>
              <w:t>Tax benefit related to other after-tax adjustments</w:t>
            </w:r>
          </w:p>
        </w:tc>
        <w:tc>
          <w:tcPr>
            <w:tcW w:w="22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34.4</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2.9</w:t>
            </w:r>
          </w:p>
        </w:tc>
        <w:tc>
          <w:tcPr>
            <w:tcW w:w="0" w:type="dxa"/>
            <w:vAlign w:val="bottom"/>
          </w:tcPr>
          <w:p>
            <w:pPr>
              <w:spacing w:after="0"/>
              <w:rPr>
                <w:sz w:val="1"/>
                <w:szCs w:val="1"/>
                <w:color w:val="auto"/>
              </w:rPr>
            </w:pPr>
          </w:p>
        </w:tc>
      </w:tr>
      <w:tr>
        <w:trPr>
          <w:trHeight w:val="238"/>
        </w:trPr>
        <w:tc>
          <w:tcPr>
            <w:tcW w:w="5020" w:type="dxa"/>
            <w:vAlign w:val="bottom"/>
          </w:tcPr>
          <w:p>
            <w:pPr>
              <w:spacing w:after="0"/>
              <w:rPr>
                <w:sz w:val="20"/>
                <w:szCs w:val="20"/>
                <w:color w:val="auto"/>
              </w:rPr>
            </w:pPr>
            <w:r>
              <w:rPr>
                <w:rFonts w:ascii="Arial" w:cs="Arial" w:eastAsia="Arial" w:hAnsi="Arial"/>
                <w:sz w:val="16"/>
                <w:szCs w:val="16"/>
                <w:color w:val="auto"/>
              </w:rPr>
              <w:t>Income taxes related to equity method investments and</w:t>
            </w:r>
          </w:p>
        </w:tc>
        <w:tc>
          <w:tcPr>
            <w:tcW w:w="2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8"/>
        </w:trPr>
        <w:tc>
          <w:tcPr>
            <w:tcW w:w="5020" w:type="dxa"/>
            <w:vAlign w:val="bottom"/>
          </w:tcPr>
          <w:p>
            <w:pPr>
              <w:ind w:left="320"/>
              <w:spacing w:after="0"/>
              <w:rPr>
                <w:sz w:val="20"/>
                <w:szCs w:val="20"/>
                <w:color w:val="auto"/>
              </w:rPr>
            </w:pPr>
            <w:r>
              <w:rPr>
                <w:rFonts w:ascii="Arial" w:cs="Arial" w:eastAsia="Arial" w:hAnsi="Arial"/>
                <w:sz w:val="16"/>
                <w:szCs w:val="16"/>
                <w:color w:val="auto"/>
              </w:rPr>
              <w:t>noncontrolling interest</w:t>
            </w:r>
          </w:p>
        </w:tc>
        <w:tc>
          <w:tcPr>
            <w:tcW w:w="22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22.5</w:t>
            </w:r>
          </w:p>
        </w:tc>
        <w:tc>
          <w:tcPr>
            <w:tcW w:w="2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14.2</w:t>
            </w:r>
          </w:p>
        </w:tc>
        <w:tc>
          <w:tcPr>
            <w:tcW w:w="24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75.0</w:t>
            </w:r>
          </w:p>
        </w:tc>
        <w:tc>
          <w:tcPr>
            <w:tcW w:w="2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55.1</w:t>
            </w:r>
          </w:p>
        </w:tc>
        <w:tc>
          <w:tcPr>
            <w:tcW w:w="0" w:type="dxa"/>
            <w:vAlign w:val="bottom"/>
          </w:tcPr>
          <w:p>
            <w:pPr>
              <w:spacing w:after="0"/>
              <w:rPr>
                <w:sz w:val="1"/>
                <w:szCs w:val="1"/>
                <w:color w:val="auto"/>
              </w:rPr>
            </w:pPr>
          </w:p>
        </w:tc>
      </w:tr>
      <w:tr>
        <w:trPr>
          <w:trHeight w:val="237"/>
        </w:trPr>
        <w:tc>
          <w:tcPr>
            <w:tcW w:w="5020" w:type="dxa"/>
            <w:vAlign w:val="bottom"/>
          </w:tcPr>
          <w:p>
            <w:pPr>
              <w:spacing w:after="0"/>
              <w:rPr>
                <w:sz w:val="20"/>
                <w:szCs w:val="20"/>
                <w:color w:val="auto"/>
              </w:rPr>
            </w:pPr>
            <w:r>
              <w:rPr>
                <w:rFonts w:ascii="Arial" w:cs="Arial" w:eastAsia="Arial" w:hAnsi="Arial"/>
                <w:sz w:val="16"/>
                <w:szCs w:val="16"/>
                <w:color w:val="auto"/>
              </w:rPr>
              <w:t>Income taxes</w:t>
            </w:r>
          </w:p>
        </w:tc>
        <w:tc>
          <w:tcPr>
            <w:tcW w:w="220" w:type="dxa"/>
            <w:vAlign w:val="bottom"/>
            <w:tcBorders>
              <w:bottom w:val="single" w:sz="8" w:color="auto"/>
            </w:tcBorders>
          </w:tcPr>
          <w:p>
            <w:pPr>
              <w:jc w:val="right"/>
              <w:ind w:right="109"/>
              <w:spacing w:after="0"/>
              <w:rPr>
                <w:sz w:val="20"/>
                <w:szCs w:val="20"/>
                <w:color w:val="auto"/>
              </w:rPr>
            </w:pPr>
            <w:r>
              <w:rPr>
                <w:rFonts w:ascii="Arial" w:cs="Arial" w:eastAsia="Arial" w:hAnsi="Arial"/>
                <w:sz w:val="10"/>
                <w:szCs w:val="10"/>
                <w:color w:val="auto"/>
                <w:w w:val="71"/>
              </w:rPr>
              <w:t>$</w:t>
            </w:r>
          </w:p>
        </w:tc>
        <w:tc>
          <w:tcPr>
            <w:tcW w:w="11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102.3</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70.0</w:t>
            </w:r>
          </w:p>
        </w:tc>
        <w:tc>
          <w:tcPr>
            <w:tcW w:w="240" w:type="dxa"/>
            <w:vAlign w:val="bottom"/>
            <w:tcBorders>
              <w:bottom w:val="single" w:sz="8" w:color="auto"/>
            </w:tcBorders>
          </w:tcPr>
          <w:p>
            <w:pPr>
              <w:jc w:val="right"/>
              <w:ind w:right="84"/>
              <w:spacing w:after="0"/>
              <w:rPr>
                <w:sz w:val="20"/>
                <w:szCs w:val="20"/>
                <w:color w:val="auto"/>
              </w:rPr>
            </w:pPr>
            <w:r>
              <w:rPr>
                <w:rFonts w:ascii="Arial" w:cs="Arial" w:eastAsia="Arial" w:hAnsi="Arial"/>
                <w:sz w:val="15"/>
                <w:szCs w:val="15"/>
                <w:color w:val="auto"/>
                <w:w w:val="71"/>
              </w:rPr>
              <w:t>$</w:t>
            </w:r>
          </w:p>
        </w:tc>
        <w:tc>
          <w:tcPr>
            <w:tcW w:w="11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369.9</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325.6</w:t>
            </w:r>
          </w:p>
        </w:tc>
        <w:tc>
          <w:tcPr>
            <w:tcW w:w="0" w:type="dxa"/>
            <w:vAlign w:val="bottom"/>
          </w:tcPr>
          <w:p>
            <w:pPr>
              <w:spacing w:after="0"/>
              <w:rPr>
                <w:sz w:val="1"/>
                <w:szCs w:val="1"/>
                <w:color w:val="auto"/>
              </w:rPr>
            </w:pPr>
          </w:p>
        </w:tc>
      </w:tr>
      <w:tr>
        <w:trPr>
          <w:trHeight w:val="20"/>
        </w:trPr>
        <w:tc>
          <w:tcPr>
            <w:tcW w:w="5020" w:type="dxa"/>
            <w:vAlign w:val="bottom"/>
            <w:vMerge w:val="restart"/>
          </w:tcPr>
          <w:p>
            <w:pPr>
              <w:spacing w:after="0"/>
              <w:rPr>
                <w:sz w:val="20"/>
                <w:szCs w:val="20"/>
                <w:color w:val="auto"/>
              </w:rPr>
            </w:pPr>
            <w:r>
              <w:rPr>
                <w:rFonts w:ascii="Arial" w:cs="Arial" w:eastAsia="Arial" w:hAnsi="Arial"/>
                <w:sz w:val="16"/>
                <w:szCs w:val="16"/>
                <w:b w:val="1"/>
                <w:bCs w:val="1"/>
                <w:color w:val="auto"/>
              </w:rPr>
              <w:t>Net Realized Capital Gains (Losses):</w:t>
            </w:r>
          </w:p>
        </w:tc>
        <w:tc>
          <w:tcPr>
            <w:tcW w:w="2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502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5020" w:type="dxa"/>
            <w:vAlign w:val="bottom"/>
          </w:tcPr>
          <w:p>
            <w:pPr>
              <w:spacing w:after="0"/>
              <w:rPr>
                <w:sz w:val="20"/>
                <w:szCs w:val="20"/>
                <w:color w:val="auto"/>
              </w:rPr>
            </w:pPr>
            <w:r>
              <w:rPr>
                <w:rFonts w:ascii="Arial" w:cs="Arial" w:eastAsia="Arial" w:hAnsi="Arial"/>
                <w:sz w:val="16"/>
                <w:szCs w:val="16"/>
                <w:color w:val="auto"/>
              </w:rPr>
              <w:t>GAAP net realized capital gains (losses)</w:t>
            </w: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1100" w:type="dxa"/>
            <w:vAlign w:val="bottom"/>
          </w:tcPr>
          <w:p>
            <w:pPr>
              <w:jc w:val="right"/>
              <w:spacing w:after="0"/>
              <w:rPr>
                <w:sz w:val="20"/>
                <w:szCs w:val="20"/>
                <w:color w:val="auto"/>
              </w:rPr>
            </w:pPr>
            <w:r>
              <w:rPr>
                <w:rFonts w:ascii="Arial" w:cs="Arial" w:eastAsia="Arial" w:hAnsi="Arial"/>
                <w:sz w:val="16"/>
                <w:szCs w:val="16"/>
                <w:color w:val="auto"/>
              </w:rPr>
              <w:t>(16.6)</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136.6</w:t>
            </w:r>
          </w:p>
        </w:tc>
        <w:tc>
          <w:tcPr>
            <w:tcW w:w="240" w:type="dxa"/>
            <w:vAlign w:val="bottom"/>
          </w:tcPr>
          <w:p>
            <w:pPr>
              <w:jc w:val="right"/>
              <w:ind w:right="84"/>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17.9</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19.3</w:t>
            </w:r>
          </w:p>
        </w:tc>
        <w:tc>
          <w:tcPr>
            <w:tcW w:w="0" w:type="dxa"/>
            <w:vAlign w:val="bottom"/>
          </w:tcPr>
          <w:p>
            <w:pPr>
              <w:spacing w:after="0"/>
              <w:rPr>
                <w:sz w:val="1"/>
                <w:szCs w:val="1"/>
                <w:color w:val="auto"/>
              </w:rPr>
            </w:pPr>
          </w:p>
        </w:tc>
      </w:tr>
      <w:tr>
        <w:trPr>
          <w:trHeight w:val="540"/>
        </w:trPr>
        <w:tc>
          <w:tcPr>
            <w:tcW w:w="5020" w:type="dxa"/>
            <w:vAlign w:val="bottom"/>
          </w:tcPr>
          <w:p>
            <w:pPr>
              <w:spacing w:after="0"/>
              <w:rPr>
                <w:sz w:val="20"/>
                <w:szCs w:val="20"/>
                <w:color w:val="auto"/>
              </w:rPr>
            </w:pPr>
            <w:r>
              <w:rPr>
                <w:rFonts w:ascii="Arial" w:cs="Arial" w:eastAsia="Arial" w:hAnsi="Arial"/>
                <w:sz w:val="16"/>
                <w:szCs w:val="16"/>
                <w:color w:val="auto"/>
              </w:rPr>
              <w:t>Recognition of front-end fee revenues</w:t>
            </w:r>
          </w:p>
        </w:tc>
        <w:tc>
          <w:tcPr>
            <w:tcW w:w="22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(0.2)</w:t>
            </w:r>
          </w:p>
        </w:tc>
        <w:tc>
          <w:tcPr>
            <w:tcW w:w="240" w:type="dxa"/>
            <w:vAlign w:val="bottom"/>
          </w:tcPr>
          <w:p>
            <w:pPr>
              <w:spacing w:after="0"/>
              <w:rPr>
                <w:sz w:val="24"/>
                <w:szCs w:val="24"/>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0.3</w:t>
            </w:r>
          </w:p>
        </w:tc>
        <w:tc>
          <w:tcPr>
            <w:tcW w:w="24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(0.3)</w:t>
            </w:r>
          </w:p>
        </w:tc>
        <w:tc>
          <w:tcPr>
            <w:tcW w:w="240" w:type="dxa"/>
            <w:vAlign w:val="bottom"/>
          </w:tcPr>
          <w:p>
            <w:pPr>
              <w:spacing w:after="0"/>
              <w:rPr>
                <w:sz w:val="24"/>
                <w:szCs w:val="24"/>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43"/>
        </w:trPr>
        <w:tc>
          <w:tcPr>
            <w:tcW w:w="5020" w:type="dxa"/>
            <w:vAlign w:val="bottom"/>
          </w:tcPr>
          <w:p>
            <w:pPr>
              <w:spacing w:after="0"/>
              <w:rPr>
                <w:sz w:val="20"/>
                <w:szCs w:val="20"/>
                <w:color w:val="auto"/>
              </w:rPr>
            </w:pPr>
            <w:r>
              <w:rPr>
                <w:rFonts w:ascii="Arial" w:cs="Arial" w:eastAsia="Arial" w:hAnsi="Arial"/>
                <w:sz w:val="16"/>
                <w:szCs w:val="16"/>
                <w:color w:val="auto"/>
              </w:rPr>
              <w:t>Market value adjustments to fee revenues</w:t>
            </w:r>
          </w:p>
        </w:tc>
        <w:tc>
          <w:tcPr>
            <w:tcW w:w="22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(0.7)</w:t>
            </w:r>
          </w:p>
        </w:tc>
        <w:tc>
          <w:tcPr>
            <w:tcW w:w="2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(1.8)</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(0.7)</w:t>
            </w:r>
          </w:p>
        </w:tc>
        <w:tc>
          <w:tcPr>
            <w:tcW w:w="0" w:type="dxa"/>
            <w:vAlign w:val="bottom"/>
          </w:tcPr>
          <w:p>
            <w:pPr>
              <w:spacing w:after="0"/>
              <w:rPr>
                <w:sz w:val="1"/>
                <w:szCs w:val="1"/>
                <w:color w:val="auto"/>
              </w:rPr>
            </w:pPr>
          </w:p>
        </w:tc>
      </w:tr>
      <w:tr>
        <w:trPr>
          <w:trHeight w:val="238"/>
        </w:trPr>
        <w:tc>
          <w:tcPr>
            <w:tcW w:w="5020" w:type="dxa"/>
            <w:vAlign w:val="bottom"/>
          </w:tcPr>
          <w:p>
            <w:pPr>
              <w:spacing w:after="0"/>
              <w:rPr>
                <w:sz w:val="20"/>
                <w:szCs w:val="20"/>
                <w:color w:val="auto"/>
              </w:rPr>
            </w:pPr>
            <w:r>
              <w:rPr>
                <w:rFonts w:ascii="Arial" w:cs="Arial" w:eastAsia="Arial" w:hAnsi="Arial"/>
                <w:sz w:val="16"/>
                <w:szCs w:val="16"/>
                <w:color w:val="auto"/>
              </w:rPr>
              <w:t>Net realized capital gains related to equity method</w:t>
            </w:r>
          </w:p>
        </w:tc>
        <w:tc>
          <w:tcPr>
            <w:tcW w:w="2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5020" w:type="dxa"/>
            <w:vAlign w:val="bottom"/>
          </w:tcPr>
          <w:p>
            <w:pPr>
              <w:ind w:left="320"/>
              <w:spacing w:after="0"/>
              <w:rPr>
                <w:sz w:val="20"/>
                <w:szCs w:val="20"/>
                <w:color w:val="auto"/>
              </w:rPr>
            </w:pPr>
            <w:r>
              <w:rPr>
                <w:rFonts w:ascii="Arial" w:cs="Arial" w:eastAsia="Arial" w:hAnsi="Arial"/>
                <w:sz w:val="16"/>
                <w:szCs w:val="16"/>
                <w:color w:val="auto"/>
              </w:rPr>
              <w:t>investments</w:t>
            </w:r>
          </w:p>
        </w:tc>
        <w:tc>
          <w:tcPr>
            <w:tcW w:w="220" w:type="dxa"/>
            <w:vAlign w:val="bottom"/>
          </w:tcPr>
          <w:p>
            <w:pPr>
              <w:spacing w:after="0"/>
              <w:rPr>
                <w:sz w:val="16"/>
                <w:szCs w:val="16"/>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0.6</w:t>
            </w:r>
          </w:p>
        </w:tc>
        <w:tc>
          <w:tcPr>
            <w:tcW w:w="240" w:type="dxa"/>
            <w:vAlign w:val="bottom"/>
          </w:tcPr>
          <w:p>
            <w:pPr>
              <w:spacing w:after="0"/>
              <w:rPr>
                <w:sz w:val="16"/>
                <w:szCs w:val="16"/>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0.3</w:t>
            </w:r>
          </w:p>
        </w:tc>
        <w:tc>
          <w:tcPr>
            <w:tcW w:w="240" w:type="dxa"/>
            <w:vAlign w:val="bottom"/>
          </w:tcPr>
          <w:p>
            <w:pPr>
              <w:spacing w:after="0"/>
              <w:rPr>
                <w:sz w:val="16"/>
                <w:szCs w:val="16"/>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0.4</w:t>
            </w:r>
          </w:p>
        </w:tc>
        <w:tc>
          <w:tcPr>
            <w:tcW w:w="240" w:type="dxa"/>
            <w:vAlign w:val="bottom"/>
          </w:tcPr>
          <w:p>
            <w:pPr>
              <w:spacing w:after="0"/>
              <w:rPr>
                <w:sz w:val="16"/>
                <w:szCs w:val="16"/>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0.3</w:t>
            </w:r>
          </w:p>
        </w:tc>
        <w:tc>
          <w:tcPr>
            <w:tcW w:w="0" w:type="dxa"/>
            <w:vAlign w:val="bottom"/>
          </w:tcPr>
          <w:p>
            <w:pPr>
              <w:spacing w:after="0"/>
              <w:rPr>
                <w:sz w:val="1"/>
                <w:szCs w:val="1"/>
                <w:color w:val="auto"/>
              </w:rPr>
            </w:pPr>
          </w:p>
        </w:tc>
      </w:tr>
      <w:tr>
        <w:trPr>
          <w:trHeight w:val="243"/>
        </w:trPr>
        <w:tc>
          <w:tcPr>
            <w:tcW w:w="5020" w:type="dxa"/>
            <w:vAlign w:val="bottom"/>
          </w:tcPr>
          <w:p>
            <w:pPr>
              <w:spacing w:after="0"/>
              <w:rPr>
                <w:sz w:val="20"/>
                <w:szCs w:val="20"/>
                <w:color w:val="auto"/>
              </w:rPr>
            </w:pPr>
            <w:r>
              <w:rPr>
                <w:rFonts w:ascii="Arial" w:cs="Arial" w:eastAsia="Arial" w:hAnsi="Arial"/>
                <w:sz w:val="16"/>
                <w:szCs w:val="16"/>
                <w:color w:val="auto"/>
              </w:rPr>
              <w:t>Derivative and hedging-related adjustments</w:t>
            </w:r>
          </w:p>
        </w:tc>
        <w:tc>
          <w:tcPr>
            <w:tcW w:w="22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(17.6)</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(24.3)</w:t>
            </w:r>
          </w:p>
        </w:tc>
        <w:tc>
          <w:tcPr>
            <w:tcW w:w="2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(87.4)</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(116.3)</w:t>
            </w:r>
          </w:p>
        </w:tc>
        <w:tc>
          <w:tcPr>
            <w:tcW w:w="0" w:type="dxa"/>
            <w:vAlign w:val="bottom"/>
          </w:tcPr>
          <w:p>
            <w:pPr>
              <w:spacing w:after="0"/>
              <w:rPr>
                <w:sz w:val="1"/>
                <w:szCs w:val="1"/>
                <w:color w:val="auto"/>
              </w:rPr>
            </w:pPr>
          </w:p>
        </w:tc>
      </w:tr>
      <w:tr>
        <w:trPr>
          <w:trHeight w:val="243"/>
        </w:trPr>
        <w:tc>
          <w:tcPr>
            <w:tcW w:w="5020" w:type="dxa"/>
            <w:vAlign w:val="bottom"/>
          </w:tcPr>
          <w:p>
            <w:pPr>
              <w:spacing w:after="0"/>
              <w:rPr>
                <w:sz w:val="20"/>
                <w:szCs w:val="20"/>
                <w:color w:val="auto"/>
              </w:rPr>
            </w:pPr>
            <w:r>
              <w:rPr>
                <w:rFonts w:ascii="Arial" w:cs="Arial" w:eastAsia="Arial" w:hAnsi="Arial"/>
                <w:sz w:val="16"/>
                <w:szCs w:val="16"/>
                <w:color w:val="auto"/>
              </w:rPr>
              <w:t>Sponsored investment fund adjustments</w:t>
            </w:r>
          </w:p>
        </w:tc>
        <w:tc>
          <w:tcPr>
            <w:tcW w:w="22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1.2</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1.4</w:t>
            </w:r>
          </w:p>
        </w:tc>
        <w:tc>
          <w:tcPr>
            <w:tcW w:w="24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5.9</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2.7</w:t>
            </w:r>
          </w:p>
        </w:tc>
        <w:tc>
          <w:tcPr>
            <w:tcW w:w="0" w:type="dxa"/>
            <w:vAlign w:val="bottom"/>
          </w:tcPr>
          <w:p>
            <w:pPr>
              <w:spacing w:after="0"/>
              <w:rPr>
                <w:sz w:val="1"/>
                <w:szCs w:val="1"/>
                <w:color w:val="auto"/>
              </w:rPr>
            </w:pPr>
          </w:p>
        </w:tc>
      </w:tr>
      <w:tr>
        <w:trPr>
          <w:trHeight w:val="243"/>
        </w:trPr>
        <w:tc>
          <w:tcPr>
            <w:tcW w:w="5020" w:type="dxa"/>
            <w:vAlign w:val="bottom"/>
          </w:tcPr>
          <w:p>
            <w:pPr>
              <w:spacing w:after="0"/>
              <w:rPr>
                <w:sz w:val="20"/>
                <w:szCs w:val="20"/>
                <w:color w:val="auto"/>
              </w:rPr>
            </w:pPr>
            <w:r>
              <w:rPr>
                <w:rFonts w:ascii="Arial" w:cs="Arial" w:eastAsia="Arial" w:hAnsi="Arial"/>
                <w:sz w:val="16"/>
                <w:szCs w:val="16"/>
                <w:color w:val="auto"/>
              </w:rPr>
              <w:t>Amortization of DAC</w:t>
            </w:r>
          </w:p>
        </w:tc>
        <w:tc>
          <w:tcPr>
            <w:tcW w:w="22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7.0</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(39.3)</w:t>
            </w:r>
          </w:p>
        </w:tc>
        <w:tc>
          <w:tcPr>
            <w:tcW w:w="2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(19.9)</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(38.8)</w:t>
            </w:r>
          </w:p>
        </w:tc>
        <w:tc>
          <w:tcPr>
            <w:tcW w:w="0" w:type="dxa"/>
            <w:vAlign w:val="bottom"/>
          </w:tcPr>
          <w:p>
            <w:pPr>
              <w:spacing w:after="0"/>
              <w:rPr>
                <w:sz w:val="1"/>
                <w:szCs w:val="1"/>
                <w:color w:val="auto"/>
              </w:rPr>
            </w:pPr>
          </w:p>
        </w:tc>
      </w:tr>
      <w:tr>
        <w:trPr>
          <w:trHeight w:val="243"/>
        </w:trPr>
        <w:tc>
          <w:tcPr>
            <w:tcW w:w="5020" w:type="dxa"/>
            <w:vAlign w:val="bottom"/>
          </w:tcPr>
          <w:p>
            <w:pPr>
              <w:spacing w:after="0"/>
              <w:rPr>
                <w:sz w:val="20"/>
                <w:szCs w:val="20"/>
                <w:color w:val="auto"/>
              </w:rPr>
            </w:pPr>
            <w:r>
              <w:rPr>
                <w:rFonts w:ascii="Arial" w:cs="Arial" w:eastAsia="Arial" w:hAnsi="Arial"/>
                <w:sz w:val="16"/>
                <w:szCs w:val="16"/>
                <w:color w:val="auto"/>
              </w:rPr>
              <w:t>Capital gains distributed - operating expenses</w:t>
            </w:r>
          </w:p>
        </w:tc>
        <w:tc>
          <w:tcPr>
            <w:tcW w:w="22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(6.1)</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26.5</w:t>
            </w:r>
          </w:p>
        </w:tc>
        <w:tc>
          <w:tcPr>
            <w:tcW w:w="2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(28.9)</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32.4</w:t>
            </w:r>
          </w:p>
        </w:tc>
        <w:tc>
          <w:tcPr>
            <w:tcW w:w="0" w:type="dxa"/>
            <w:vAlign w:val="bottom"/>
          </w:tcPr>
          <w:p>
            <w:pPr>
              <w:spacing w:after="0"/>
              <w:rPr>
                <w:sz w:val="1"/>
                <w:szCs w:val="1"/>
                <w:color w:val="auto"/>
              </w:rPr>
            </w:pPr>
          </w:p>
        </w:tc>
      </w:tr>
      <w:tr>
        <w:trPr>
          <w:trHeight w:val="243"/>
        </w:trPr>
        <w:tc>
          <w:tcPr>
            <w:tcW w:w="5020" w:type="dxa"/>
            <w:vAlign w:val="bottom"/>
          </w:tcPr>
          <w:p>
            <w:pPr>
              <w:spacing w:after="0"/>
              <w:rPr>
                <w:sz w:val="20"/>
                <w:szCs w:val="20"/>
                <w:color w:val="auto"/>
              </w:rPr>
            </w:pPr>
            <w:r>
              <w:rPr>
                <w:rFonts w:ascii="Arial" w:cs="Arial" w:eastAsia="Arial" w:hAnsi="Arial"/>
                <w:sz w:val="16"/>
                <w:szCs w:val="16"/>
                <w:color w:val="auto"/>
              </w:rPr>
              <w:t>Amortization of other actuarial balances</w:t>
            </w:r>
          </w:p>
        </w:tc>
        <w:tc>
          <w:tcPr>
            <w:tcW w:w="22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2.1</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(7.0)</w:t>
            </w:r>
          </w:p>
        </w:tc>
        <w:tc>
          <w:tcPr>
            <w:tcW w:w="2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(2.1)</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(5.5)</w:t>
            </w:r>
          </w:p>
        </w:tc>
        <w:tc>
          <w:tcPr>
            <w:tcW w:w="0" w:type="dxa"/>
            <w:vAlign w:val="bottom"/>
          </w:tcPr>
          <w:p>
            <w:pPr>
              <w:spacing w:after="0"/>
              <w:rPr>
                <w:sz w:val="1"/>
                <w:szCs w:val="1"/>
                <w:color w:val="auto"/>
              </w:rPr>
            </w:pPr>
          </w:p>
        </w:tc>
      </w:tr>
      <w:tr>
        <w:trPr>
          <w:trHeight w:val="243"/>
        </w:trPr>
        <w:tc>
          <w:tcPr>
            <w:tcW w:w="5020" w:type="dxa"/>
            <w:vAlign w:val="bottom"/>
          </w:tcPr>
          <w:p>
            <w:pPr>
              <w:spacing w:after="0"/>
              <w:rPr>
                <w:sz w:val="20"/>
                <w:szCs w:val="20"/>
                <w:color w:val="auto"/>
              </w:rPr>
            </w:pPr>
            <w:r>
              <w:rPr>
                <w:rFonts w:ascii="Arial" w:cs="Arial" w:eastAsia="Arial" w:hAnsi="Arial"/>
                <w:sz w:val="16"/>
                <w:szCs w:val="16"/>
                <w:color w:val="auto"/>
              </w:rPr>
              <w:t>Market value adjustments of embedded derivatives</w:t>
            </w:r>
          </w:p>
        </w:tc>
        <w:tc>
          <w:tcPr>
            <w:tcW w:w="22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1.8</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2.4</w:t>
            </w:r>
          </w:p>
        </w:tc>
        <w:tc>
          <w:tcPr>
            <w:tcW w:w="24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49.4</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3.1</w:t>
            </w:r>
          </w:p>
        </w:tc>
        <w:tc>
          <w:tcPr>
            <w:tcW w:w="0" w:type="dxa"/>
            <w:vAlign w:val="bottom"/>
          </w:tcPr>
          <w:p>
            <w:pPr>
              <w:spacing w:after="0"/>
              <w:rPr>
                <w:sz w:val="1"/>
                <w:szCs w:val="1"/>
                <w:color w:val="auto"/>
              </w:rPr>
            </w:pPr>
          </w:p>
        </w:tc>
      </w:tr>
      <w:tr>
        <w:trPr>
          <w:trHeight w:val="243"/>
        </w:trPr>
        <w:tc>
          <w:tcPr>
            <w:tcW w:w="5020" w:type="dxa"/>
            <w:vAlign w:val="bottom"/>
          </w:tcPr>
          <w:p>
            <w:pPr>
              <w:spacing w:after="0"/>
              <w:rPr>
                <w:sz w:val="20"/>
                <w:szCs w:val="20"/>
                <w:color w:val="auto"/>
              </w:rPr>
            </w:pPr>
            <w:r>
              <w:rPr>
                <w:rFonts w:ascii="Arial" w:cs="Arial" w:eastAsia="Arial" w:hAnsi="Arial"/>
                <w:sz w:val="16"/>
                <w:szCs w:val="16"/>
                <w:color w:val="auto"/>
              </w:rPr>
              <w:t>Capital gains distributed - cost of interest credited</w:t>
            </w:r>
          </w:p>
        </w:tc>
        <w:tc>
          <w:tcPr>
            <w:tcW w:w="22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(11.0)</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0.6</w:t>
            </w:r>
          </w:p>
        </w:tc>
        <w:tc>
          <w:tcPr>
            <w:tcW w:w="2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(22.5)</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(3.9)</w:t>
            </w:r>
          </w:p>
        </w:tc>
        <w:tc>
          <w:tcPr>
            <w:tcW w:w="0" w:type="dxa"/>
            <w:vAlign w:val="bottom"/>
          </w:tcPr>
          <w:p>
            <w:pPr>
              <w:spacing w:after="0"/>
              <w:rPr>
                <w:sz w:val="1"/>
                <w:szCs w:val="1"/>
                <w:color w:val="auto"/>
              </w:rPr>
            </w:pPr>
          </w:p>
        </w:tc>
      </w:tr>
      <w:tr>
        <w:trPr>
          <w:trHeight w:val="243"/>
        </w:trPr>
        <w:tc>
          <w:tcPr>
            <w:tcW w:w="5020" w:type="dxa"/>
            <w:vAlign w:val="bottom"/>
          </w:tcPr>
          <w:p>
            <w:pPr>
              <w:spacing w:after="0"/>
              <w:rPr>
                <w:sz w:val="20"/>
                <w:szCs w:val="20"/>
                <w:color w:val="auto"/>
              </w:rPr>
            </w:pPr>
            <w:r>
              <w:rPr>
                <w:rFonts w:ascii="Arial" w:cs="Arial" w:eastAsia="Arial" w:hAnsi="Arial"/>
                <w:sz w:val="16"/>
                <w:szCs w:val="16"/>
                <w:color w:val="auto"/>
              </w:rPr>
              <w:t>Net realized capital gains (losses) tax adjustments</w:t>
            </w:r>
          </w:p>
        </w:tc>
        <w:tc>
          <w:tcPr>
            <w:tcW w:w="22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19.4</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(14.8)</w:t>
            </w:r>
          </w:p>
        </w:tc>
        <w:tc>
          <w:tcPr>
            <w:tcW w:w="24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40.8</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48.4</w:t>
            </w:r>
          </w:p>
        </w:tc>
        <w:tc>
          <w:tcPr>
            <w:tcW w:w="0" w:type="dxa"/>
            <w:vAlign w:val="bottom"/>
          </w:tcPr>
          <w:p>
            <w:pPr>
              <w:spacing w:after="0"/>
              <w:rPr>
                <w:sz w:val="1"/>
                <w:szCs w:val="1"/>
                <w:color w:val="auto"/>
              </w:rPr>
            </w:pPr>
          </w:p>
        </w:tc>
      </w:tr>
      <w:tr>
        <w:trPr>
          <w:trHeight w:val="238"/>
        </w:trPr>
        <w:tc>
          <w:tcPr>
            <w:tcW w:w="5020" w:type="dxa"/>
            <w:vAlign w:val="bottom"/>
          </w:tcPr>
          <w:p>
            <w:pPr>
              <w:spacing w:after="0"/>
              <w:rPr>
                <w:sz w:val="20"/>
                <w:szCs w:val="20"/>
                <w:color w:val="auto"/>
              </w:rPr>
            </w:pPr>
            <w:r>
              <w:rPr>
                <w:rFonts w:ascii="Arial" w:cs="Arial" w:eastAsia="Arial" w:hAnsi="Arial"/>
                <w:sz w:val="16"/>
                <w:szCs w:val="16"/>
                <w:color w:val="auto"/>
              </w:rPr>
              <w:t>Net realized capital gains (losses) attributable to</w:t>
            </w:r>
          </w:p>
        </w:tc>
        <w:tc>
          <w:tcPr>
            <w:tcW w:w="2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5020" w:type="dxa"/>
            <w:vAlign w:val="bottom"/>
          </w:tcPr>
          <w:p>
            <w:pPr>
              <w:ind w:left="320"/>
              <w:spacing w:after="0"/>
              <w:rPr>
                <w:sz w:val="20"/>
                <w:szCs w:val="20"/>
                <w:color w:val="auto"/>
              </w:rPr>
            </w:pPr>
            <w:r>
              <w:rPr>
                <w:rFonts w:ascii="Arial" w:cs="Arial" w:eastAsia="Arial" w:hAnsi="Arial"/>
                <w:sz w:val="16"/>
                <w:szCs w:val="16"/>
                <w:color w:val="auto"/>
              </w:rPr>
              <w:t>noncontrolling interest, after-tax</w:t>
            </w:r>
          </w:p>
        </w:tc>
        <w:tc>
          <w:tcPr>
            <w:tcW w:w="22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(2.2)</w:t>
            </w:r>
          </w:p>
        </w:tc>
        <w:tc>
          <w:tcPr>
            <w:tcW w:w="24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(0.3)</w:t>
            </w:r>
          </w:p>
        </w:tc>
        <w:tc>
          <w:tcPr>
            <w:tcW w:w="2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(17.4)</w:t>
            </w:r>
          </w:p>
        </w:tc>
        <w:tc>
          <w:tcPr>
            <w:tcW w:w="24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(6.3)</w:t>
            </w:r>
          </w:p>
        </w:tc>
        <w:tc>
          <w:tcPr>
            <w:tcW w:w="0" w:type="dxa"/>
            <w:vAlign w:val="bottom"/>
          </w:tcPr>
          <w:p>
            <w:pPr>
              <w:spacing w:after="0"/>
              <w:rPr>
                <w:sz w:val="1"/>
                <w:szCs w:val="1"/>
                <w:color w:val="auto"/>
              </w:rPr>
            </w:pPr>
          </w:p>
        </w:tc>
      </w:tr>
      <w:tr>
        <w:trPr>
          <w:trHeight w:val="238"/>
        </w:trPr>
        <w:tc>
          <w:tcPr>
            <w:tcW w:w="5020" w:type="dxa"/>
            <w:vAlign w:val="bottom"/>
          </w:tcPr>
          <w:p>
            <w:pPr>
              <w:spacing w:after="0"/>
              <w:rPr>
                <w:sz w:val="20"/>
                <w:szCs w:val="20"/>
                <w:color w:val="auto"/>
              </w:rPr>
            </w:pPr>
            <w:r>
              <w:rPr>
                <w:rFonts w:ascii="Arial" w:cs="Arial" w:eastAsia="Arial" w:hAnsi="Arial"/>
                <w:sz w:val="16"/>
                <w:szCs w:val="16"/>
                <w:color w:val="auto"/>
              </w:rPr>
              <w:t>Net realized capital losses associated with exited group</w:t>
            </w:r>
          </w:p>
        </w:tc>
        <w:tc>
          <w:tcPr>
            <w:tcW w:w="22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8"/>
        </w:trPr>
        <w:tc>
          <w:tcPr>
            <w:tcW w:w="5020" w:type="dxa"/>
            <w:vAlign w:val="bottom"/>
          </w:tcPr>
          <w:p>
            <w:pPr>
              <w:ind w:left="320"/>
              <w:spacing w:after="0"/>
              <w:rPr>
                <w:sz w:val="20"/>
                <w:szCs w:val="20"/>
                <w:color w:val="auto"/>
              </w:rPr>
            </w:pPr>
            <w:r>
              <w:rPr>
                <w:rFonts w:ascii="Arial" w:cs="Arial" w:eastAsia="Arial" w:hAnsi="Arial"/>
                <w:sz w:val="16"/>
                <w:szCs w:val="16"/>
                <w:color w:val="auto"/>
              </w:rPr>
              <w:t>medical insurance business, after-tax</w:t>
            </w:r>
          </w:p>
        </w:tc>
        <w:tc>
          <w:tcPr>
            <w:tcW w:w="22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0.1</w:t>
            </w:r>
          </w:p>
        </w:tc>
        <w:tc>
          <w:tcPr>
            <w:tcW w:w="0" w:type="dxa"/>
            <w:vAlign w:val="bottom"/>
          </w:tcPr>
          <w:p>
            <w:pPr>
              <w:spacing w:after="0"/>
              <w:rPr>
                <w:sz w:val="1"/>
                <w:szCs w:val="1"/>
                <w:color w:val="auto"/>
              </w:rPr>
            </w:pPr>
          </w:p>
        </w:tc>
      </w:tr>
      <w:tr>
        <w:trPr>
          <w:trHeight w:val="204"/>
        </w:trPr>
        <w:tc>
          <w:tcPr>
            <w:tcW w:w="5020" w:type="dxa"/>
            <w:vAlign w:val="bottom"/>
          </w:tcPr>
          <w:p>
            <w:pPr>
              <w:spacing w:after="0"/>
              <w:rPr>
                <w:sz w:val="20"/>
                <w:szCs w:val="20"/>
                <w:color w:val="auto"/>
              </w:rPr>
            </w:pPr>
            <w:r>
              <w:rPr>
                <w:rFonts w:ascii="Arial" w:cs="Arial" w:eastAsia="Arial" w:hAnsi="Arial"/>
                <w:sz w:val="16"/>
                <w:szCs w:val="16"/>
                <w:color w:val="auto"/>
              </w:rPr>
              <w:t>Total net realized capital gains (losses) after-tax</w:t>
            </w:r>
          </w:p>
        </w:tc>
        <w:tc>
          <w:tcPr>
            <w:tcW w:w="2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5020" w:type="dxa"/>
            <w:vAlign w:val="bottom"/>
          </w:tcPr>
          <w:p>
            <w:pPr>
              <w:ind w:left="320"/>
              <w:spacing w:after="0"/>
              <w:rPr>
                <w:sz w:val="20"/>
                <w:szCs w:val="20"/>
                <w:color w:val="auto"/>
              </w:rPr>
            </w:pPr>
            <w:r>
              <w:rPr>
                <w:rFonts w:ascii="Arial" w:cs="Arial" w:eastAsia="Arial" w:hAnsi="Arial"/>
                <w:sz w:val="16"/>
                <w:szCs w:val="16"/>
                <w:color w:val="auto"/>
              </w:rPr>
              <w:t>adjustments</w:t>
            </w:r>
          </w:p>
        </w:tc>
        <w:tc>
          <w:tcPr>
            <w:tcW w:w="22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(5.0)</w:t>
            </w:r>
          </w:p>
        </w:tc>
        <w:tc>
          <w:tcPr>
            <w:tcW w:w="24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(54.9)</w:t>
            </w:r>
          </w:p>
        </w:tc>
        <w:tc>
          <w:tcPr>
            <w:tcW w:w="24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(83.8)</w:t>
            </w:r>
          </w:p>
        </w:tc>
        <w:tc>
          <w:tcPr>
            <w:tcW w:w="240" w:type="dxa"/>
            <w:vAlign w:val="bottom"/>
          </w:tcPr>
          <w:p>
            <w:pPr>
              <w:spacing w:after="0"/>
              <w:rPr>
                <w:sz w:val="16"/>
                <w:szCs w:val="16"/>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(84.5)</w:t>
            </w:r>
          </w:p>
        </w:tc>
        <w:tc>
          <w:tcPr>
            <w:tcW w:w="0" w:type="dxa"/>
            <w:vAlign w:val="bottom"/>
          </w:tcPr>
          <w:p>
            <w:pPr>
              <w:spacing w:after="0"/>
              <w:rPr>
                <w:sz w:val="1"/>
                <w:szCs w:val="1"/>
                <w:color w:val="auto"/>
              </w:rPr>
            </w:pPr>
          </w:p>
        </w:tc>
      </w:tr>
      <w:tr>
        <w:trPr>
          <w:trHeight w:val="317"/>
        </w:trPr>
        <w:tc>
          <w:tcPr>
            <w:tcW w:w="5020" w:type="dxa"/>
            <w:vAlign w:val="bottom"/>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5020" w:type="dxa"/>
            <w:vAlign w:val="bottom"/>
          </w:tcPr>
          <w:p>
            <w:pPr>
              <w:spacing w:after="0"/>
              <w:rPr>
                <w:sz w:val="20"/>
                <w:szCs w:val="20"/>
                <w:color w:val="auto"/>
              </w:rPr>
            </w:pPr>
            <w:r>
              <w:rPr>
                <w:rFonts w:ascii="Arial" w:cs="Arial" w:eastAsia="Arial" w:hAnsi="Arial"/>
                <w:sz w:val="16"/>
                <w:szCs w:val="16"/>
                <w:color w:val="auto"/>
              </w:rPr>
              <w:t>Net realized capital gains (losses), as adjusted</w:t>
            </w:r>
          </w:p>
        </w:tc>
        <w:tc>
          <w:tcPr>
            <w:tcW w:w="220" w:type="dxa"/>
            <w:vAlign w:val="bottom"/>
            <w:tcBorders>
              <w:bottom w:val="single" w:sz="8" w:color="auto"/>
            </w:tcBorders>
          </w:tcPr>
          <w:p>
            <w:pPr>
              <w:jc w:val="right"/>
              <w:ind w:right="109"/>
              <w:spacing w:after="0"/>
              <w:rPr>
                <w:sz w:val="20"/>
                <w:szCs w:val="20"/>
                <w:color w:val="auto"/>
              </w:rPr>
            </w:pPr>
            <w:r>
              <w:rPr>
                <w:rFonts w:ascii="Arial" w:cs="Arial" w:eastAsia="Arial" w:hAnsi="Arial"/>
                <w:sz w:val="10"/>
                <w:szCs w:val="10"/>
                <w:color w:val="auto"/>
                <w:w w:val="71"/>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(21.6)</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81.7</w:t>
            </w:r>
          </w:p>
        </w:tc>
        <w:tc>
          <w:tcPr>
            <w:tcW w:w="240" w:type="dxa"/>
            <w:vAlign w:val="bottom"/>
            <w:tcBorders>
              <w:bottom w:val="single" w:sz="8" w:color="auto"/>
            </w:tcBorders>
          </w:tcPr>
          <w:p>
            <w:pPr>
              <w:jc w:val="right"/>
              <w:ind w:right="84"/>
              <w:spacing w:after="0"/>
              <w:rPr>
                <w:sz w:val="20"/>
                <w:szCs w:val="20"/>
                <w:color w:val="auto"/>
              </w:rPr>
            </w:pPr>
            <w:r>
              <w:rPr>
                <w:rFonts w:ascii="Arial" w:cs="Arial" w:eastAsia="Arial" w:hAnsi="Arial"/>
                <w:sz w:val="15"/>
                <w:szCs w:val="15"/>
                <w:color w:val="auto"/>
                <w:w w:val="71"/>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(65.9)</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(65.2)</w:t>
            </w:r>
          </w:p>
        </w:tc>
        <w:tc>
          <w:tcPr>
            <w:tcW w:w="0" w:type="dxa"/>
            <w:vAlign w:val="bottom"/>
          </w:tcPr>
          <w:p>
            <w:pPr>
              <w:spacing w:after="0"/>
              <w:rPr>
                <w:sz w:val="1"/>
                <w:szCs w:val="1"/>
                <w:color w:val="auto"/>
              </w:rPr>
            </w:pPr>
          </w:p>
        </w:tc>
      </w:tr>
      <w:tr>
        <w:trPr>
          <w:trHeight w:val="20"/>
        </w:trPr>
        <w:tc>
          <w:tcPr>
            <w:tcW w:w="5020" w:type="dxa"/>
            <w:vAlign w:val="bottom"/>
            <w:vMerge w:val="restart"/>
          </w:tcPr>
          <w:p>
            <w:pPr>
              <w:spacing w:after="0"/>
              <w:rPr>
                <w:sz w:val="20"/>
                <w:szCs w:val="20"/>
                <w:color w:val="auto"/>
              </w:rPr>
            </w:pPr>
            <w:r>
              <w:rPr>
                <w:rFonts w:ascii="Arial" w:cs="Arial" w:eastAsia="Arial" w:hAnsi="Arial"/>
                <w:sz w:val="16"/>
                <w:szCs w:val="16"/>
                <w:b w:val="1"/>
                <w:bCs w:val="1"/>
                <w:color w:val="auto"/>
              </w:rPr>
              <w:t>Other After-Tax Adjustments:</w:t>
            </w:r>
          </w:p>
        </w:tc>
        <w:tc>
          <w:tcPr>
            <w:tcW w:w="2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80"/>
        </w:trPr>
        <w:tc>
          <w:tcPr>
            <w:tcW w:w="5020" w:type="dxa"/>
            <w:vAlign w:val="bottom"/>
            <w:vMerge w:val="continue"/>
          </w:tcPr>
          <w:p>
            <w:pPr>
              <w:spacing w:after="0"/>
              <w:rPr>
                <w:sz w:val="24"/>
                <w:szCs w:val="24"/>
                <w:color w:val="auto"/>
              </w:rPr>
            </w:pPr>
          </w:p>
        </w:tc>
        <w:tc>
          <w:tcPr>
            <w:tcW w:w="22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5020" w:type="dxa"/>
            <w:vAlign w:val="bottom"/>
          </w:tcPr>
          <w:p>
            <w:pPr>
              <w:spacing w:after="0"/>
              <w:rPr>
                <w:sz w:val="20"/>
                <w:szCs w:val="20"/>
                <w:color w:val="auto"/>
              </w:rPr>
            </w:pPr>
            <w:r>
              <w:rPr>
                <w:rFonts w:ascii="Arial" w:cs="Arial" w:eastAsia="Arial" w:hAnsi="Arial"/>
                <w:sz w:val="16"/>
                <w:szCs w:val="16"/>
                <w:color w:val="auto"/>
              </w:rPr>
              <w:t>Exited group medical insurance business:</w:t>
            </w:r>
          </w:p>
        </w:tc>
        <w:tc>
          <w:tcPr>
            <w:tcW w:w="22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5020" w:type="dxa"/>
            <w:vAlign w:val="bottom"/>
          </w:tcPr>
          <w:p>
            <w:pPr>
              <w:ind w:left="240"/>
              <w:spacing w:after="0"/>
              <w:rPr>
                <w:sz w:val="20"/>
                <w:szCs w:val="20"/>
                <w:color w:val="auto"/>
              </w:rPr>
            </w:pPr>
            <w:r>
              <w:rPr>
                <w:rFonts w:ascii="Arial" w:cs="Arial" w:eastAsia="Arial" w:hAnsi="Arial"/>
                <w:sz w:val="16"/>
                <w:szCs w:val="16"/>
                <w:color w:val="auto"/>
              </w:rPr>
              <w:t>Pre-tax</w:t>
            </w:r>
          </w:p>
        </w:tc>
        <w:tc>
          <w:tcPr>
            <w:tcW w:w="220" w:type="dxa"/>
            <w:vAlign w:val="bottom"/>
          </w:tcPr>
          <w:p>
            <w:pPr>
              <w:jc w:val="right"/>
              <w:ind w:right="109"/>
              <w:spacing w:after="0"/>
              <w:rPr>
                <w:sz w:val="20"/>
                <w:szCs w:val="20"/>
                <w:color w:val="auto"/>
              </w:rPr>
            </w:pPr>
            <w:r>
              <w:rPr>
                <w:rFonts w:ascii="Arial" w:cs="Arial" w:eastAsia="Arial" w:hAnsi="Arial"/>
                <w:sz w:val="10"/>
                <w:szCs w:val="10"/>
                <w:color w:val="auto"/>
                <w:w w:val="71"/>
              </w:rPr>
              <w:t>$</w:t>
            </w: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84"/>
              <w:spacing w:after="0"/>
              <w:rPr>
                <w:sz w:val="20"/>
                <w:szCs w:val="20"/>
                <w:color w:val="auto"/>
              </w:rPr>
            </w:pPr>
            <w:r>
              <w:rPr>
                <w:rFonts w:ascii="Arial" w:cs="Arial" w:eastAsia="Arial" w:hAnsi="Arial"/>
                <w:sz w:val="15"/>
                <w:szCs w:val="15"/>
                <w:color w:val="auto"/>
                <w:w w:val="71"/>
              </w:rPr>
              <w:t>$</w:t>
            </w: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spacing w:after="0"/>
              <w:rPr>
                <w:sz w:val="20"/>
                <w:szCs w:val="20"/>
                <w:color w:val="auto"/>
              </w:rPr>
            </w:pPr>
            <w:r>
              <w:rPr>
                <w:rFonts w:ascii="Arial" w:cs="Arial" w:eastAsia="Arial" w:hAnsi="Arial"/>
                <w:sz w:val="16"/>
                <w:szCs w:val="16"/>
                <w:color w:val="auto"/>
              </w:rPr>
              <w:t>(3.2)</w:t>
            </w:r>
          </w:p>
        </w:tc>
        <w:tc>
          <w:tcPr>
            <w:tcW w:w="0" w:type="dxa"/>
            <w:vAlign w:val="bottom"/>
          </w:tcPr>
          <w:p>
            <w:pPr>
              <w:spacing w:after="0"/>
              <w:rPr>
                <w:sz w:val="1"/>
                <w:szCs w:val="1"/>
                <w:color w:val="auto"/>
              </w:rPr>
            </w:pPr>
          </w:p>
        </w:tc>
      </w:tr>
      <w:tr>
        <w:trPr>
          <w:trHeight w:val="243"/>
        </w:trPr>
        <w:tc>
          <w:tcPr>
            <w:tcW w:w="5020" w:type="dxa"/>
            <w:vAlign w:val="bottom"/>
          </w:tcPr>
          <w:p>
            <w:pPr>
              <w:ind w:left="240"/>
              <w:spacing w:after="0"/>
              <w:rPr>
                <w:sz w:val="20"/>
                <w:szCs w:val="20"/>
                <w:color w:val="auto"/>
              </w:rPr>
            </w:pPr>
            <w:r>
              <w:rPr>
                <w:rFonts w:ascii="Arial" w:cs="Arial" w:eastAsia="Arial" w:hAnsi="Arial"/>
                <w:sz w:val="16"/>
                <w:szCs w:val="16"/>
                <w:color w:val="auto"/>
              </w:rPr>
              <w:t>Tax</w:t>
            </w:r>
          </w:p>
        </w:tc>
        <w:tc>
          <w:tcPr>
            <w:tcW w:w="22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1.1</w:t>
            </w:r>
          </w:p>
        </w:tc>
        <w:tc>
          <w:tcPr>
            <w:tcW w:w="0" w:type="dxa"/>
            <w:vAlign w:val="bottom"/>
          </w:tcPr>
          <w:p>
            <w:pPr>
              <w:spacing w:after="0"/>
              <w:rPr>
                <w:sz w:val="1"/>
                <w:szCs w:val="1"/>
                <w:color w:val="auto"/>
              </w:rPr>
            </w:pPr>
          </w:p>
        </w:tc>
      </w:tr>
      <w:tr>
        <w:trPr>
          <w:trHeight w:val="270"/>
        </w:trPr>
        <w:tc>
          <w:tcPr>
            <w:tcW w:w="5020" w:type="dxa"/>
            <w:vAlign w:val="bottom"/>
          </w:tcPr>
          <w:p>
            <w:pPr>
              <w:spacing w:after="0"/>
              <w:rPr>
                <w:sz w:val="20"/>
                <w:szCs w:val="20"/>
                <w:color w:val="auto"/>
              </w:rPr>
            </w:pPr>
            <w:r>
              <w:rPr>
                <w:rFonts w:ascii="Arial" w:cs="Arial" w:eastAsia="Arial" w:hAnsi="Arial"/>
                <w:sz w:val="16"/>
                <w:szCs w:val="16"/>
                <w:color w:val="auto"/>
              </w:rPr>
              <w:t>Impact of a tax court ruling and related indemnification:</w:t>
            </w:r>
          </w:p>
        </w:tc>
        <w:tc>
          <w:tcPr>
            <w:tcW w:w="22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5020" w:type="dxa"/>
            <w:vAlign w:val="bottom"/>
          </w:tcPr>
          <w:p>
            <w:pPr>
              <w:ind w:left="240"/>
              <w:spacing w:after="0"/>
              <w:rPr>
                <w:sz w:val="20"/>
                <w:szCs w:val="20"/>
                <w:color w:val="auto"/>
              </w:rPr>
            </w:pPr>
            <w:r>
              <w:rPr>
                <w:rFonts w:ascii="Arial" w:cs="Arial" w:eastAsia="Arial" w:hAnsi="Arial"/>
                <w:sz w:val="16"/>
                <w:szCs w:val="16"/>
                <w:color w:val="auto"/>
              </w:rPr>
              <w:t>Pre-tax</w:t>
            </w:r>
          </w:p>
        </w:tc>
        <w:tc>
          <w:tcPr>
            <w:tcW w:w="22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1"/>
                <w:szCs w:val="21"/>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(1.8)</w:t>
            </w:r>
          </w:p>
        </w:tc>
        <w:tc>
          <w:tcPr>
            <w:tcW w:w="0" w:type="dxa"/>
            <w:vAlign w:val="bottom"/>
          </w:tcPr>
          <w:p>
            <w:pPr>
              <w:spacing w:after="0"/>
              <w:rPr>
                <w:sz w:val="1"/>
                <w:szCs w:val="1"/>
                <w:color w:val="auto"/>
              </w:rPr>
            </w:pPr>
          </w:p>
        </w:tc>
      </w:tr>
      <w:tr>
        <w:trPr>
          <w:trHeight w:val="243"/>
        </w:trPr>
        <w:tc>
          <w:tcPr>
            <w:tcW w:w="5020" w:type="dxa"/>
            <w:vAlign w:val="bottom"/>
          </w:tcPr>
          <w:p>
            <w:pPr>
              <w:ind w:left="240"/>
              <w:spacing w:after="0"/>
              <w:rPr>
                <w:sz w:val="20"/>
                <w:szCs w:val="20"/>
                <w:color w:val="auto"/>
              </w:rPr>
            </w:pPr>
            <w:r>
              <w:rPr>
                <w:rFonts w:ascii="Arial" w:cs="Arial" w:eastAsia="Arial" w:hAnsi="Arial"/>
                <w:sz w:val="16"/>
                <w:szCs w:val="16"/>
                <w:color w:val="auto"/>
              </w:rPr>
              <w:t>Tax</w:t>
            </w:r>
          </w:p>
        </w:tc>
        <w:tc>
          <w:tcPr>
            <w:tcW w:w="22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1.8</w:t>
            </w:r>
          </w:p>
        </w:tc>
        <w:tc>
          <w:tcPr>
            <w:tcW w:w="0" w:type="dxa"/>
            <w:vAlign w:val="bottom"/>
          </w:tcPr>
          <w:p>
            <w:pPr>
              <w:spacing w:after="0"/>
              <w:rPr>
                <w:sz w:val="1"/>
                <w:szCs w:val="1"/>
                <w:color w:val="auto"/>
              </w:rPr>
            </w:pPr>
          </w:p>
        </w:tc>
      </w:tr>
      <w:tr>
        <w:trPr>
          <w:trHeight w:val="270"/>
        </w:trPr>
        <w:tc>
          <w:tcPr>
            <w:tcW w:w="5020" w:type="dxa"/>
            <w:vAlign w:val="bottom"/>
          </w:tcPr>
          <w:p>
            <w:pPr>
              <w:spacing w:after="0"/>
              <w:rPr>
                <w:sz w:val="20"/>
                <w:szCs w:val="20"/>
                <w:color w:val="auto"/>
              </w:rPr>
            </w:pPr>
            <w:r>
              <w:rPr>
                <w:rFonts w:ascii="Arial" w:cs="Arial" w:eastAsia="Arial" w:hAnsi="Arial"/>
                <w:sz w:val="16"/>
                <w:szCs w:val="16"/>
                <w:color w:val="auto"/>
              </w:rPr>
              <w:t>Early extinguishment of debt:</w:t>
            </w:r>
          </w:p>
        </w:tc>
        <w:tc>
          <w:tcPr>
            <w:tcW w:w="22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1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43"/>
        </w:trPr>
        <w:tc>
          <w:tcPr>
            <w:tcW w:w="5020" w:type="dxa"/>
            <w:vAlign w:val="bottom"/>
          </w:tcPr>
          <w:p>
            <w:pPr>
              <w:ind w:left="240"/>
              <w:spacing w:after="0"/>
              <w:rPr>
                <w:sz w:val="20"/>
                <w:szCs w:val="20"/>
                <w:color w:val="auto"/>
              </w:rPr>
            </w:pPr>
            <w:r>
              <w:rPr>
                <w:rFonts w:ascii="Arial" w:cs="Arial" w:eastAsia="Arial" w:hAnsi="Arial"/>
                <w:sz w:val="16"/>
                <w:szCs w:val="16"/>
                <w:color w:val="auto"/>
              </w:rPr>
              <w:t>Pre-tax</w:t>
            </w:r>
          </w:p>
        </w:tc>
        <w:tc>
          <w:tcPr>
            <w:tcW w:w="220" w:type="dxa"/>
            <w:vAlign w:val="bottom"/>
          </w:tcPr>
          <w:p>
            <w:pPr>
              <w:spacing w:after="0"/>
              <w:rPr>
                <w:sz w:val="21"/>
                <w:szCs w:val="21"/>
                <w:color w:val="auto"/>
              </w:rPr>
            </w:pPr>
          </w:p>
        </w:tc>
        <w:tc>
          <w:tcPr>
            <w:tcW w:w="11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(86.4)</w:t>
            </w:r>
          </w:p>
        </w:tc>
        <w:tc>
          <w:tcPr>
            <w:tcW w:w="240" w:type="dxa"/>
            <w:vAlign w:val="bottom"/>
          </w:tcPr>
          <w:p>
            <w:pPr>
              <w:spacing w:after="0"/>
              <w:rPr>
                <w:sz w:val="21"/>
                <w:szCs w:val="21"/>
                <w:color w:val="auto"/>
              </w:rPr>
            </w:pPr>
          </w:p>
        </w:tc>
        <w:tc>
          <w:tcPr>
            <w:tcW w:w="112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56"/>
        </w:trPr>
        <w:tc>
          <w:tcPr>
            <w:tcW w:w="5020" w:type="dxa"/>
            <w:vAlign w:val="bottom"/>
          </w:tcPr>
          <w:p>
            <w:pPr>
              <w:ind w:left="240"/>
              <w:spacing w:after="0"/>
              <w:rPr>
                <w:sz w:val="20"/>
                <w:szCs w:val="20"/>
                <w:color w:val="auto"/>
              </w:rPr>
            </w:pPr>
            <w:r>
              <w:rPr>
                <w:rFonts w:ascii="Arial" w:cs="Arial" w:eastAsia="Arial" w:hAnsi="Arial"/>
                <w:sz w:val="16"/>
                <w:szCs w:val="16"/>
                <w:color w:val="auto"/>
              </w:rPr>
              <w:t>Tax</w:t>
            </w:r>
          </w:p>
        </w:tc>
        <w:tc>
          <w:tcPr>
            <w:tcW w:w="22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34.4</w:t>
            </w:r>
          </w:p>
        </w:tc>
        <w:tc>
          <w:tcPr>
            <w:tcW w:w="240" w:type="dxa"/>
            <w:vAlign w:val="bottom"/>
            <w:tcBorders>
              <w:bottom w:val="single" w:sz="8" w:color="auto"/>
            </w:tcBorders>
          </w:tcPr>
          <w:p>
            <w:pPr>
              <w:spacing w:after="0"/>
              <w:rPr>
                <w:sz w:val="22"/>
                <w:szCs w:val="22"/>
                <w:color w:val="auto"/>
              </w:rPr>
            </w:pPr>
          </w:p>
        </w:tc>
        <w:tc>
          <w:tcPr>
            <w:tcW w:w="11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40"/>
        </w:trPr>
        <w:tc>
          <w:tcPr>
            <w:tcW w:w="5020" w:type="dxa"/>
            <w:vAlign w:val="bottom"/>
          </w:tcPr>
          <w:p>
            <w:pPr>
              <w:spacing w:after="0"/>
              <w:rPr>
                <w:sz w:val="20"/>
                <w:szCs w:val="20"/>
                <w:color w:val="auto"/>
              </w:rPr>
            </w:pPr>
            <w:r>
              <w:rPr>
                <w:rFonts w:ascii="Arial" w:cs="Arial" w:eastAsia="Arial" w:hAnsi="Arial"/>
                <w:sz w:val="16"/>
                <w:szCs w:val="16"/>
                <w:color w:val="auto"/>
              </w:rPr>
              <w:t>Total other after-tax adjustments</w:t>
            </w:r>
          </w:p>
        </w:tc>
        <w:tc>
          <w:tcPr>
            <w:tcW w:w="220" w:type="dxa"/>
            <w:vAlign w:val="bottom"/>
            <w:tcBorders>
              <w:bottom w:val="single" w:sz="8" w:color="auto"/>
            </w:tcBorders>
          </w:tcPr>
          <w:p>
            <w:pPr>
              <w:jc w:val="right"/>
              <w:ind w:right="109"/>
              <w:spacing w:after="0"/>
              <w:rPr>
                <w:sz w:val="20"/>
                <w:szCs w:val="20"/>
                <w:color w:val="auto"/>
              </w:rPr>
            </w:pPr>
            <w:r>
              <w:rPr>
                <w:rFonts w:ascii="Arial" w:cs="Arial" w:eastAsia="Arial" w:hAnsi="Arial"/>
                <w:sz w:val="10"/>
                <w:szCs w:val="10"/>
                <w:color w:val="auto"/>
                <w:w w:val="71"/>
              </w:rPr>
              <w:t>$</w:t>
            </w:r>
          </w:p>
        </w:tc>
        <w:tc>
          <w:tcPr>
            <w:tcW w:w="11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tcPr>
          <w:p>
            <w:pPr>
              <w:jc w:val="right"/>
              <w:ind w:right="84"/>
              <w:spacing w:after="0"/>
              <w:rPr>
                <w:sz w:val="20"/>
                <w:szCs w:val="20"/>
                <w:color w:val="auto"/>
              </w:rPr>
            </w:pPr>
            <w:r>
              <w:rPr>
                <w:rFonts w:ascii="Arial" w:cs="Arial" w:eastAsia="Arial" w:hAnsi="Arial"/>
                <w:sz w:val="15"/>
                <w:szCs w:val="15"/>
                <w:color w:val="auto"/>
                <w:w w:val="71"/>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(52.0)</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w:t>
            </w:r>
          </w:p>
        </w:tc>
        <w:tc>
          <w:tcPr>
            <w:tcW w:w="0" w:type="dxa"/>
            <w:vAlign w:val="bottom"/>
          </w:tcPr>
          <w:p>
            <w:pPr>
              <w:spacing w:after="0"/>
              <w:rPr>
                <w:sz w:val="1"/>
                <w:szCs w:val="1"/>
                <w:color w:val="auto"/>
              </w:rPr>
            </w:pPr>
          </w:p>
        </w:tc>
      </w:tr>
      <w:tr>
        <w:trPr>
          <w:trHeight w:val="20"/>
        </w:trPr>
        <w:tc>
          <w:tcPr>
            <w:tcW w:w="50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0400"/>
          </w:cols>
          <w:pgMar w:left="780" w:top="1292" w:right="719" w:bottom="1440" w:gutter="0" w:footer="0" w:header="0"/>
        </w:sectPr>
      </w:pPr>
    </w:p>
    <w:bookmarkStart w:id="12" w:name="page13"/>
    <w:bookmarkEnd w:id="12"/>
    <w:p>
      <w:pPr>
        <w:jc w:val="center"/>
        <w:ind w:right="60"/>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5397500</wp:posOffset>
            </wp:positionH>
            <wp:positionV relativeFrom="page">
              <wp:posOffset>88900</wp:posOffset>
            </wp:positionV>
            <wp:extent cx="2006600" cy="5918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clrChange>
                        <a:clrFrom>
                          <a:srgbClr val="FFFFFF"/>
                        </a:clrFrom>
                        <a:clrTo>
                          <a:srgbClr val="FFFFFF">
                            <a:alpha val="0"/>
                          </a:srgbClr>
                        </a:clrTo>
                      </a:clrChange>
                      <a:extLst>
                        <a:ext uri="{28A0092B-C50C-407E-A947-70E740481C1C}"/>
                      </a:extLst>
                    </a:blip>
                    <a:srcRect/>
                    <a:stretch>
                      <a:fillRect/>
                    </a:stretch>
                  </pic:blipFill>
                  <pic:spPr bwMode="auto">
                    <a:xfrm>
                      <a:off x="0" y="0"/>
                      <a:ext cx="2006600" cy="591820"/>
                    </a:xfrm>
                    <a:prstGeom prst="rect">
                      <a:avLst/>
                    </a:prstGeom>
                    <a:noFill/>
                  </pic:spPr>
                </pic:pic>
              </a:graphicData>
            </a:graphic>
          </wp:anchor>
        </w:drawing>
        <w:t>Principal Financial Group, Inc.</w:t>
      </w:r>
    </w:p>
    <w:p>
      <w:pPr>
        <w:spacing w:after="0" w:line="25" w:lineRule="exact"/>
        <w:rPr>
          <w:sz w:val="20"/>
          <w:szCs w:val="20"/>
          <w:color w:val="auto"/>
        </w:rPr>
      </w:pPr>
    </w:p>
    <w:p>
      <w:pPr>
        <w:jc w:val="center"/>
        <w:ind w:right="60"/>
        <w:spacing w:after="0"/>
        <w:rPr>
          <w:sz w:val="20"/>
          <w:szCs w:val="20"/>
          <w:color w:val="auto"/>
        </w:rPr>
      </w:pPr>
      <w:r>
        <w:rPr>
          <w:rFonts w:ascii="Arial" w:cs="Arial" w:eastAsia="Arial" w:hAnsi="Arial"/>
          <w:sz w:val="16"/>
          <w:szCs w:val="16"/>
          <w:b w:val="1"/>
          <w:bCs w:val="1"/>
          <w:color w:val="auto"/>
        </w:rPr>
        <w:t>Reconciliation of U.S. GAAP to Non-GAAP Financial Measures</w:t>
      </w:r>
    </w:p>
    <w:p>
      <w:pPr>
        <w:spacing w:after="0" w:line="5" w:lineRule="exact"/>
        <w:rPr>
          <w:sz w:val="20"/>
          <w:szCs w:val="20"/>
          <w:color w:val="auto"/>
        </w:rPr>
      </w:pPr>
    </w:p>
    <w:p>
      <w:pPr>
        <w:jc w:val="center"/>
        <w:ind w:right="60"/>
        <w:spacing w:after="0"/>
        <w:rPr>
          <w:sz w:val="20"/>
          <w:szCs w:val="20"/>
          <w:color w:val="auto"/>
        </w:rPr>
      </w:pPr>
      <w:r>
        <w:rPr>
          <w:rFonts w:ascii="Arial" w:cs="Arial" w:eastAsia="Arial" w:hAnsi="Arial"/>
          <w:sz w:val="16"/>
          <w:szCs w:val="16"/>
          <w:b w:val="1"/>
          <w:bCs w:val="1"/>
          <w:color w:val="auto"/>
        </w:rPr>
        <w:t>(in millions)</w:t>
      </w: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5260" w:type="dxa"/>
            <w:vAlign w:val="bottom"/>
            <w:tcBorders>
              <w:right w:val="single" w:sz="8" w:color="auto"/>
            </w:tcBorders>
          </w:tcPr>
          <w:p>
            <w:pPr>
              <w:spacing w:after="0"/>
              <w:rPr>
                <w:sz w:val="22"/>
                <w:szCs w:val="22"/>
                <w:color w:val="auto"/>
              </w:rPr>
            </w:pPr>
          </w:p>
        </w:tc>
        <w:tc>
          <w:tcPr>
            <w:tcW w:w="240" w:type="dxa"/>
            <w:vAlign w:val="bottom"/>
            <w:tcBorders>
              <w:top w:val="single" w:sz="8" w:color="auto"/>
              <w:bottom w:val="single" w:sz="8" w:color="auto"/>
            </w:tcBorders>
          </w:tcPr>
          <w:p>
            <w:pPr>
              <w:spacing w:after="0"/>
              <w:rPr>
                <w:sz w:val="22"/>
                <w:szCs w:val="22"/>
                <w:color w:val="auto"/>
              </w:rPr>
            </w:pPr>
          </w:p>
        </w:tc>
        <w:tc>
          <w:tcPr>
            <w:tcW w:w="2580" w:type="dxa"/>
            <w:vAlign w:val="bottom"/>
            <w:tcBorders>
              <w:top w:val="single" w:sz="8" w:color="auto"/>
              <w:bottom w:val="single" w:sz="8" w:color="auto"/>
              <w:right w:val="single" w:sz="8" w:color="auto"/>
            </w:tcBorders>
            <w:gridSpan w:val="3"/>
          </w:tcPr>
          <w:p>
            <w:pPr>
              <w:jc w:val="right"/>
              <w:ind w:right="519"/>
              <w:spacing w:after="0"/>
              <w:rPr>
                <w:sz w:val="20"/>
                <w:szCs w:val="20"/>
                <w:color w:val="auto"/>
              </w:rPr>
            </w:pPr>
            <w:r>
              <w:rPr>
                <w:rFonts w:ascii="Arial" w:cs="Arial" w:eastAsia="Arial" w:hAnsi="Arial"/>
                <w:sz w:val="16"/>
                <w:szCs w:val="16"/>
                <w:b w:val="1"/>
                <w:bCs w:val="1"/>
                <w:color w:val="auto"/>
              </w:rPr>
              <w:t>Three Months Ended,</w:t>
            </w:r>
          </w:p>
        </w:tc>
        <w:tc>
          <w:tcPr>
            <w:tcW w:w="260" w:type="dxa"/>
            <w:vAlign w:val="bottom"/>
            <w:tcBorders>
              <w:top w:val="single" w:sz="8" w:color="auto"/>
              <w:bottom w:val="single" w:sz="8" w:color="auto"/>
            </w:tcBorders>
          </w:tcPr>
          <w:p>
            <w:pPr>
              <w:spacing w:after="0"/>
              <w:rPr>
                <w:sz w:val="22"/>
                <w:szCs w:val="22"/>
                <w:color w:val="auto"/>
              </w:rPr>
            </w:pPr>
          </w:p>
        </w:tc>
        <w:tc>
          <w:tcPr>
            <w:tcW w:w="2580" w:type="dxa"/>
            <w:vAlign w:val="bottom"/>
            <w:tcBorders>
              <w:top w:val="single" w:sz="8" w:color="auto"/>
              <w:bottom w:val="single" w:sz="8" w:color="auto"/>
              <w:right w:val="single" w:sz="8" w:color="auto"/>
            </w:tcBorders>
            <w:gridSpan w:val="3"/>
          </w:tcPr>
          <w:p>
            <w:pPr>
              <w:jc w:val="right"/>
              <w:ind w:right="439"/>
              <w:spacing w:after="0"/>
              <w:rPr>
                <w:sz w:val="20"/>
                <w:szCs w:val="20"/>
                <w:color w:val="auto"/>
              </w:rPr>
            </w:pPr>
            <w:r>
              <w:rPr>
                <w:rFonts w:ascii="Arial" w:cs="Arial" w:eastAsia="Arial" w:hAnsi="Arial"/>
                <w:sz w:val="16"/>
                <w:szCs w:val="16"/>
                <w:b w:val="1"/>
                <w:bCs w:val="1"/>
                <w:color w:val="auto"/>
              </w:rPr>
              <w:t>Trailing Twelve Months,</w:t>
            </w:r>
          </w:p>
        </w:tc>
        <w:tc>
          <w:tcPr>
            <w:tcW w:w="0" w:type="dxa"/>
            <w:vAlign w:val="bottom"/>
          </w:tcPr>
          <w:p>
            <w:pPr>
              <w:spacing w:after="0"/>
              <w:rPr>
                <w:sz w:val="1"/>
                <w:szCs w:val="1"/>
                <w:color w:val="auto"/>
              </w:rPr>
            </w:pPr>
          </w:p>
        </w:tc>
      </w:tr>
      <w:tr>
        <w:trPr>
          <w:trHeight w:val="250"/>
        </w:trPr>
        <w:tc>
          <w:tcPr>
            <w:tcW w:w="5260" w:type="dxa"/>
            <w:vAlign w:val="bottom"/>
            <w:tcBorders>
              <w:right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1160" w:type="dxa"/>
            <w:vAlign w:val="bottom"/>
            <w:tcBorders>
              <w:bottom w:val="single" w:sz="8" w:color="auto"/>
              <w:right w:val="single" w:sz="8" w:color="auto"/>
            </w:tcBorders>
          </w:tcPr>
          <w:p>
            <w:pPr>
              <w:jc w:val="right"/>
              <w:ind w:right="379"/>
              <w:spacing w:after="0"/>
              <w:rPr>
                <w:sz w:val="20"/>
                <w:szCs w:val="20"/>
                <w:color w:val="auto"/>
              </w:rPr>
            </w:pPr>
            <w:r>
              <w:rPr>
                <w:rFonts w:ascii="Arial" w:cs="Arial" w:eastAsia="Arial" w:hAnsi="Arial"/>
                <w:sz w:val="16"/>
                <w:szCs w:val="16"/>
                <w:b w:val="1"/>
                <w:bCs w:val="1"/>
                <w:color w:val="auto"/>
              </w:rPr>
              <w:t>3/31/17</w:t>
            </w:r>
          </w:p>
        </w:tc>
        <w:tc>
          <w:tcPr>
            <w:tcW w:w="260" w:type="dxa"/>
            <w:vAlign w:val="bottom"/>
            <w:tcBorders>
              <w:bottom w:val="single" w:sz="8" w:color="auto"/>
            </w:tcBorders>
          </w:tcPr>
          <w:p>
            <w:pPr>
              <w:spacing w:after="0"/>
              <w:rPr>
                <w:sz w:val="21"/>
                <w:szCs w:val="21"/>
                <w:color w:val="auto"/>
              </w:rPr>
            </w:pPr>
          </w:p>
        </w:tc>
        <w:tc>
          <w:tcPr>
            <w:tcW w:w="1160" w:type="dxa"/>
            <w:vAlign w:val="bottom"/>
            <w:tcBorders>
              <w:bottom w:val="single" w:sz="8" w:color="auto"/>
              <w:right w:val="single" w:sz="8" w:color="auto"/>
            </w:tcBorders>
          </w:tcPr>
          <w:p>
            <w:pPr>
              <w:jc w:val="right"/>
              <w:ind w:right="379"/>
              <w:spacing w:after="0"/>
              <w:rPr>
                <w:sz w:val="20"/>
                <w:szCs w:val="20"/>
                <w:color w:val="auto"/>
              </w:rPr>
            </w:pPr>
            <w:r>
              <w:rPr>
                <w:rFonts w:ascii="Arial" w:cs="Arial" w:eastAsia="Arial" w:hAnsi="Arial"/>
                <w:sz w:val="16"/>
                <w:szCs w:val="16"/>
                <w:b w:val="1"/>
                <w:bCs w:val="1"/>
                <w:color w:val="auto"/>
              </w:rPr>
              <w:t>3/31/16</w:t>
            </w:r>
          </w:p>
        </w:tc>
        <w:tc>
          <w:tcPr>
            <w:tcW w:w="260" w:type="dxa"/>
            <w:vAlign w:val="bottom"/>
            <w:tcBorders>
              <w:bottom w:val="single" w:sz="8" w:color="auto"/>
            </w:tcBorders>
          </w:tcPr>
          <w:p>
            <w:pPr>
              <w:spacing w:after="0"/>
              <w:rPr>
                <w:sz w:val="21"/>
                <w:szCs w:val="21"/>
                <w:color w:val="auto"/>
              </w:rPr>
            </w:pPr>
          </w:p>
        </w:tc>
        <w:tc>
          <w:tcPr>
            <w:tcW w:w="1160" w:type="dxa"/>
            <w:vAlign w:val="bottom"/>
            <w:tcBorders>
              <w:bottom w:val="single" w:sz="8" w:color="auto"/>
              <w:right w:val="single" w:sz="8" w:color="auto"/>
            </w:tcBorders>
          </w:tcPr>
          <w:p>
            <w:pPr>
              <w:jc w:val="right"/>
              <w:ind w:right="379"/>
              <w:spacing w:after="0"/>
              <w:rPr>
                <w:sz w:val="20"/>
                <w:szCs w:val="20"/>
                <w:color w:val="auto"/>
              </w:rPr>
            </w:pPr>
            <w:r>
              <w:rPr>
                <w:rFonts w:ascii="Arial" w:cs="Arial" w:eastAsia="Arial" w:hAnsi="Arial"/>
                <w:sz w:val="16"/>
                <w:szCs w:val="16"/>
                <w:b w:val="1"/>
                <w:bCs w:val="1"/>
                <w:color w:val="auto"/>
              </w:rPr>
              <w:t>3/31/17</w:t>
            </w:r>
          </w:p>
        </w:tc>
        <w:tc>
          <w:tcPr>
            <w:tcW w:w="260" w:type="dxa"/>
            <w:vAlign w:val="bottom"/>
            <w:tcBorders>
              <w:bottom w:val="single" w:sz="8" w:color="auto"/>
            </w:tcBorders>
          </w:tcPr>
          <w:p>
            <w:pPr>
              <w:spacing w:after="0"/>
              <w:rPr>
                <w:sz w:val="21"/>
                <w:szCs w:val="21"/>
                <w:color w:val="auto"/>
              </w:rPr>
            </w:pPr>
          </w:p>
        </w:tc>
        <w:tc>
          <w:tcPr>
            <w:tcW w:w="1160" w:type="dxa"/>
            <w:vAlign w:val="bottom"/>
            <w:tcBorders>
              <w:bottom w:val="single" w:sz="8" w:color="auto"/>
              <w:right w:val="single" w:sz="8" w:color="auto"/>
            </w:tcBorders>
          </w:tcPr>
          <w:p>
            <w:pPr>
              <w:jc w:val="right"/>
              <w:ind w:right="379"/>
              <w:spacing w:after="0"/>
              <w:rPr>
                <w:sz w:val="20"/>
                <w:szCs w:val="20"/>
                <w:color w:val="auto"/>
              </w:rPr>
            </w:pPr>
            <w:r>
              <w:rPr>
                <w:rFonts w:ascii="Arial" w:cs="Arial" w:eastAsia="Arial" w:hAnsi="Arial"/>
                <w:sz w:val="16"/>
                <w:szCs w:val="16"/>
                <w:b w:val="1"/>
                <w:bCs w:val="1"/>
                <w:color w:val="auto"/>
              </w:rPr>
              <w:t>3/31/16</w:t>
            </w:r>
          </w:p>
        </w:tc>
        <w:tc>
          <w:tcPr>
            <w:tcW w:w="0" w:type="dxa"/>
            <w:vAlign w:val="bottom"/>
          </w:tcPr>
          <w:p>
            <w:pPr>
              <w:spacing w:after="0"/>
              <w:rPr>
                <w:sz w:val="1"/>
                <w:szCs w:val="1"/>
                <w:color w:val="auto"/>
              </w:rPr>
            </w:pPr>
          </w:p>
        </w:tc>
      </w:tr>
      <w:tr>
        <w:trPr>
          <w:trHeight w:val="184"/>
        </w:trPr>
        <w:tc>
          <w:tcPr>
            <w:tcW w:w="5260" w:type="dxa"/>
            <w:vAlign w:val="bottom"/>
          </w:tcPr>
          <w:p>
            <w:pPr>
              <w:spacing w:after="0"/>
              <w:rPr>
                <w:sz w:val="20"/>
                <w:szCs w:val="20"/>
                <w:color w:val="auto"/>
              </w:rPr>
            </w:pPr>
            <w:r>
              <w:rPr>
                <w:rFonts w:ascii="Arial" w:cs="Arial" w:eastAsia="Arial" w:hAnsi="Arial"/>
                <w:sz w:val="16"/>
                <w:szCs w:val="16"/>
                <w:b w:val="1"/>
                <w:bCs w:val="1"/>
                <w:color w:val="auto"/>
              </w:rPr>
              <w:t>Principal Global Investors Operating Revenues Less</w:t>
            </w:r>
          </w:p>
        </w:tc>
        <w:tc>
          <w:tcPr>
            <w:tcW w:w="24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5"/>
        </w:trPr>
        <w:tc>
          <w:tcPr>
            <w:tcW w:w="5260" w:type="dxa"/>
            <w:vAlign w:val="bottom"/>
          </w:tcPr>
          <w:p>
            <w:pPr>
              <w:ind w:left="320"/>
              <w:spacing w:after="0"/>
              <w:rPr>
                <w:sz w:val="20"/>
                <w:szCs w:val="20"/>
                <w:color w:val="auto"/>
              </w:rPr>
            </w:pPr>
            <w:r>
              <w:rPr>
                <w:rFonts w:ascii="Arial" w:cs="Arial" w:eastAsia="Arial" w:hAnsi="Arial"/>
                <w:sz w:val="16"/>
                <w:szCs w:val="16"/>
                <w:b w:val="1"/>
                <w:bCs w:val="1"/>
                <w:color w:val="auto"/>
              </w:rPr>
              <w:t>Pass-Through Commissions:</w:t>
            </w:r>
          </w:p>
        </w:tc>
        <w:tc>
          <w:tcPr>
            <w:tcW w:w="2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5260" w:type="dxa"/>
            <w:vAlign w:val="bottom"/>
          </w:tcPr>
          <w:p>
            <w:pPr>
              <w:spacing w:after="0"/>
              <w:rPr>
                <w:sz w:val="20"/>
                <w:szCs w:val="20"/>
                <w:color w:val="auto"/>
              </w:rPr>
            </w:pPr>
            <w:r>
              <w:rPr>
                <w:rFonts w:ascii="Arial" w:cs="Arial" w:eastAsia="Arial" w:hAnsi="Arial"/>
                <w:sz w:val="16"/>
                <w:szCs w:val="16"/>
                <w:color w:val="auto"/>
              </w:rPr>
              <w:t>Operating revenues</w:t>
            </w:r>
          </w:p>
        </w:tc>
        <w:tc>
          <w:tcPr>
            <w:tcW w:w="240" w:type="dxa"/>
            <w:vAlign w:val="bottom"/>
          </w:tcPr>
          <w:p>
            <w:pPr>
              <w:jc w:val="right"/>
              <w:ind w:right="123"/>
              <w:spacing w:after="0"/>
              <w:rPr>
                <w:sz w:val="20"/>
                <w:szCs w:val="20"/>
                <w:color w:val="auto"/>
              </w:rPr>
            </w:pPr>
            <w:r>
              <w:rPr>
                <w:rFonts w:ascii="Arial" w:cs="Arial" w:eastAsia="Arial" w:hAnsi="Arial"/>
                <w:sz w:val="10"/>
                <w:szCs w:val="10"/>
                <w:color w:val="auto"/>
                <w:w w:val="71"/>
              </w:rPr>
              <w:t>$</w:t>
            </w:r>
          </w:p>
        </w:tc>
        <w:tc>
          <w:tcPr>
            <w:tcW w:w="1160" w:type="dxa"/>
            <w:vAlign w:val="bottom"/>
          </w:tcPr>
          <w:p>
            <w:pPr>
              <w:jc w:val="right"/>
              <w:ind w:right="59"/>
              <w:spacing w:after="0"/>
              <w:rPr>
                <w:sz w:val="20"/>
                <w:szCs w:val="20"/>
                <w:color w:val="auto"/>
              </w:rPr>
            </w:pPr>
            <w:r>
              <w:rPr>
                <w:rFonts w:ascii="Arial" w:cs="Arial" w:eastAsia="Arial" w:hAnsi="Arial"/>
                <w:sz w:val="16"/>
                <w:szCs w:val="16"/>
                <w:color w:val="auto"/>
              </w:rPr>
              <w:t>345.9</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1160" w:type="dxa"/>
            <w:vAlign w:val="bottom"/>
          </w:tcPr>
          <w:p>
            <w:pPr>
              <w:jc w:val="right"/>
              <w:ind w:right="59"/>
              <w:spacing w:after="0"/>
              <w:rPr>
                <w:sz w:val="20"/>
                <w:szCs w:val="20"/>
                <w:color w:val="auto"/>
              </w:rPr>
            </w:pPr>
            <w:r>
              <w:rPr>
                <w:rFonts w:ascii="Arial" w:cs="Arial" w:eastAsia="Arial" w:hAnsi="Arial"/>
                <w:sz w:val="16"/>
                <w:szCs w:val="16"/>
                <w:color w:val="auto"/>
              </w:rPr>
              <w:t>309.5</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1160" w:type="dxa"/>
            <w:vAlign w:val="bottom"/>
          </w:tcPr>
          <w:p>
            <w:pPr>
              <w:jc w:val="right"/>
              <w:ind w:right="59"/>
              <w:spacing w:after="0"/>
              <w:rPr>
                <w:sz w:val="20"/>
                <w:szCs w:val="20"/>
                <w:color w:val="auto"/>
              </w:rPr>
            </w:pPr>
            <w:r>
              <w:rPr>
                <w:rFonts w:ascii="Arial" w:cs="Arial" w:eastAsia="Arial" w:hAnsi="Arial"/>
                <w:sz w:val="16"/>
                <w:szCs w:val="16"/>
                <w:color w:val="auto"/>
              </w:rPr>
              <w:t>1,423.5</w:t>
            </w:r>
          </w:p>
        </w:tc>
        <w:tc>
          <w:tcPr>
            <w:tcW w:w="260" w:type="dxa"/>
            <w:vAlign w:val="bottom"/>
          </w:tcPr>
          <w:p>
            <w:pPr>
              <w:jc w:val="right"/>
              <w:ind w:right="104"/>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ind w:right="59"/>
              <w:spacing w:after="0"/>
              <w:rPr>
                <w:sz w:val="20"/>
                <w:szCs w:val="20"/>
                <w:color w:val="auto"/>
              </w:rPr>
            </w:pPr>
            <w:r>
              <w:rPr>
                <w:rFonts w:ascii="Arial" w:cs="Arial" w:eastAsia="Arial" w:hAnsi="Arial"/>
                <w:sz w:val="16"/>
                <w:szCs w:val="16"/>
                <w:color w:val="auto"/>
              </w:rPr>
              <w:t>1,324.1</w:t>
            </w:r>
          </w:p>
        </w:tc>
        <w:tc>
          <w:tcPr>
            <w:tcW w:w="0" w:type="dxa"/>
            <w:vAlign w:val="bottom"/>
          </w:tcPr>
          <w:p>
            <w:pPr>
              <w:spacing w:after="0"/>
              <w:rPr>
                <w:sz w:val="1"/>
                <w:szCs w:val="1"/>
                <w:color w:val="auto"/>
              </w:rPr>
            </w:pPr>
          </w:p>
        </w:tc>
      </w:tr>
      <w:tr>
        <w:trPr>
          <w:trHeight w:val="256"/>
        </w:trPr>
        <w:tc>
          <w:tcPr>
            <w:tcW w:w="5260" w:type="dxa"/>
            <w:vAlign w:val="bottom"/>
          </w:tcPr>
          <w:p>
            <w:pPr>
              <w:spacing w:after="0"/>
              <w:rPr>
                <w:sz w:val="20"/>
                <w:szCs w:val="20"/>
                <w:color w:val="auto"/>
              </w:rPr>
            </w:pPr>
            <w:r>
              <w:rPr>
                <w:rFonts w:ascii="Arial" w:cs="Arial" w:eastAsia="Arial" w:hAnsi="Arial"/>
                <w:sz w:val="16"/>
                <w:szCs w:val="16"/>
                <w:color w:val="auto"/>
              </w:rPr>
              <w:t>Commission expense</w:t>
            </w:r>
          </w:p>
        </w:tc>
        <w:tc>
          <w:tcPr>
            <w:tcW w:w="2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(39.6)</w:t>
            </w:r>
          </w:p>
        </w:tc>
        <w:tc>
          <w:tcPr>
            <w:tcW w:w="26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(39.8)</w:t>
            </w:r>
          </w:p>
        </w:tc>
        <w:tc>
          <w:tcPr>
            <w:tcW w:w="26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(162.8)</w:t>
            </w:r>
          </w:p>
        </w:tc>
        <w:tc>
          <w:tcPr>
            <w:tcW w:w="26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(176.8)</w:t>
            </w:r>
          </w:p>
        </w:tc>
        <w:tc>
          <w:tcPr>
            <w:tcW w:w="0" w:type="dxa"/>
            <w:vAlign w:val="bottom"/>
          </w:tcPr>
          <w:p>
            <w:pPr>
              <w:spacing w:after="0"/>
              <w:rPr>
                <w:sz w:val="1"/>
                <w:szCs w:val="1"/>
                <w:color w:val="auto"/>
              </w:rPr>
            </w:pPr>
          </w:p>
        </w:tc>
      </w:tr>
      <w:tr>
        <w:trPr>
          <w:trHeight w:val="237"/>
        </w:trPr>
        <w:tc>
          <w:tcPr>
            <w:tcW w:w="5260" w:type="dxa"/>
            <w:vAlign w:val="bottom"/>
          </w:tcPr>
          <w:p>
            <w:pPr>
              <w:spacing w:after="0"/>
              <w:rPr>
                <w:sz w:val="20"/>
                <w:szCs w:val="20"/>
                <w:color w:val="auto"/>
              </w:rPr>
            </w:pPr>
            <w:r>
              <w:rPr>
                <w:rFonts w:ascii="Arial" w:cs="Arial" w:eastAsia="Arial" w:hAnsi="Arial"/>
                <w:sz w:val="16"/>
                <w:szCs w:val="16"/>
                <w:color w:val="auto"/>
              </w:rPr>
              <w:t>Operating revenues less pass-through commissions</w:t>
            </w:r>
          </w:p>
        </w:tc>
        <w:tc>
          <w:tcPr>
            <w:tcW w:w="240" w:type="dxa"/>
            <w:vAlign w:val="bottom"/>
            <w:tcBorders>
              <w:bottom w:val="single" w:sz="8" w:color="auto"/>
            </w:tcBorders>
          </w:tcPr>
          <w:p>
            <w:pPr>
              <w:jc w:val="right"/>
              <w:ind w:right="123"/>
              <w:spacing w:after="0"/>
              <w:rPr>
                <w:sz w:val="20"/>
                <w:szCs w:val="20"/>
                <w:color w:val="auto"/>
              </w:rPr>
            </w:pPr>
            <w:r>
              <w:rPr>
                <w:rFonts w:ascii="Arial" w:cs="Arial" w:eastAsia="Arial" w:hAnsi="Arial"/>
                <w:sz w:val="10"/>
                <w:szCs w:val="10"/>
                <w:color w:val="auto"/>
                <w:w w:val="71"/>
              </w:rPr>
              <w:t>$</w:t>
            </w:r>
          </w:p>
        </w:tc>
        <w:tc>
          <w:tcPr>
            <w:tcW w:w="11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306.3</w:t>
            </w:r>
          </w:p>
        </w:tc>
        <w:tc>
          <w:tcPr>
            <w:tcW w:w="26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269.7</w:t>
            </w:r>
          </w:p>
        </w:tc>
        <w:tc>
          <w:tcPr>
            <w:tcW w:w="26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1,260.7</w:t>
            </w:r>
          </w:p>
        </w:tc>
        <w:tc>
          <w:tcPr>
            <w:tcW w:w="260" w:type="dxa"/>
            <w:vAlign w:val="bottom"/>
            <w:tcBorders>
              <w:bottom w:val="single" w:sz="8" w:color="auto"/>
            </w:tcBorders>
          </w:tcPr>
          <w:p>
            <w:pPr>
              <w:jc w:val="right"/>
              <w:ind w:right="104"/>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1,147.3</w:t>
            </w:r>
          </w:p>
        </w:tc>
        <w:tc>
          <w:tcPr>
            <w:tcW w:w="0" w:type="dxa"/>
            <w:vAlign w:val="bottom"/>
          </w:tcPr>
          <w:p>
            <w:pPr>
              <w:spacing w:after="0"/>
              <w:rPr>
                <w:sz w:val="1"/>
                <w:szCs w:val="1"/>
                <w:color w:val="auto"/>
              </w:rPr>
            </w:pPr>
          </w:p>
        </w:tc>
      </w:tr>
      <w:tr>
        <w:trPr>
          <w:trHeight w:val="20"/>
        </w:trPr>
        <w:tc>
          <w:tcPr>
            <w:tcW w:w="5260" w:type="dxa"/>
            <w:vAlign w:val="bottom"/>
            <w:vMerge w:val="restart"/>
          </w:tcPr>
          <w:p>
            <w:pPr>
              <w:spacing w:after="0"/>
              <w:rPr>
                <w:sz w:val="20"/>
                <w:szCs w:val="20"/>
                <w:color w:val="auto"/>
              </w:rPr>
            </w:pPr>
            <w:r>
              <w:rPr>
                <w:rFonts w:ascii="Arial" w:cs="Arial" w:eastAsia="Arial" w:hAnsi="Arial"/>
                <w:sz w:val="16"/>
                <w:szCs w:val="16"/>
                <w:b w:val="1"/>
                <w:bCs w:val="1"/>
                <w:color w:val="auto"/>
              </w:rPr>
              <w:t>Principal International Combined Net Revenue (at PFG</w:t>
            </w:r>
          </w:p>
        </w:tc>
        <w:tc>
          <w:tcPr>
            <w:tcW w:w="2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8"/>
        </w:trPr>
        <w:tc>
          <w:tcPr>
            <w:tcW w:w="5260" w:type="dxa"/>
            <w:vAlign w:val="bottom"/>
            <w:vMerge w:val="continue"/>
          </w:tcPr>
          <w:p>
            <w:pPr>
              <w:spacing w:after="0"/>
              <w:rPr>
                <w:sz w:val="24"/>
                <w:szCs w:val="24"/>
                <w:color w:val="auto"/>
              </w:rPr>
            </w:pPr>
          </w:p>
        </w:tc>
        <w:tc>
          <w:tcPr>
            <w:tcW w:w="24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5"/>
        </w:trPr>
        <w:tc>
          <w:tcPr>
            <w:tcW w:w="5260" w:type="dxa"/>
            <w:vAlign w:val="bottom"/>
          </w:tcPr>
          <w:p>
            <w:pPr>
              <w:ind w:left="320"/>
              <w:spacing w:after="0"/>
              <w:rPr>
                <w:sz w:val="20"/>
                <w:szCs w:val="20"/>
                <w:color w:val="auto"/>
              </w:rPr>
            </w:pPr>
            <w:r>
              <w:rPr>
                <w:rFonts w:ascii="Arial" w:cs="Arial" w:eastAsia="Arial" w:hAnsi="Arial"/>
                <w:sz w:val="16"/>
                <w:szCs w:val="16"/>
                <w:b w:val="1"/>
                <w:bCs w:val="1"/>
                <w:color w:val="auto"/>
              </w:rPr>
              <w:t>Share)</w:t>
            </w:r>
          </w:p>
        </w:tc>
        <w:tc>
          <w:tcPr>
            <w:tcW w:w="24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3"/>
        </w:trPr>
        <w:tc>
          <w:tcPr>
            <w:tcW w:w="5260" w:type="dxa"/>
            <w:vAlign w:val="bottom"/>
          </w:tcPr>
          <w:p>
            <w:pPr>
              <w:spacing w:after="0"/>
              <w:rPr>
                <w:sz w:val="20"/>
                <w:szCs w:val="20"/>
                <w:color w:val="auto"/>
              </w:rPr>
            </w:pPr>
            <w:r>
              <w:rPr>
                <w:rFonts w:ascii="Arial" w:cs="Arial" w:eastAsia="Arial" w:hAnsi="Arial"/>
                <w:sz w:val="16"/>
                <w:szCs w:val="16"/>
                <w:color w:val="auto"/>
              </w:rPr>
              <w:t>Pre-tax operating earnings</w:t>
            </w:r>
          </w:p>
        </w:tc>
        <w:tc>
          <w:tcPr>
            <w:tcW w:w="240" w:type="dxa"/>
            <w:vAlign w:val="bottom"/>
          </w:tcPr>
          <w:p>
            <w:pPr>
              <w:jc w:val="right"/>
              <w:ind w:right="123"/>
              <w:spacing w:after="0"/>
              <w:rPr>
                <w:sz w:val="20"/>
                <w:szCs w:val="20"/>
                <w:color w:val="auto"/>
              </w:rPr>
            </w:pPr>
            <w:r>
              <w:rPr>
                <w:rFonts w:ascii="Arial" w:cs="Arial" w:eastAsia="Arial" w:hAnsi="Arial"/>
                <w:sz w:val="10"/>
                <w:szCs w:val="10"/>
                <w:color w:val="auto"/>
                <w:w w:val="71"/>
              </w:rPr>
              <w:t>$</w:t>
            </w:r>
          </w:p>
        </w:tc>
        <w:tc>
          <w:tcPr>
            <w:tcW w:w="1160" w:type="dxa"/>
            <w:vAlign w:val="bottom"/>
          </w:tcPr>
          <w:p>
            <w:pPr>
              <w:jc w:val="right"/>
              <w:ind w:right="59"/>
              <w:spacing w:after="0"/>
              <w:rPr>
                <w:sz w:val="20"/>
                <w:szCs w:val="20"/>
                <w:color w:val="auto"/>
              </w:rPr>
            </w:pPr>
            <w:r>
              <w:rPr>
                <w:rFonts w:ascii="Arial" w:cs="Arial" w:eastAsia="Arial" w:hAnsi="Arial"/>
                <w:sz w:val="16"/>
                <w:szCs w:val="16"/>
                <w:color w:val="auto"/>
              </w:rPr>
              <w:t>100.9</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1160" w:type="dxa"/>
            <w:vAlign w:val="bottom"/>
          </w:tcPr>
          <w:p>
            <w:pPr>
              <w:jc w:val="right"/>
              <w:ind w:right="59"/>
              <w:spacing w:after="0"/>
              <w:rPr>
                <w:sz w:val="20"/>
                <w:szCs w:val="20"/>
                <w:color w:val="auto"/>
              </w:rPr>
            </w:pPr>
            <w:r>
              <w:rPr>
                <w:rFonts w:ascii="Arial" w:cs="Arial" w:eastAsia="Arial" w:hAnsi="Arial"/>
                <w:sz w:val="16"/>
                <w:szCs w:val="16"/>
                <w:color w:val="auto"/>
              </w:rPr>
              <w:t>68.0</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1160" w:type="dxa"/>
            <w:vAlign w:val="bottom"/>
          </w:tcPr>
          <w:p>
            <w:pPr>
              <w:jc w:val="right"/>
              <w:ind w:right="59"/>
              <w:spacing w:after="0"/>
              <w:rPr>
                <w:sz w:val="20"/>
                <w:szCs w:val="20"/>
                <w:color w:val="auto"/>
              </w:rPr>
            </w:pPr>
            <w:r>
              <w:rPr>
                <w:rFonts w:ascii="Arial" w:cs="Arial" w:eastAsia="Arial" w:hAnsi="Arial"/>
                <w:sz w:val="16"/>
                <w:szCs w:val="16"/>
                <w:color w:val="auto"/>
              </w:rPr>
              <w:t>321.0</w:t>
            </w:r>
          </w:p>
        </w:tc>
        <w:tc>
          <w:tcPr>
            <w:tcW w:w="260" w:type="dxa"/>
            <w:vAlign w:val="bottom"/>
          </w:tcPr>
          <w:p>
            <w:pPr>
              <w:jc w:val="right"/>
              <w:ind w:right="104"/>
              <w:spacing w:after="0"/>
              <w:rPr>
                <w:sz w:val="20"/>
                <w:szCs w:val="20"/>
                <w:color w:val="auto"/>
              </w:rPr>
            </w:pPr>
            <w:r>
              <w:rPr>
                <w:rFonts w:ascii="Arial" w:cs="Arial" w:eastAsia="Arial" w:hAnsi="Arial"/>
                <w:sz w:val="15"/>
                <w:szCs w:val="15"/>
                <w:color w:val="auto"/>
                <w:w w:val="71"/>
              </w:rPr>
              <w:t>$</w:t>
            </w:r>
          </w:p>
        </w:tc>
        <w:tc>
          <w:tcPr>
            <w:tcW w:w="1160" w:type="dxa"/>
            <w:vAlign w:val="bottom"/>
          </w:tcPr>
          <w:p>
            <w:pPr>
              <w:jc w:val="right"/>
              <w:ind w:right="59"/>
              <w:spacing w:after="0"/>
              <w:rPr>
                <w:sz w:val="20"/>
                <w:szCs w:val="20"/>
                <w:color w:val="auto"/>
              </w:rPr>
            </w:pPr>
            <w:r>
              <w:rPr>
                <w:rFonts w:ascii="Arial" w:cs="Arial" w:eastAsia="Arial" w:hAnsi="Arial"/>
                <w:sz w:val="16"/>
                <w:szCs w:val="16"/>
                <w:color w:val="auto"/>
              </w:rPr>
              <w:t>258.5</w:t>
            </w:r>
          </w:p>
        </w:tc>
        <w:tc>
          <w:tcPr>
            <w:tcW w:w="0" w:type="dxa"/>
            <w:vAlign w:val="bottom"/>
          </w:tcPr>
          <w:p>
            <w:pPr>
              <w:spacing w:after="0"/>
              <w:rPr>
                <w:sz w:val="1"/>
                <w:szCs w:val="1"/>
                <w:color w:val="auto"/>
              </w:rPr>
            </w:pPr>
          </w:p>
        </w:tc>
      </w:tr>
      <w:tr>
        <w:trPr>
          <w:trHeight w:val="256"/>
        </w:trPr>
        <w:tc>
          <w:tcPr>
            <w:tcW w:w="5260" w:type="dxa"/>
            <w:vAlign w:val="bottom"/>
          </w:tcPr>
          <w:p>
            <w:pPr>
              <w:spacing w:after="0"/>
              <w:rPr>
                <w:sz w:val="20"/>
                <w:szCs w:val="20"/>
                <w:color w:val="auto"/>
              </w:rPr>
            </w:pPr>
            <w:r>
              <w:rPr>
                <w:rFonts w:ascii="Arial" w:cs="Arial" w:eastAsia="Arial" w:hAnsi="Arial"/>
                <w:sz w:val="16"/>
                <w:szCs w:val="16"/>
                <w:color w:val="auto"/>
              </w:rPr>
              <w:t>Combined operating expenses (at PFG share)</w:t>
            </w:r>
          </w:p>
        </w:tc>
        <w:tc>
          <w:tcPr>
            <w:tcW w:w="24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126.8</w:t>
            </w:r>
          </w:p>
        </w:tc>
        <w:tc>
          <w:tcPr>
            <w:tcW w:w="26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116.7</w:t>
            </w:r>
          </w:p>
        </w:tc>
        <w:tc>
          <w:tcPr>
            <w:tcW w:w="26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513.7</w:t>
            </w:r>
          </w:p>
        </w:tc>
        <w:tc>
          <w:tcPr>
            <w:tcW w:w="26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502.7</w:t>
            </w:r>
          </w:p>
        </w:tc>
        <w:tc>
          <w:tcPr>
            <w:tcW w:w="0" w:type="dxa"/>
            <w:vAlign w:val="bottom"/>
          </w:tcPr>
          <w:p>
            <w:pPr>
              <w:spacing w:after="0"/>
              <w:rPr>
                <w:sz w:val="1"/>
                <w:szCs w:val="1"/>
                <w:color w:val="auto"/>
              </w:rPr>
            </w:pPr>
          </w:p>
        </w:tc>
      </w:tr>
      <w:tr>
        <w:trPr>
          <w:trHeight w:val="237"/>
        </w:trPr>
        <w:tc>
          <w:tcPr>
            <w:tcW w:w="526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Combined net revenue (at PFG share)</w:t>
            </w:r>
          </w:p>
        </w:tc>
        <w:tc>
          <w:tcPr>
            <w:tcW w:w="240" w:type="dxa"/>
            <w:vAlign w:val="bottom"/>
            <w:tcBorders>
              <w:bottom w:val="single" w:sz="8" w:color="auto"/>
            </w:tcBorders>
          </w:tcPr>
          <w:p>
            <w:pPr>
              <w:jc w:val="right"/>
              <w:ind w:right="103"/>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227.7</w:t>
            </w:r>
          </w:p>
        </w:tc>
        <w:tc>
          <w:tcPr>
            <w:tcW w:w="26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184.7</w:t>
            </w:r>
          </w:p>
        </w:tc>
        <w:tc>
          <w:tcPr>
            <w:tcW w:w="26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w w:val="89"/>
              </w:rPr>
              <w:t>$</w:t>
            </w:r>
          </w:p>
        </w:tc>
        <w:tc>
          <w:tcPr>
            <w:tcW w:w="11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834.7</w:t>
            </w:r>
          </w:p>
        </w:tc>
        <w:tc>
          <w:tcPr>
            <w:tcW w:w="260" w:type="dxa"/>
            <w:vAlign w:val="bottom"/>
            <w:tcBorders>
              <w:bottom w:val="single" w:sz="8" w:color="auto"/>
            </w:tcBorders>
          </w:tcPr>
          <w:p>
            <w:pPr>
              <w:jc w:val="right"/>
              <w:ind w:right="104"/>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761.2</w:t>
            </w:r>
          </w:p>
        </w:tc>
        <w:tc>
          <w:tcPr>
            <w:tcW w:w="0" w:type="dxa"/>
            <w:vAlign w:val="bottom"/>
          </w:tcPr>
          <w:p>
            <w:pPr>
              <w:spacing w:after="0"/>
              <w:rPr>
                <w:sz w:val="1"/>
                <w:szCs w:val="1"/>
                <w:color w:val="auto"/>
              </w:rPr>
            </w:pPr>
          </w:p>
        </w:tc>
      </w:tr>
      <w:tr>
        <w:trPr>
          <w:trHeight w:val="20"/>
        </w:trPr>
        <w:tc>
          <w:tcPr>
            <w:tcW w:w="526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 w:lineRule="exact"/>
        <w:rPr>
          <w:sz w:val="20"/>
          <w:szCs w:val="20"/>
          <w:color w:val="auto"/>
        </w:rPr>
      </w:pPr>
    </w:p>
    <w:sectPr>
      <w:pgSz w:w="11900" w:h="16838" w:orient="portrait"/>
      <w:cols w:equalWidth="0" w:num="1">
        <w:col w:w="10920"/>
      </w:cols>
      <w:pgMar w:left="520" w:top="1296" w:right="4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F16E9E8"/>
    <w:multiLevelType w:val="hybridMultilevel"/>
    <w:lvl w:ilvl="0">
      <w:lvlJc w:val="left"/>
      <w:lvlText w:val="["/>
      <w:numFmt w:val="bullet"/>
      <w:start w:val="1"/>
    </w:lvl>
  </w:abstractNum>
  <w:abstractNum w:abstractNumId="1">
    <w:nsid w:val="1190CDE7"/>
    <w:multiLevelType w:val="hybridMultilevel"/>
    <w:lvl w:ilvl="0">
      <w:lvlJc w:val="left"/>
      <w:lvlText w:val="•"/>
      <w:numFmt w:val="bullet"/>
      <w:start w:val="1"/>
    </w:lvl>
  </w:abstractNum>
  <w:abstractNum w:abstractNumId="2">
    <w:nsid w:val="66EF438D"/>
    <w:multiLevelType w:val="hybridMultilevel"/>
    <w:lvl w:ilvl="0">
      <w:lvlJc w:val="left"/>
      <w:lvlText w:val="•"/>
      <w:numFmt w:val="bullet"/>
      <w:start w:val="1"/>
    </w:lvl>
  </w:abstractNum>
  <w:abstractNum w:abstractNumId="3">
    <w:nsid w:val="140E0F76"/>
    <w:multiLevelType w:val="hybridMultilevel"/>
    <w:lvl w:ilvl="0">
      <w:lvlJc w:val="left"/>
      <w:lvlText w:val="1"/>
      <w:numFmt w:val="bullet"/>
      <w:start w:val="1"/>
    </w:lvl>
  </w:abstractNum>
  <w:abstractNum w:abstractNumId="4">
    <w:nsid w:val="3352255A"/>
    <w:multiLevelType w:val="hybridMultilevel"/>
    <w:lvl w:ilvl="0">
      <w:lvlJc w:val="left"/>
      <w:lvlText w:val="•"/>
      <w:numFmt w:val="bullet"/>
      <w:start w:val="1"/>
    </w:lvl>
    <w:lvl w:ilvl="1">
      <w:lvlJc w:val="left"/>
      <w:lvlText w:val="◦"/>
      <w:numFmt w:val="bullet"/>
      <w:start w:val="1"/>
    </w:lvl>
  </w:abstractNum>
  <w:abstractNum w:abstractNumId="5">
    <w:nsid w:val="109CF92E"/>
    <w:multiLevelType w:val="hybridMultilevel"/>
    <w:lvl w:ilvl="0">
      <w:lvlJc w:val="left"/>
      <w:lvlText w:val="2"/>
      <w:numFmt w:val="bullet"/>
      <w:start w:val="1"/>
    </w:lvl>
  </w:abstractNum>
  <w:abstractNum w:abstractNumId="6">
    <w:nsid w:val="DED7263"/>
    <w:multiLevelType w:val="hybridMultilevel"/>
    <w:lvl w:ilvl="0">
      <w:lvlJc w:val="left"/>
      <w:lvlText w:val="3"/>
      <w:numFmt w:val="bullet"/>
      <w:start w:val="1"/>
    </w:lvl>
  </w:abstractNum>
  <w:abstractNum w:abstractNumId="7">
    <w:nsid w:val="7FDCC233"/>
    <w:multiLevelType w:val="hybridMultilevel"/>
    <w:lvl w:ilvl="0">
      <w:lvlJc w:val="left"/>
      <w:lvlText w:val="5"/>
      <w:numFmt w:val="bullet"/>
      <w:start w:val="1"/>
    </w:lvl>
  </w:abstractNum>
  <w:abstractNum w:abstractNumId="8">
    <w:nsid w:val="1BEFD79F"/>
    <w:multiLevelType w:val="hybridMultilevel"/>
    <w:lvl w:ilvl="0">
      <w:lvlJc w:val="left"/>
      <w:lvlText w:val="•"/>
      <w:numFmt w:val="bullet"/>
      <w:start w:val="1"/>
    </w:lvl>
  </w:abstractNum>
  <w:abstractNum w:abstractNumId="9">
    <w:nsid w:val="41A7C4C9"/>
    <w:multiLevelType w:val="hybridMultilevel"/>
    <w:lvl w:ilvl="0">
      <w:lvlJc w:val="left"/>
      <w:lvlText w:val="•"/>
      <w:numFmt w:val="bullet"/>
      <w:start w:val="1"/>
    </w:lvl>
  </w:abstractNum>
  <w:abstractNum w:abstractNumId="10">
    <w:nsid w:val="6B68079A"/>
    <w:multiLevelType w:val="hybridMultilevel"/>
    <w:lvl w:ilvl="0">
      <w:lvlJc w:val="left"/>
      <w:lvlText w:val="6"/>
      <w:numFmt w:val="bullet"/>
      <w:start w:val="1"/>
    </w:lvl>
  </w:abstractNum>
  <w:abstractNum w:abstractNumId="11">
    <w:nsid w:val="4E6AFB66"/>
    <w:multiLevelType w:val="hybridMultilevel"/>
    <w:lvl w:ilvl="0">
      <w:lvlJc w:val="left"/>
      <w:lvlText w:val="7"/>
      <w:numFmt w:val="bullet"/>
      <w:start w:val="1"/>
    </w:lvl>
  </w:abstractNum>
  <w:abstractNum w:abstractNumId="12">
    <w:nsid w:val="25E45D32"/>
    <w:multiLevelType w:val="hybridMultilevel"/>
    <w:lvl w:ilvl="0">
      <w:lvlJc w:val="left"/>
      <w:lvlText w:val="•"/>
      <w:numFmt w:val="bullet"/>
      <w:start w:val="1"/>
    </w:lvl>
  </w:abstractNum>
  <w:abstractNum w:abstractNumId="13">
    <w:nsid w:val="519B500D"/>
    <w:multiLevelType w:val="hybridMultilevel"/>
    <w:lvl w:ilvl="0">
      <w:lvlJc w:val="left"/>
      <w:lvlText w:val="•"/>
      <w:numFmt w:val="bullet"/>
      <w:start w:val="1"/>
    </w:lvl>
  </w:abstractNum>
  <w:abstractNum w:abstractNumId="14">
    <w:nsid w:val="431BD7B7"/>
    <w:multiLevelType w:val="hybridMultilevel"/>
    <w:lvl w:ilvl="0">
      <w:lvlJc w:val="left"/>
      <w:lvlText w:val="%1"/>
      <w:numFmt w:val="decimal"/>
      <w:start w:val="10"/>
    </w:lvl>
  </w:abstractNum>
  <w:abstractNum w:abstractNumId="15">
    <w:nsid w:val="3F2DBA31"/>
    <w:multiLevelType w:val="hybridMultilevel"/>
    <w:lvl w:ilvl="0">
      <w:lvlJc w:val="left"/>
      <w:lvlText w:val="•"/>
      <w:numFmt w:val="bullet"/>
      <w:start w:val="1"/>
    </w:lvl>
  </w:abstractNum>
  <w:abstractNum w:abstractNumId="16">
    <w:nsid w:val="7C83E458"/>
    <w:multiLevelType w:val="hybridMultilevel"/>
    <w:lvl w:ilvl="0">
      <w:lvlJc w:val="left"/>
      <w:lvlText w:val="•"/>
      <w:numFmt w:val="bullet"/>
      <w:start w:val="1"/>
    </w:lvl>
  </w:abstractNum>
  <w:abstractNum w:abstractNumId="17">
    <w:nsid w:val="257130A3"/>
    <w:multiLevelType w:val="hybridMultilevel"/>
    <w:lvl w:ilvl="0">
      <w:lvlJc w:val="left"/>
      <w:lvlText w:val="•"/>
      <w:numFmt w:val="bullet"/>
      <w:start w:val="1"/>
    </w:lvl>
  </w:abstractNum>
  <w:abstractNum w:abstractNumId="18">
    <w:nsid w:val="62BBD95A"/>
    <w:multiLevelType w:val="hybridMultilevel"/>
    <w:lvl w:ilvl="0">
      <w:lvlJc w:val="left"/>
      <w:lvlText w:val="%1"/>
      <w:numFmt w:val="decimal"/>
      <w:start w:val="12"/>
    </w:lvl>
  </w:abstractNum>
  <w:abstractNum w:abstractNumId="19">
    <w:nsid w:val="436C6125"/>
    <w:multiLevelType w:val="hybridMultilevel"/>
    <w:lvl w:ilvl="0">
      <w:lvlJc w:val="left"/>
      <w:lvlText w:val="•"/>
      <w:numFmt w:val="bullet"/>
      <w:start w:val="1"/>
    </w:lvl>
  </w:abstractNum>
  <w:abstractNum w:abstractNumId="20">
    <w:nsid w:val="628C895D"/>
    <w:multiLevelType w:val="hybridMultilevel"/>
    <w:lvl w:ilvl="0">
      <w:lvlJc w:val="left"/>
      <w:lvlText w:val="%1"/>
      <w:numFmt w:val="decimal"/>
      <w:start w:val="1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2020-01-17T01:29:09Z</dcterms:created>
  <dcterms:modified xsi:type="dcterms:W3CDTF">2020-01-17T01:29:09Z</dcterms:modified>
</cp:coreProperties>
</file>