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-631190</wp:posOffset>
            </wp:positionV>
            <wp:extent cx="58420" cy="644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3998595</wp:posOffset>
            </wp:positionH>
            <wp:positionV relativeFrom="paragraph">
              <wp:posOffset>-631190</wp:posOffset>
            </wp:positionV>
            <wp:extent cx="58420" cy="644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24130</wp:posOffset>
            </wp:positionV>
            <wp:extent cx="7045960" cy="50692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506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Dziedzic Joseph W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5830 GRANITE PARKWAY, SUITE 1150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Integer Holdings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ITGR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12/31/2022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6" w:right="620" w:firstLine="6"/>
        <w:spacing w:after="0" w:line="260" w:lineRule="auto"/>
        <w:tabs>
          <w:tab w:leader="none" w:pos="13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99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President &amp; CEO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6" w:space="720"/>
            <w:col w:w="3354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2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A9A9A"/>
            </w:tcBorders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PLANO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TX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75024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0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4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5,206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127,584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12/31/2022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2,049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68.46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125,535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7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11"/>
          </w:tcPr>
          <w:p>
            <w:pPr>
              <w:jc w:val="center"/>
              <w:ind w:left="3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  <w:w w:val="93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5,206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12/31/2022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5,206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00FF"/>
        </w:rPr>
        <w:t>Units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units convert into common stock on a one-for-one basis.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On January 31, 2020, the reporting person was granted 15,612 restricted stock units, vesting in three equal installments beginning on December 31, 2020.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-8255</wp:posOffset>
            </wp:positionV>
            <wp:extent cx="105791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Joseph W.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01/04/2023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-14605</wp:posOffset>
            </wp:positionV>
            <wp:extent cx="18840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Dziedzic.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-14605</wp:posOffset>
            </wp:positionV>
            <wp:extent cx="40830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9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68603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2023-01-04T19:06:11Z</dcterms:created>
  <dcterms:modified xsi:type="dcterms:W3CDTF">2023-01-04T19:06:11Z</dcterms:modified>
</cp:coreProperties>
</file>