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6262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62623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SUMMERS WILLIAM B JR</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Integer Holdings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ITGR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8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05/20/2020</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4"/>
        <w:spacing w:after="0"/>
        <w:tabs>
          <w:tab w:leader="none" w:pos="514" w:val="left"/>
          <w:tab w:leader="none" w:pos="209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4"/>
          <w:szCs w:val="24"/>
          <w:color w:val="auto"/>
        </w:rPr>
      </w:pPr>
    </w:p>
    <w:p>
      <w:pPr>
        <w:jc w:val="right"/>
        <w:ind w:right="44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34"/>
        <w:spacing w:after="0"/>
        <w:tabs>
          <w:tab w:leader="none" w:pos="209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03" w:lineRule="exact"/>
        <w:rPr>
          <w:sz w:val="24"/>
          <w:szCs w:val="24"/>
          <w:color w:val="auto"/>
        </w:rPr>
      </w:pPr>
    </w:p>
    <w:p>
      <w:pPr>
        <w:sectPr>
          <w:pgSz w:w="11900" w:h="16838" w:orient="portrait"/>
          <w:cols w:equalWidth="0" w:num="3">
            <w:col w:w="3180" w:space="720"/>
            <w:col w:w="3106" w:space="720"/>
            <w:col w:w="3354"/>
          </w:cols>
          <w:pgMar w:left="460" w:top="222"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80" w:type="dxa"/>
            <w:vAlign w:val="bottom"/>
          </w:tcPr>
          <w:p>
            <w:pPr>
              <w:ind w:left="20"/>
              <w:spacing w:after="0"/>
              <w:rPr>
                <w:sz w:val="20"/>
                <w:szCs w:val="20"/>
                <w:color w:val="auto"/>
              </w:rPr>
            </w:pPr>
            <w:r>
              <w:rPr>
                <w:rFonts w:ascii="Arial" w:cs="Arial" w:eastAsia="Arial" w:hAnsi="Arial"/>
                <w:sz w:val="17"/>
                <w:szCs w:val="17"/>
                <w:color w:val="0000FF"/>
              </w:rPr>
              <w:t>CLARENCE</w:t>
            </w:r>
          </w:p>
        </w:tc>
        <w:tc>
          <w:tcPr>
            <w:tcW w:w="960" w:type="dxa"/>
            <w:vAlign w:val="bottom"/>
          </w:tcPr>
          <w:p>
            <w:pPr>
              <w:ind w:left="160"/>
              <w:spacing w:after="0"/>
              <w:rPr>
                <w:sz w:val="20"/>
                <w:szCs w:val="20"/>
                <w:color w:val="auto"/>
              </w:rPr>
            </w:pPr>
            <w:r>
              <w:rPr>
                <w:rFonts w:ascii="Arial" w:cs="Arial" w:eastAsia="Arial" w:hAnsi="Arial"/>
                <w:sz w:val="17"/>
                <w:szCs w:val="17"/>
                <w:color w:val="0000FF"/>
              </w:rPr>
              <w:t>NY</w:t>
            </w:r>
          </w:p>
        </w:tc>
        <w:tc>
          <w:tcPr>
            <w:tcW w:w="1600" w:type="dxa"/>
            <w:vAlign w:val="bottom"/>
          </w:tcPr>
          <w:p>
            <w:pPr>
              <w:ind w:left="420"/>
              <w:spacing w:after="0"/>
              <w:rPr>
                <w:sz w:val="20"/>
                <w:szCs w:val="20"/>
                <w:color w:val="auto"/>
              </w:rPr>
            </w:pPr>
            <w:r>
              <w:rPr>
                <w:rFonts w:ascii="Arial" w:cs="Arial" w:eastAsia="Arial" w:hAnsi="Arial"/>
                <w:sz w:val="17"/>
                <w:szCs w:val="17"/>
                <w:color w:val="0000FF"/>
              </w:rPr>
              <w:t>14031</w:t>
            </w:r>
          </w:p>
        </w:tc>
      </w:tr>
      <w:tr>
        <w:trPr>
          <w:trHeight w:val="151"/>
        </w:trPr>
        <w:tc>
          <w:tcPr>
            <w:tcW w:w="2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1"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-2473325</wp:posOffset>
            </wp:positionH>
            <wp:positionV relativeFrom="paragraph">
              <wp:posOffset>202565</wp:posOffset>
            </wp:positionV>
            <wp:extent cx="6967220" cy="10979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1097915"/>
                    </a:xfrm>
                    <a:prstGeom prst="rect">
                      <a:avLst/>
                    </a:prstGeom>
                    <a:noFill/>
                  </pic:spPr>
                </pic:pic>
              </a:graphicData>
            </a:graphic>
          </wp:anchor>
        </w:drawing>
      </w:r>
    </w:p>
    <w:p>
      <w:pPr>
        <w:spacing w:after="0" w:line="380" w:lineRule="exact"/>
        <w:rPr>
          <w:sz w:val="24"/>
          <w:szCs w:val="24"/>
          <w:color w:val="auto"/>
        </w:rPr>
      </w:pPr>
    </w:p>
    <w:p>
      <w:pPr>
        <w:sectPr>
          <w:pgSz w:w="11900" w:h="16838" w:orient="portrait"/>
          <w:cols w:equalWidth="0" w:num="2">
            <w:col w:w="3740" w:space="160"/>
            <w:col w:w="718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3"/>
                <w:szCs w:val="13"/>
                <w:color w:val="auto"/>
              </w:rPr>
            </w:pPr>
          </w:p>
        </w:tc>
        <w:tc>
          <w:tcPr>
            <w:tcW w:w="17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20"/>
              <w:spacing w:after="0" w:line="128"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8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4"/>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2"/>
          </w:tcPr>
          <w:p>
            <w:pPr>
              <w:ind w:left="72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58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gridSpan w:val="3"/>
          </w:tcPr>
          <w:p>
            <w:pPr>
              <w:ind w:left="460"/>
              <w:spacing w:after="0"/>
              <w:rPr>
                <w:sz w:val="20"/>
                <w:szCs w:val="20"/>
                <w:color w:val="auto"/>
              </w:rPr>
            </w:pPr>
            <w:r>
              <w:rPr>
                <w:rFonts w:ascii="Arial" w:cs="Arial" w:eastAsia="Arial" w:hAnsi="Arial"/>
                <w:sz w:val="17"/>
                <w:szCs w:val="17"/>
                <w:color w:val="0000FF"/>
              </w:rPr>
              <w:t>45,410</w:t>
            </w:r>
          </w:p>
        </w:tc>
        <w:tc>
          <w:tcPr>
            <w:tcW w:w="280" w:type="dxa"/>
            <w:vAlign w:val="bottom"/>
          </w:tcPr>
          <w:p>
            <w:pPr>
              <w:spacing w:after="0"/>
              <w:rPr>
                <w:sz w:val="22"/>
                <w:szCs w:val="22"/>
                <w:color w:val="auto"/>
              </w:rPr>
            </w:pPr>
          </w:p>
        </w:tc>
        <w:tc>
          <w:tcPr>
            <w:tcW w:w="68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20" w:type="dxa"/>
            <w:vAlign w:val="bottom"/>
            <w:tcBorders>
              <w:bottom w:val="single" w:sz="8" w:color="2C2C2C"/>
            </w:tcBorders>
            <w:gridSpan w:val="6"/>
          </w:tcPr>
          <w:p>
            <w:pPr>
              <w:spacing w:after="0"/>
              <w:rPr>
                <w:sz w:val="8"/>
                <w:szCs w:val="8"/>
                <w:color w:val="auto"/>
              </w:rPr>
            </w:pPr>
          </w:p>
        </w:tc>
        <w:tc>
          <w:tcPr>
            <w:tcW w:w="2520" w:type="dxa"/>
            <w:vAlign w:val="bottom"/>
            <w:tcBorders>
              <w:bottom w:val="single" w:sz="8" w:color="2C2C2C"/>
            </w:tcBorders>
            <w:gridSpan w:val="5"/>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20" w:type="dxa"/>
            <w:vAlign w:val="bottom"/>
            <w:gridSpan w:val="11"/>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8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12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   of</w:t>
            </w:r>
          </w:p>
        </w:tc>
        <w:tc>
          <w:tcPr>
            <w:tcW w:w="320" w:type="dxa"/>
            <w:vAlign w:val="bottom"/>
          </w:tcPr>
          <w:p>
            <w:pPr>
              <w:spacing w:after="0"/>
              <w:rPr>
                <w:sz w:val="11"/>
                <w:szCs w:val="11"/>
                <w:color w:val="auto"/>
              </w:rPr>
            </w:pP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Code (Instr.</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2,920</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tcPr>
          <w:p>
            <w:pPr>
              <w:ind w:left="60"/>
              <w:spacing w:after="0" w:line="126"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10"/>
                <w:szCs w:val="10"/>
                <w:color w:val="auto"/>
              </w:rPr>
            </w:pPr>
          </w:p>
        </w:tc>
        <w:tc>
          <w:tcPr>
            <w:tcW w:w="1080" w:type="dxa"/>
            <w:vAlign w:val="bottom"/>
          </w:tcPr>
          <w:p>
            <w:pPr>
              <w:ind w:left="240"/>
              <w:spacing w:after="0" w:line="126" w:lineRule="exact"/>
              <w:rPr>
                <w:sz w:val="20"/>
                <w:szCs w:val="20"/>
                <w:color w:val="auto"/>
              </w:rPr>
            </w:pPr>
            <w:r>
              <w:rPr>
                <w:rFonts w:ascii="Arial" w:cs="Arial" w:eastAsia="Arial" w:hAnsi="Arial"/>
                <w:sz w:val="13"/>
                <w:szCs w:val="13"/>
                <w:color w:val="0000FF"/>
              </w:rPr>
              <w:t>05/20/2020</w:t>
            </w:r>
          </w:p>
        </w:tc>
        <w:tc>
          <w:tcPr>
            <w:tcW w:w="1100" w:type="dxa"/>
            <w:vAlign w:val="bottom"/>
          </w:tcPr>
          <w:p>
            <w:pPr>
              <w:spacing w:after="0"/>
              <w:rPr>
                <w:sz w:val="10"/>
                <w:szCs w:val="10"/>
                <w:color w:val="auto"/>
              </w:rPr>
            </w:pPr>
          </w:p>
        </w:tc>
        <w:tc>
          <w:tcPr>
            <w:tcW w:w="720" w:type="dxa"/>
            <w:vAlign w:val="bottom"/>
          </w:tcPr>
          <w:p>
            <w:pPr>
              <w:ind w:left="180"/>
              <w:spacing w:after="0" w:line="126" w:lineRule="exact"/>
              <w:rPr>
                <w:sz w:val="20"/>
                <w:szCs w:val="20"/>
                <w:color w:val="auto"/>
              </w:rPr>
            </w:pPr>
            <w:r>
              <w:rPr>
                <w:rFonts w:ascii="Arial" w:cs="Arial" w:eastAsia="Arial" w:hAnsi="Arial"/>
                <w:sz w:val="13"/>
                <w:szCs w:val="13"/>
                <w:color w:val="0000FF"/>
              </w:rPr>
              <w:t>A</w:t>
            </w:r>
          </w:p>
        </w:tc>
        <w:tc>
          <w:tcPr>
            <w:tcW w:w="560" w:type="dxa"/>
            <w:vAlign w:val="bottom"/>
          </w:tcPr>
          <w:p>
            <w:pPr>
              <w:ind w:left="180"/>
              <w:spacing w:after="0" w:line="126" w:lineRule="exact"/>
              <w:rPr>
                <w:sz w:val="20"/>
                <w:szCs w:val="20"/>
                <w:color w:val="auto"/>
              </w:rPr>
            </w:pPr>
            <w:r>
              <w:rPr>
                <w:rFonts w:ascii="Arial" w:cs="Arial" w:eastAsia="Arial" w:hAnsi="Arial"/>
                <w:sz w:val="13"/>
                <w:szCs w:val="13"/>
                <w:color w:val="0000FF"/>
              </w:rPr>
              <w:t>2,920</w:t>
            </w:r>
          </w:p>
        </w:tc>
        <w:tc>
          <w:tcPr>
            <w:tcW w:w="32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22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700" w:type="dxa"/>
            <w:vAlign w:val="bottom"/>
            <w:gridSpan w:val="2"/>
          </w:tcPr>
          <w:p>
            <w:pPr>
              <w:ind w:left="16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80"/>
              <w:spacing w:after="0" w:line="126" w:lineRule="exact"/>
              <w:rPr>
                <w:sz w:val="20"/>
                <w:szCs w:val="20"/>
                <w:color w:val="auto"/>
              </w:rPr>
            </w:pPr>
            <w:r>
              <w:rPr>
                <w:rFonts w:ascii="Arial" w:cs="Arial" w:eastAsia="Arial" w:hAnsi="Arial"/>
                <w:sz w:val="13"/>
                <w:szCs w:val="13"/>
                <w:color w:val="0000FF"/>
                <w:w w:val="92"/>
              </w:rPr>
              <w:t>2,920</w:t>
            </w:r>
          </w:p>
        </w:tc>
        <w:tc>
          <w:tcPr>
            <w:tcW w:w="280" w:type="dxa"/>
            <w:vAlign w:val="bottom"/>
          </w:tcPr>
          <w:p>
            <w:pPr>
              <w:spacing w:after="0"/>
              <w:rPr>
                <w:sz w:val="10"/>
                <w:szCs w:val="10"/>
                <w:color w:val="auto"/>
              </w:rPr>
            </w:pPr>
          </w:p>
        </w:tc>
        <w:tc>
          <w:tcPr>
            <w:tcW w:w="680" w:type="dxa"/>
            <w:vAlign w:val="bottom"/>
          </w:tcPr>
          <w:p>
            <w:pPr>
              <w:ind w:left="320"/>
              <w:spacing w:after="0" w:line="126"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ind w:left="140"/>
              <w:spacing w:after="0" w:line="143" w:lineRule="exact"/>
              <w:rPr>
                <w:sz w:val="20"/>
                <w:szCs w:val="20"/>
                <w:color w:val="auto"/>
              </w:rPr>
            </w:pPr>
            <w:r>
              <w:rPr>
                <w:rFonts w:ascii="Arial" w:cs="Arial" w:eastAsia="Arial" w:hAnsi="Arial"/>
                <w:sz w:val="13"/>
                <w:szCs w:val="13"/>
                <w:color w:val="0000FF"/>
              </w:rPr>
              <w:t>Stock</w:t>
            </w: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-2062480</wp:posOffset>
            </wp:positionV>
            <wp:extent cx="7033260" cy="2105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05025"/>
                    </a:xfrm>
                    <a:prstGeom prst="rect">
                      <a:avLst/>
                    </a:prstGeom>
                    <a:noFill/>
                  </pic:spPr>
                </pic:pic>
              </a:graphicData>
            </a:graphic>
          </wp:anchor>
        </w:drawing>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("RSUs") convert into common stock on a one-for-one basis.</w:t>
      </w:r>
    </w:p>
    <w:p>
      <w:pPr>
        <w:spacing w:after="0" w:line="45" w:lineRule="exact"/>
        <w:rPr>
          <w:rFonts w:ascii="Arial" w:cs="Arial" w:eastAsia="Arial" w:hAnsi="Arial"/>
          <w:sz w:val="13"/>
          <w:szCs w:val="13"/>
          <w:color w:val="008000"/>
        </w:rPr>
      </w:pPr>
    </w:p>
    <w:p>
      <w:pPr>
        <w:ind w:left="40" w:right="280" w:firstLine="3"/>
        <w:spacing w:after="0" w:line="286"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Grant of RSUs as of May 20, 2020. RSUs vest in equal installments on August 1, 2020, November 20, 2020, February 20, 2021 and May 18, 2021. The RSUs will convert into common stock on a one-for-one basis, but the Reporting Person has elected to defer settlement of the common stock underlying these RSUs until separation from service as a director, or a change in control, of the Issuer.</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-10795</wp:posOffset>
            </wp:positionV>
            <wp:extent cx="10579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05791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attorney-in-fact for William B.  05/22/2020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-14605</wp:posOffset>
            </wp:positionV>
            <wp:extent cx="188404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88404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Summers, Jr.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-14605</wp:posOffset>
            </wp:positionV>
            <wp:extent cx="55753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57530" cy="8255"/>
                    </a:xfrm>
                    <a:prstGeom prst="rect">
                      <a:avLst/>
                    </a:prstGeom>
                    <a:noFill/>
                  </pic:spPr>
                </pic:pic>
              </a:graphicData>
            </a:graphic>
          </wp:anchor>
        </w:drawing>
      </w:r>
    </w:p>
    <w:p>
      <w:pPr>
        <w:spacing w:after="0" w:line="46"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216772" TargetMode="External"/><Relationship Id="rId14"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2020-05-22T15:02:56Z</dcterms:created>
  <dcterms:modified xsi:type="dcterms:W3CDTF">2020-05-22T15:02:56Z</dcterms:modified>
</cp:coreProperties>
</file>