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U.S. SECURITIES AND EXCHANGE COMMISSION</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1793240</wp:posOffset>
            </wp:positionH>
            <wp:positionV relativeFrom="paragraph">
              <wp:posOffset>132080</wp:posOffset>
            </wp:positionV>
            <wp:extent cx="367030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7030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FORM 8-K</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CURRENT REPORT</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PURSUANT TO SECTION 13 or 15(d) OF THE SECURITIES EXCHANGE ACT OF 1934</w:t>
      </w:r>
    </w:p>
    <w:p>
      <w:pPr>
        <w:spacing w:after="0" w:line="215"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u w:val="single" w:color="auto"/>
          <w:color w:val="auto"/>
        </w:rPr>
        <w:t>January 8, 2013</w:t>
      </w:r>
    </w:p>
    <w:p>
      <w:pPr>
        <w:spacing w:after="0" w:line="200" w:lineRule="exact"/>
        <w:rPr>
          <w:sz w:val="24"/>
          <w:szCs w:val="24"/>
          <w:color w:val="auto"/>
        </w:rPr>
      </w:pP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u w:val="single" w:color="auto"/>
          <w:color w:val="auto"/>
        </w:rPr>
        <w:t>GREATBATCH, INC.</w:t>
      </w:r>
    </w:p>
    <w:p>
      <w:pPr>
        <w:spacing w:after="0" w:line="1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Delaware</w:t>
            </w:r>
          </w:p>
        </w:tc>
        <w:tc>
          <w:tcPr>
            <w:tcW w:w="3680" w:type="dxa"/>
            <w:vAlign w:val="bottom"/>
            <w:tcBorders>
              <w:bottom w:val="single" w:sz="8" w:color="auto"/>
            </w:tcBorders>
          </w:tcPr>
          <w:p>
            <w:pPr>
              <w:jc w:val="right"/>
              <w:ind w:right="1390"/>
              <w:spacing w:after="0"/>
              <w:rPr>
                <w:sz w:val="20"/>
                <w:szCs w:val="20"/>
                <w:color w:val="auto"/>
              </w:rPr>
            </w:pPr>
            <w:r>
              <w:rPr>
                <w:rFonts w:ascii="Arial" w:cs="Arial" w:eastAsia="Arial" w:hAnsi="Arial"/>
                <w:sz w:val="18"/>
                <w:szCs w:val="18"/>
                <w:color w:val="auto"/>
              </w:rPr>
              <w:t>1-16137</w:t>
            </w:r>
          </w:p>
        </w:tc>
        <w:tc>
          <w:tcPr>
            <w:tcW w:w="3920" w:type="dxa"/>
            <w:vAlign w:val="bottom"/>
            <w:tcBorders>
              <w:bottom w:val="single" w:sz="8" w:color="auto"/>
            </w:tcBorders>
          </w:tcPr>
          <w:p>
            <w:pPr>
              <w:jc w:val="right"/>
              <w:ind w:right="1350"/>
              <w:spacing w:after="0"/>
              <w:rPr>
                <w:sz w:val="20"/>
                <w:szCs w:val="20"/>
                <w:color w:val="auto"/>
              </w:rPr>
            </w:pPr>
            <w:r>
              <w:rPr>
                <w:rFonts w:ascii="Arial" w:cs="Arial" w:eastAsia="Arial" w:hAnsi="Arial"/>
                <w:sz w:val="18"/>
                <w:szCs w:val="18"/>
                <w:color w:val="auto"/>
              </w:rPr>
              <w:t>16-1531026</w:t>
            </w:r>
          </w:p>
        </w:tc>
      </w:tr>
      <w:tr>
        <w:trPr>
          <w:trHeight w:val="215"/>
        </w:trPr>
        <w:tc>
          <w:tcPr>
            <w:tcW w:w="3820" w:type="dxa"/>
            <w:vAlign w:val="bottom"/>
          </w:tcPr>
          <w:p>
            <w:pPr>
              <w:jc w:val="center"/>
              <w:spacing w:after="0"/>
              <w:rPr>
                <w:sz w:val="20"/>
                <w:szCs w:val="20"/>
                <w:color w:val="auto"/>
              </w:rPr>
            </w:pPr>
            <w:r>
              <w:rPr>
                <w:rFonts w:ascii="Arial" w:cs="Arial" w:eastAsia="Arial" w:hAnsi="Arial"/>
                <w:sz w:val="18"/>
                <w:szCs w:val="18"/>
                <w:color w:val="auto"/>
                <w:w w:val="93"/>
              </w:rPr>
              <w:t>(State or other jurisdiction of</w:t>
            </w:r>
          </w:p>
        </w:tc>
        <w:tc>
          <w:tcPr>
            <w:tcW w:w="3680" w:type="dxa"/>
            <w:vAlign w:val="bottom"/>
          </w:tcPr>
          <w:p>
            <w:pPr>
              <w:jc w:val="center"/>
              <w:ind w:left="10"/>
              <w:spacing w:after="0"/>
              <w:rPr>
                <w:sz w:val="20"/>
                <w:szCs w:val="20"/>
                <w:color w:val="auto"/>
              </w:rPr>
            </w:pPr>
            <w:r>
              <w:rPr>
                <w:rFonts w:ascii="Arial" w:cs="Arial" w:eastAsia="Arial" w:hAnsi="Arial"/>
                <w:sz w:val="18"/>
                <w:szCs w:val="18"/>
                <w:color w:val="auto"/>
                <w:w w:val="92"/>
              </w:rPr>
              <w:t>(Commission File Number)</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3820" w:type="dxa"/>
            <w:vAlign w:val="bottom"/>
          </w:tcPr>
          <w:p>
            <w:pPr>
              <w:jc w:val="center"/>
              <w:spacing w:after="0"/>
              <w:rPr>
                <w:sz w:val="20"/>
                <w:szCs w:val="20"/>
                <w:color w:val="auto"/>
              </w:rPr>
            </w:pPr>
            <w:r>
              <w:rPr>
                <w:rFonts w:ascii="Arial" w:cs="Arial" w:eastAsia="Arial" w:hAnsi="Arial"/>
                <w:sz w:val="18"/>
                <w:szCs w:val="18"/>
                <w:color w:val="auto"/>
                <w:w w:val="92"/>
              </w:rPr>
              <w:t>incorporation)</w:t>
            </w:r>
          </w:p>
        </w:tc>
        <w:tc>
          <w:tcPr>
            <w:tcW w:w="3680" w:type="dxa"/>
            <w:vAlign w:val="bottom"/>
          </w:tcPr>
          <w:p>
            <w:pPr>
              <w:spacing w:after="0"/>
              <w:rPr>
                <w:sz w:val="20"/>
                <w:szCs w:val="20"/>
                <w:color w:val="auto"/>
              </w:rPr>
            </w:pPr>
          </w:p>
        </w:tc>
        <w:tc>
          <w:tcPr>
            <w:tcW w:w="3920" w:type="dxa"/>
            <w:vAlign w:val="bottom"/>
          </w:tcPr>
          <w:p>
            <w:pPr>
              <w:spacing w:after="0"/>
              <w:rPr>
                <w:sz w:val="20"/>
                <w:szCs w:val="20"/>
                <w:color w:val="auto"/>
              </w:rPr>
            </w:pPr>
          </w:p>
        </w:tc>
      </w:tr>
      <w:tr>
        <w:trPr>
          <w:trHeight w:val="466"/>
        </w:trPr>
        <w:tc>
          <w:tcPr>
            <w:tcW w:w="7500" w:type="dxa"/>
            <w:vAlign w:val="bottom"/>
            <w:tcBorders>
              <w:bottom w:val="single" w:sz="8" w:color="auto"/>
            </w:tcBorders>
            <w:gridSpan w:val="2"/>
          </w:tcPr>
          <w:p>
            <w:pPr>
              <w:jc w:val="center"/>
              <w:ind w:left="70"/>
              <w:spacing w:after="0"/>
              <w:rPr>
                <w:sz w:val="20"/>
                <w:szCs w:val="20"/>
                <w:color w:val="auto"/>
              </w:rPr>
            </w:pPr>
            <w:r>
              <w:rPr>
                <w:rFonts w:ascii="Arial" w:cs="Arial" w:eastAsia="Arial" w:hAnsi="Arial"/>
                <w:sz w:val="18"/>
                <w:szCs w:val="18"/>
                <w:color w:val="auto"/>
                <w:w w:val="89"/>
              </w:rPr>
              <w:t>2595 Dallas Parkway, Suite 310, Frisco, Texas</w:t>
            </w:r>
          </w:p>
        </w:tc>
        <w:tc>
          <w:tcPr>
            <w:tcW w:w="3920" w:type="dxa"/>
            <w:vAlign w:val="bottom"/>
            <w:tcBorders>
              <w:bottom w:val="single" w:sz="8" w:color="auto"/>
            </w:tcBorders>
          </w:tcPr>
          <w:p>
            <w:pPr>
              <w:jc w:val="right"/>
              <w:ind w:right="1570"/>
              <w:spacing w:after="0"/>
              <w:rPr>
                <w:sz w:val="20"/>
                <w:szCs w:val="20"/>
                <w:color w:val="auto"/>
              </w:rPr>
            </w:pPr>
            <w:r>
              <w:rPr>
                <w:rFonts w:ascii="Arial" w:cs="Arial" w:eastAsia="Arial" w:hAnsi="Arial"/>
                <w:sz w:val="18"/>
                <w:szCs w:val="18"/>
                <w:color w:val="auto"/>
              </w:rPr>
              <w:t>75034</w:t>
            </w:r>
          </w:p>
        </w:tc>
      </w:tr>
      <w:tr>
        <w:trPr>
          <w:trHeight w:val="230"/>
        </w:trPr>
        <w:tc>
          <w:tcPr>
            <w:tcW w:w="7500" w:type="dxa"/>
            <w:vAlign w:val="bottom"/>
            <w:gridSpan w:val="2"/>
          </w:tcPr>
          <w:p>
            <w:pPr>
              <w:jc w:val="center"/>
              <w:ind w:left="70"/>
              <w:spacing w:after="0"/>
              <w:rPr>
                <w:sz w:val="20"/>
                <w:szCs w:val="20"/>
                <w:color w:val="auto"/>
              </w:rPr>
            </w:pPr>
            <w:r>
              <w:rPr>
                <w:rFonts w:ascii="Arial" w:cs="Arial" w:eastAsia="Arial" w:hAnsi="Arial"/>
                <w:sz w:val="18"/>
                <w:szCs w:val="18"/>
                <w:color w:val="auto"/>
                <w:w w:val="92"/>
              </w:rPr>
              <w:t>(Address of principal executive offices)</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u w:val="single" w:color="auto"/>
          <w:color w:val="auto"/>
        </w:rPr>
        <w:t>(214) 618-5243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453390</wp:posOffset>
            </wp:positionV>
            <wp:extent cx="43478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4784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9" w:lineRule="exact"/>
        <w:rPr>
          <w:sz w:val="24"/>
          <w:szCs w:val="24"/>
          <w:color w:val="auto"/>
        </w:rPr>
      </w:pPr>
    </w:p>
    <w:p>
      <w:pPr>
        <w:ind w:right="460" w:firstLine="405"/>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712" w:right="23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 xml:space="preserve">Item 2.02. </w:t>
      </w:r>
      <w:r>
        <w:rPr>
          <w:rFonts w:ascii="Arial" w:cs="Arial" w:eastAsia="Arial" w:hAnsi="Arial"/>
          <w:sz w:val="22"/>
          <w:szCs w:val="22"/>
          <w:u w:val="single" w:color="auto"/>
          <w:color w:val="auto"/>
        </w:rPr>
        <w:t>Results of Operations and Financial Condition</w:t>
      </w:r>
    </w:p>
    <w:p>
      <w:pPr>
        <w:spacing w:after="0" w:line="214" w:lineRule="exact"/>
        <w:rPr>
          <w:sz w:val="20"/>
          <w:szCs w:val="20"/>
          <w:color w:val="auto"/>
        </w:rPr>
      </w:pPr>
    </w:p>
    <w:p>
      <w:pPr>
        <w:ind w:left="420" w:right="20"/>
        <w:spacing w:after="0" w:line="264" w:lineRule="auto"/>
        <w:rPr>
          <w:sz w:val="20"/>
          <w:szCs w:val="20"/>
          <w:color w:val="auto"/>
        </w:rPr>
      </w:pPr>
      <w:r>
        <w:rPr>
          <w:rFonts w:ascii="Arial" w:cs="Arial" w:eastAsia="Arial" w:hAnsi="Arial"/>
          <w:sz w:val="18"/>
          <w:szCs w:val="18"/>
          <w:color w:val="auto"/>
        </w:rPr>
        <w:t>On January 8, 2013, Greatbatch, Inc. (the “Company”) issued a press release announcing certain preliminary results for its year ended December 28, 2012 and provided guidance for fiscal 2013. A copy of the release is furnished with this report as Exhibit 99.1 and is incorporated by reference into this Item 2.02.</w:t>
      </w:r>
    </w:p>
    <w:p>
      <w:pPr>
        <w:spacing w:after="0" w:line="141" w:lineRule="exact"/>
        <w:rPr>
          <w:sz w:val="20"/>
          <w:szCs w:val="20"/>
          <w:color w:val="auto"/>
        </w:rPr>
      </w:pPr>
    </w:p>
    <w:p>
      <w:pPr>
        <w:ind w:left="420"/>
        <w:spacing w:after="0" w:line="279" w:lineRule="auto"/>
        <w:rPr>
          <w:sz w:val="20"/>
          <w:szCs w:val="20"/>
          <w:color w:val="auto"/>
        </w:rPr>
      </w:pPr>
      <w:r>
        <w:rPr>
          <w:rFonts w:ascii="Arial" w:cs="Arial" w:eastAsia="Arial" w:hAnsi="Arial"/>
          <w:sz w:val="17"/>
          <w:szCs w:val="17"/>
          <w:color w:val="auto"/>
        </w:rPr>
        <w:t>The information contained in this report under Item 2.02 is being furnished and shall not be deemed filed for purposes of Section 18 of the Securities Exchange Act of 1934, as amended (the “Exchange Act”), or otherwise subject to the liabilities of that section. The information contained in this report under Item 2.02 shall not be incorporated by reference into any registration statement or other document filed pursuant to the Securities Act of 1933, as amended, or the Exchange Act, except as shall be expressly set forth by specific reference in such filing.</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Item 9.01. </w:t>
      </w:r>
      <w:r>
        <w:rPr>
          <w:rFonts w:ascii="Arial" w:cs="Arial" w:eastAsia="Arial" w:hAnsi="Arial"/>
          <w:sz w:val="22"/>
          <w:szCs w:val="22"/>
          <w:u w:val="single" w:color="auto"/>
          <w:color w:val="auto"/>
        </w:rPr>
        <w:t>Financial Statements and Exhibits</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22"/>
          <w:szCs w:val="22"/>
          <w:color w:val="auto"/>
        </w:rPr>
        <w:t>(d) Exhibits</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22"/>
          <w:szCs w:val="22"/>
          <w:color w:val="auto"/>
        </w:rPr>
        <w:t>99.1 Press Release dated January 8,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60"/>
          </w:cols>
          <w:pgMar w:left="240" w:top="118" w:right="299" w:bottom="1440" w:gutter="0" w:footer="0" w:header="0"/>
        </w:sectPr>
      </w:pPr>
    </w:p>
    <w:bookmarkStart w:id="2" w:name="page3"/>
    <w:bookmarkEnd w:id="2"/>
    <w:p>
      <w:pPr>
        <w:jc w:val="center"/>
        <w:ind w:right="-67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p>
      <w:pPr>
        <w:spacing w:after="0"/>
        <w:tabs>
          <w:tab w:leader="none" w:pos="800" w:val="left"/>
          <w:tab w:leader="none" w:pos="57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January 8, 2013</w:t>
      </w:r>
      <w:r>
        <w:rPr>
          <w:sz w:val="20"/>
          <w:szCs w:val="20"/>
          <w:color w:val="auto"/>
        </w:rPr>
        <w:tab/>
      </w:r>
      <w:r>
        <w:rPr>
          <w:rFonts w:ascii="Arial" w:cs="Arial" w:eastAsia="Arial" w:hAnsi="Arial"/>
          <w:sz w:val="17"/>
          <w:szCs w:val="17"/>
          <w:color w:val="auto"/>
        </w:rPr>
        <w:t>GREATBATCH, INC.</w:t>
      </w:r>
    </w:p>
    <w:p>
      <w:pPr>
        <w:spacing w:after="0" w:line="279" w:lineRule="exact"/>
        <w:rPr>
          <w:sz w:val="20"/>
          <w:szCs w:val="20"/>
          <w:color w:val="auto"/>
        </w:rPr>
      </w:pPr>
    </w:p>
    <w:p>
      <w:pPr>
        <w:ind w:left="5740"/>
        <w:spacing w:after="0"/>
        <w:tabs>
          <w:tab w:leader="none" w:pos="6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23495</wp:posOffset>
            </wp:positionV>
            <wp:extent cx="23152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15210" cy="8890"/>
                    </a:xfrm>
                    <a:prstGeom prst="rect">
                      <a:avLst/>
                    </a:prstGeom>
                    <a:noFill/>
                  </pic:spPr>
                </pic:pic>
              </a:graphicData>
            </a:graphic>
          </wp:anchor>
        </w:drawing>
      </w:r>
    </w:p>
    <w:p>
      <w:pPr>
        <w:spacing w:after="0" w:line="30"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Michael Dinkins</w:t>
      </w:r>
    </w:p>
    <w:p>
      <w:pPr>
        <w:spacing w:after="0" w:line="3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Senior Vice President and</w:t>
      </w:r>
    </w:p>
    <w:p>
      <w:pPr>
        <w:spacing w:after="0" w:line="3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760"/>
          </w:cols>
          <w:pgMar w:left="240" w:top="125" w:right="89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EXHIBIT</w:t>
      </w:r>
    </w:p>
    <w:p>
      <w:pPr>
        <w:spacing w:after="0" w:line="23" w:lineRule="exact"/>
        <w:rPr>
          <w:sz w:val="20"/>
          <w:szCs w:val="20"/>
          <w:color w:val="auto"/>
        </w:rPr>
      </w:pPr>
    </w:p>
    <w:p>
      <w:pPr>
        <w:spacing w:after="0"/>
        <w:tabs>
          <w:tab w:leader="none" w:pos="2280" w:val="left"/>
        </w:tabs>
        <w:rPr>
          <w:sz w:val="20"/>
          <w:szCs w:val="20"/>
          <w:color w:val="auto"/>
        </w:rPr>
      </w:pPr>
      <w:r>
        <w:rPr>
          <w:rFonts w:ascii="Arial" w:cs="Arial" w:eastAsia="Arial" w:hAnsi="Arial"/>
          <w:sz w:val="18"/>
          <w:szCs w:val="18"/>
          <w:u w:val="single" w:color="auto"/>
          <w:color w:val="auto"/>
        </w:rPr>
        <w:t>NUMBER</w:t>
      </w:r>
      <w:r>
        <w:rPr>
          <w:sz w:val="20"/>
          <w:szCs w:val="20"/>
          <w:color w:val="auto"/>
        </w:rPr>
        <w:tab/>
      </w:r>
      <w:r>
        <w:rPr>
          <w:rFonts w:ascii="Arial" w:cs="Arial" w:eastAsia="Arial" w:hAnsi="Arial"/>
          <w:sz w:val="18"/>
          <w:szCs w:val="18"/>
          <w:u w:val="single" w:color="auto"/>
          <w:color w:val="auto"/>
        </w:rPr>
        <w:t>DESCRIPTION</w:t>
      </w:r>
    </w:p>
    <w:p>
      <w:pPr>
        <w:spacing w:after="0" w:line="265" w:lineRule="exact"/>
        <w:rPr>
          <w:sz w:val="20"/>
          <w:szCs w:val="20"/>
          <w:color w:val="auto"/>
        </w:rPr>
      </w:pPr>
    </w:p>
    <w:p>
      <w:pPr>
        <w:spacing w:after="0"/>
        <w:tabs>
          <w:tab w:leader="none" w:pos="22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of Greatbatch, Inc. dated January 8, 2013.</w:t>
      </w:r>
    </w:p>
    <w:p>
      <w:pPr>
        <w:sectPr>
          <w:pgSz w:w="11900" w:h="16838" w:orient="portrait"/>
          <w:cols w:equalWidth="0" w:num="1">
            <w:col w:w="10219"/>
          </w:cols>
          <w:pgMar w:left="240" w:top="139" w:right="1440" w:bottom="1440" w:gutter="0" w:footer="0" w:header="0"/>
        </w:sectPr>
      </w:pPr>
    </w:p>
    <w:bookmarkStart w:id="4" w:name="page5"/>
    <w:bookmarkEnd w:id="4"/>
    <w:p>
      <w:pPr>
        <w:ind w:left="10300"/>
        <w:spacing w:after="0"/>
        <w:rPr>
          <w:sz w:val="20"/>
          <w:szCs w:val="20"/>
          <w:color w:val="auto"/>
        </w:rPr>
      </w:pPr>
      <w:r>
        <w:rPr>
          <w:rFonts w:ascii="Arial" w:cs="Arial" w:eastAsia="Arial" w:hAnsi="Arial"/>
          <w:sz w:val="19"/>
          <w:szCs w:val="19"/>
          <w:b w:val="1"/>
          <w:bCs w:val="1"/>
          <w:color w:val="auto"/>
        </w:rPr>
        <w:t>Exhibit 99.1</w:t>
      </w:r>
    </w:p>
    <w:p>
      <w:pPr>
        <w:spacing w:after="0" w:line="241" w:lineRule="exact"/>
        <w:rPr>
          <w:sz w:val="20"/>
          <w:szCs w:val="20"/>
          <w:color w:val="auto"/>
        </w:rPr>
      </w:pPr>
    </w:p>
    <w:p>
      <w:pPr>
        <w:ind w:left="720" w:right="720" w:firstLine="3"/>
        <w:spacing w:after="0" w:line="535" w:lineRule="auto"/>
        <w:rPr>
          <w:sz w:val="20"/>
          <w:szCs w:val="20"/>
          <w:color w:val="auto"/>
        </w:rPr>
      </w:pPr>
      <w:r>
        <w:rPr>
          <w:rFonts w:ascii="Arial" w:cs="Arial" w:eastAsia="Arial" w:hAnsi="Arial"/>
          <w:sz w:val="18"/>
          <w:szCs w:val="18"/>
          <w:b w:val="1"/>
          <w:bCs w:val="1"/>
          <w:color w:val="auto"/>
        </w:rPr>
        <w:t xml:space="preserve">Greatbatch, Inc. Reaffirms 2012 Guidance, Announces Preliminary 2012 Sales, and Provides 2013 Guidance </w:t>
      </w:r>
      <w:r>
        <w:rPr>
          <w:rFonts w:ascii="Arial" w:cs="Arial" w:eastAsia="Arial" w:hAnsi="Arial"/>
          <w:sz w:val="18"/>
          <w:szCs w:val="18"/>
          <w:b w:val="1"/>
          <w:bCs w:val="1"/>
          <w:i w:val="1"/>
          <w:iCs w:val="1"/>
          <w:color w:val="auto"/>
        </w:rPr>
        <w:t>Completion of consolidation initiatives, reduced R&amp;D expenses, and organic growth fuels 2013 earnings growth</w:t>
      </w:r>
    </w:p>
    <w:p>
      <w:pPr>
        <w:spacing w:after="0" w:line="2" w:lineRule="exact"/>
        <w:rPr>
          <w:sz w:val="20"/>
          <w:szCs w:val="20"/>
          <w:color w:val="auto"/>
        </w:rPr>
      </w:pPr>
    </w:p>
    <w:p>
      <w:pPr>
        <w:spacing w:after="0" w:line="236" w:lineRule="auto"/>
        <w:rPr>
          <w:sz w:val="20"/>
          <w:szCs w:val="20"/>
          <w:color w:val="auto"/>
        </w:rPr>
      </w:pPr>
      <w:r>
        <w:rPr>
          <w:rFonts w:ascii="Arial" w:cs="Arial" w:eastAsia="Arial" w:hAnsi="Arial"/>
          <w:sz w:val="22"/>
          <w:szCs w:val="22"/>
          <w:color w:val="auto"/>
        </w:rPr>
        <w:t>FRISCO, Texas--(BUSINESS WIRE)--January 8, 2013--Greatbatch, Inc. (NYSE: GB), today announced preliminary sales results for its fiscal year ended December 28, 2012, and provided fiscal 2013 guidance. The 2013 guidance will be referenced in a presentation by Thomas J. Hook, Chief Executive Officer and President of Greatbatch Inc., on Thursday January 10, 2013, at the 31st Annual J.P. Morgan Healthcare Conference in San Francisco. The company will be discussing its strategy for long term growth and profitability.</w:t>
      </w:r>
    </w:p>
    <w:p>
      <w:pPr>
        <w:spacing w:after="0" w:line="188" w:lineRule="exact"/>
        <w:rPr>
          <w:sz w:val="20"/>
          <w:szCs w:val="20"/>
          <w:color w:val="auto"/>
        </w:rPr>
      </w:pPr>
    </w:p>
    <w:p>
      <w:pPr>
        <w:ind w:left="540" w:right="440"/>
        <w:spacing w:after="0" w:line="251" w:lineRule="auto"/>
        <w:rPr>
          <w:sz w:val="20"/>
          <w:szCs w:val="20"/>
          <w:color w:val="auto"/>
        </w:rPr>
      </w:pPr>
      <w:r>
        <w:rPr>
          <w:rFonts w:ascii="Arial" w:cs="Arial" w:eastAsia="Arial" w:hAnsi="Arial"/>
          <w:sz w:val="22"/>
          <w:szCs w:val="22"/>
          <w:color w:val="auto"/>
        </w:rPr>
        <w:t>Preliminary revenue for 2012 increased approximately 13.5% over the prior year to $645 million driven primarily by the acquisition of MicroPower, a provider of portable medical solutions, in December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jc w:val="both"/>
        <w:ind w:left="540"/>
        <w:spacing w:after="0"/>
        <w:rPr>
          <w:sz w:val="20"/>
          <w:szCs w:val="20"/>
          <w:color w:val="auto"/>
        </w:rPr>
      </w:pPr>
      <w:r>
        <w:rPr>
          <w:rFonts w:ascii="Arial" w:cs="Arial" w:eastAsia="Arial" w:hAnsi="Arial"/>
          <w:sz w:val="22"/>
          <w:szCs w:val="22"/>
          <w:color w:val="auto"/>
        </w:rPr>
        <w:t>Preliminary 2012 Adjusted Operating Margin and Adjusted Diluted EPS are in line with previously discussed guidance of the lower-end of 11.5% to 12.5% and $1.75 to $1.85 ranges, respectively, as a result of expense management during the year and a decrease in estimated incentive compensation payout.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Fiscal 2013 sales are expected to increase in the range of 2% to 5% primarily driven by growth in the Portable Medical and Vascular product lines. Organic growth is expected to be in the range of 5% to 8% for 2013, after adjusting for the disposition of certain Orthopaedic products as previously announced.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Adjusted Operating Margin in 2013 is targeted to be 12.0% to 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Adjusted Diluted EPS growth in 2013 is expected to be in the range of 7% to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CEO Comments</w:t>
      </w:r>
    </w:p>
    <w:p>
      <w:pPr>
        <w:spacing w:after="0" w:line="212" w:lineRule="exact"/>
        <w:rPr>
          <w:sz w:val="20"/>
          <w:szCs w:val="20"/>
          <w:color w:val="auto"/>
        </w:rPr>
      </w:pPr>
    </w:p>
    <w:p>
      <w:pPr>
        <w:ind w:right="240"/>
        <w:spacing w:after="0" w:line="238" w:lineRule="auto"/>
        <w:rPr>
          <w:sz w:val="20"/>
          <w:szCs w:val="20"/>
          <w:color w:val="auto"/>
        </w:rPr>
      </w:pPr>
      <w:r>
        <w:rPr>
          <w:rFonts w:ascii="Arial" w:cs="Arial" w:eastAsia="Arial" w:hAnsi="Arial"/>
          <w:sz w:val="22"/>
          <w:szCs w:val="22"/>
          <w:color w:val="auto"/>
        </w:rPr>
        <w:t>Commenting on 2012’s preliminary results, Thomas J. Hook said, “Growth rates in portable medical and cardiac rhythm management exceeded our revenue guidance in 2012 and vascular revenue growth was at the high-end of our guidance expectations. Along with firm expense management and incentive compensation adjustments, we were able to offset the negative impact of our Orthopaedic operations on earnings.” Hook continued,</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“We are confident about our outlook for fiscal 2013, our performance this year will be predominantly driven by three factors:</w:t>
      </w:r>
    </w:p>
    <w:p>
      <w:pPr>
        <w:spacing w:after="0" w:line="241" w:lineRule="exact"/>
        <w:rPr>
          <w:sz w:val="20"/>
          <w:szCs w:val="20"/>
          <w:color w:val="auto"/>
        </w:rPr>
      </w:pPr>
    </w:p>
    <w:p>
      <w:pPr>
        <w:ind w:left="540" w:right="280"/>
        <w:spacing w:after="0" w:line="251" w:lineRule="auto"/>
        <w:rPr>
          <w:sz w:val="20"/>
          <w:szCs w:val="20"/>
          <w:color w:val="auto"/>
        </w:rPr>
      </w:pPr>
      <w:r>
        <w:rPr>
          <w:rFonts w:ascii="Arial" w:cs="Arial" w:eastAsia="Arial" w:hAnsi="Arial"/>
          <w:sz w:val="22"/>
          <w:szCs w:val="22"/>
          <w:color w:val="auto"/>
        </w:rPr>
        <w:t>5-8% organic growth driven by Portable Medical, Vascular and Orthopaedic (adjusted for product dispositions) along with above market growth in Cardiac and Neuromodulation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right="2320"/>
        <w:spacing w:after="0" w:line="459" w:lineRule="auto"/>
        <w:rPr>
          <w:sz w:val="20"/>
          <w:szCs w:val="20"/>
          <w:color w:val="auto"/>
        </w:rPr>
      </w:pPr>
      <w:r>
        <w:rPr>
          <w:rFonts w:ascii="Arial" w:cs="Arial" w:eastAsia="Arial" w:hAnsi="Arial"/>
          <w:sz w:val="19"/>
          <w:szCs w:val="19"/>
          <w:color w:val="auto"/>
        </w:rPr>
        <w:t>The benefits of our consolidation and integration effort in our Orthopaedic operations; and Reduction in research and development expenses as our Algostim project nears PMA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-469265</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-229235</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right="360"/>
        <w:spacing w:after="0" w:line="251" w:lineRule="auto"/>
        <w:rPr>
          <w:sz w:val="20"/>
          <w:szCs w:val="20"/>
          <w:color w:val="auto"/>
        </w:rPr>
      </w:pPr>
      <w:r>
        <w:rPr>
          <w:rFonts w:ascii="Arial" w:cs="Arial" w:eastAsia="Arial" w:hAnsi="Arial"/>
          <w:sz w:val="22"/>
          <w:szCs w:val="22"/>
          <w:color w:val="auto"/>
        </w:rPr>
        <w:t>“We look forward to providing greater detail during our earnings call on February 25, 2013, and at our Investor Day meeting on March 18,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111125</wp:posOffset>
            </wp:positionV>
            <wp:extent cx="7272020" cy="59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Financial Guidance</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For 2013, Greatbatch estimates annual revenue growth rates for its product lines are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3660" w:type="dxa"/>
            <w:vAlign w:val="bottom"/>
          </w:tcPr>
          <w:p>
            <w:pPr>
              <w:spacing w:after="0"/>
              <w:rPr>
                <w:sz w:val="15"/>
                <w:szCs w:val="15"/>
                <w:color w:val="auto"/>
              </w:rPr>
            </w:pPr>
          </w:p>
        </w:tc>
        <w:tc>
          <w:tcPr>
            <w:tcW w:w="1880" w:type="dxa"/>
            <w:vAlign w:val="bottom"/>
          </w:tcPr>
          <w:p>
            <w:pPr>
              <w:jc w:val="center"/>
              <w:ind w:right="668"/>
              <w:spacing w:after="0"/>
              <w:rPr>
                <w:sz w:val="20"/>
                <w:szCs w:val="20"/>
                <w:color w:val="auto"/>
              </w:rPr>
            </w:pPr>
            <w:r>
              <w:rPr>
                <w:rFonts w:ascii="Arial" w:cs="Arial" w:eastAsia="Arial" w:hAnsi="Arial"/>
                <w:sz w:val="14"/>
                <w:szCs w:val="14"/>
                <w:b w:val="1"/>
                <w:bCs w:val="1"/>
                <w:color w:val="auto"/>
                <w:w w:val="95"/>
              </w:rPr>
              <w:t>Preliminary 2012</w:t>
            </w:r>
          </w:p>
        </w:tc>
        <w:tc>
          <w:tcPr>
            <w:tcW w:w="298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76"/>
        </w:trPr>
        <w:tc>
          <w:tcPr>
            <w:tcW w:w="20" w:type="dxa"/>
            <w:vAlign w:val="bottom"/>
          </w:tcPr>
          <w:p>
            <w:pPr>
              <w:spacing w:after="0"/>
              <w:rPr>
                <w:sz w:val="15"/>
                <w:szCs w:val="15"/>
                <w:color w:val="auto"/>
              </w:rPr>
            </w:pPr>
          </w:p>
        </w:tc>
        <w:tc>
          <w:tcPr>
            <w:tcW w:w="3660" w:type="dxa"/>
            <w:vAlign w:val="bottom"/>
          </w:tcPr>
          <w:p>
            <w:pPr>
              <w:spacing w:after="0"/>
              <w:rPr>
                <w:sz w:val="15"/>
                <w:szCs w:val="15"/>
                <w:color w:val="auto"/>
              </w:rPr>
            </w:pPr>
          </w:p>
        </w:tc>
        <w:tc>
          <w:tcPr>
            <w:tcW w:w="1880" w:type="dxa"/>
            <w:vAlign w:val="bottom"/>
          </w:tcPr>
          <w:p>
            <w:pPr>
              <w:jc w:val="center"/>
              <w:ind w:right="648"/>
              <w:spacing w:after="0"/>
              <w:rPr>
                <w:sz w:val="20"/>
                <w:szCs w:val="20"/>
                <w:color w:val="auto"/>
              </w:rPr>
            </w:pPr>
            <w:r>
              <w:rPr>
                <w:rFonts w:ascii="Arial" w:cs="Arial" w:eastAsia="Arial" w:hAnsi="Arial"/>
                <w:sz w:val="14"/>
                <w:szCs w:val="14"/>
                <w:b w:val="1"/>
                <w:bCs w:val="1"/>
                <w:color w:val="auto"/>
                <w:w w:val="89"/>
              </w:rPr>
              <w:t>Revenue</w:t>
            </w:r>
          </w:p>
        </w:tc>
        <w:tc>
          <w:tcPr>
            <w:tcW w:w="2980" w:type="dxa"/>
            <w:vAlign w:val="bottom"/>
          </w:tcPr>
          <w:p>
            <w:pPr>
              <w:jc w:val="center"/>
              <w:spacing w:after="0"/>
              <w:rPr>
                <w:sz w:val="20"/>
                <w:szCs w:val="20"/>
                <w:color w:val="auto"/>
              </w:rPr>
            </w:pPr>
            <w:r>
              <w:rPr>
                <w:rFonts w:ascii="Arial" w:cs="Arial" w:eastAsia="Arial" w:hAnsi="Arial"/>
                <w:sz w:val="14"/>
                <w:szCs w:val="14"/>
                <w:b w:val="1"/>
                <w:bCs w:val="1"/>
                <w:color w:val="auto"/>
                <w:w w:val="93"/>
              </w:rPr>
              <w:t>Estimated 2013 Annual</w:t>
            </w:r>
          </w:p>
        </w:tc>
        <w:tc>
          <w:tcPr>
            <w:tcW w:w="2880" w:type="dxa"/>
            <w:vAlign w:val="bottom"/>
            <w:gridSpan w:val="2"/>
          </w:tcPr>
          <w:p>
            <w:pPr>
              <w:jc w:val="center"/>
              <w:ind w:left="328"/>
              <w:spacing w:after="0"/>
              <w:rPr>
                <w:sz w:val="20"/>
                <w:szCs w:val="20"/>
                <w:color w:val="auto"/>
              </w:rPr>
            </w:pPr>
            <w:r>
              <w:rPr>
                <w:rFonts w:ascii="Arial" w:cs="Arial" w:eastAsia="Arial" w:hAnsi="Arial"/>
                <w:sz w:val="14"/>
                <w:szCs w:val="14"/>
                <w:b w:val="1"/>
                <w:bCs w:val="1"/>
                <w:color w:val="auto"/>
                <w:w w:val="92"/>
              </w:rPr>
              <w:t>2013 Estimated Revenue</w:t>
            </w:r>
          </w:p>
        </w:tc>
      </w:tr>
      <w:tr>
        <w:trPr>
          <w:trHeight w:val="185"/>
        </w:trPr>
        <w:tc>
          <w:tcPr>
            <w:tcW w:w="20" w:type="dxa"/>
            <w:vAlign w:val="bottom"/>
          </w:tcPr>
          <w:p>
            <w:pPr>
              <w:spacing w:after="0"/>
              <w:rPr>
                <w:sz w:val="16"/>
                <w:szCs w:val="16"/>
                <w:color w:val="auto"/>
              </w:rPr>
            </w:pPr>
          </w:p>
        </w:tc>
        <w:tc>
          <w:tcPr>
            <w:tcW w:w="3660" w:type="dxa"/>
            <w:vAlign w:val="bottom"/>
            <w:tcBorders>
              <w:bottom w:val="single" w:sz="8" w:color="auto"/>
            </w:tcBorders>
          </w:tcPr>
          <w:p>
            <w:pPr>
              <w:ind w:left="900"/>
              <w:spacing w:after="0"/>
              <w:rPr>
                <w:sz w:val="20"/>
                <w:szCs w:val="20"/>
                <w:color w:val="auto"/>
              </w:rPr>
            </w:pPr>
            <w:r>
              <w:rPr>
                <w:rFonts w:ascii="Arial" w:cs="Arial" w:eastAsia="Arial" w:hAnsi="Arial"/>
                <w:sz w:val="14"/>
                <w:szCs w:val="14"/>
                <w:b w:val="1"/>
                <w:bCs w:val="1"/>
                <w:color w:val="auto"/>
              </w:rPr>
              <w:t>Product Line</w:t>
            </w:r>
          </w:p>
        </w:tc>
        <w:tc>
          <w:tcPr>
            <w:tcW w:w="1880" w:type="dxa"/>
            <w:vAlign w:val="bottom"/>
            <w:tcBorders>
              <w:bottom w:val="single" w:sz="8" w:color="auto"/>
            </w:tcBorders>
          </w:tcPr>
          <w:p>
            <w:pPr>
              <w:jc w:val="center"/>
              <w:ind w:right="668"/>
              <w:spacing w:after="0"/>
              <w:rPr>
                <w:sz w:val="20"/>
                <w:szCs w:val="20"/>
                <w:color w:val="auto"/>
              </w:rPr>
            </w:pPr>
            <w:r>
              <w:rPr>
                <w:rFonts w:ascii="Arial" w:cs="Arial" w:eastAsia="Arial" w:hAnsi="Arial"/>
                <w:sz w:val="14"/>
                <w:szCs w:val="14"/>
                <w:b w:val="1"/>
                <w:bCs w:val="1"/>
                <w:color w:val="auto"/>
                <w:w w:val="93"/>
              </w:rPr>
              <w:t>(millions)</w:t>
            </w:r>
          </w:p>
        </w:tc>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Growth Rate (%)</w:t>
            </w:r>
          </w:p>
        </w:tc>
        <w:tc>
          <w:tcPr>
            <w:tcW w:w="2880" w:type="dxa"/>
            <w:vAlign w:val="bottom"/>
            <w:tcBorders>
              <w:bottom w:val="single" w:sz="8" w:color="auto"/>
            </w:tcBorders>
            <w:gridSpan w:val="2"/>
          </w:tcPr>
          <w:p>
            <w:pPr>
              <w:jc w:val="center"/>
              <w:ind w:left="348"/>
              <w:spacing w:after="0"/>
              <w:rPr>
                <w:sz w:val="20"/>
                <w:szCs w:val="20"/>
                <w:color w:val="auto"/>
              </w:rPr>
            </w:pPr>
            <w:r>
              <w:rPr>
                <w:rFonts w:ascii="Arial" w:cs="Arial" w:eastAsia="Arial" w:hAnsi="Arial"/>
                <w:sz w:val="14"/>
                <w:szCs w:val="14"/>
                <w:b w:val="1"/>
                <w:bCs w:val="1"/>
                <w:color w:val="auto"/>
                <w:w w:val="93"/>
              </w:rPr>
              <w:t>(millions)</w:t>
            </w:r>
          </w:p>
        </w:tc>
      </w:tr>
      <w:tr>
        <w:trPr>
          <w:trHeight w:val="164"/>
        </w:trPr>
        <w:tc>
          <w:tcPr>
            <w:tcW w:w="20" w:type="dxa"/>
            <w:vAlign w:val="bottom"/>
          </w:tcPr>
          <w:p>
            <w:pPr>
              <w:spacing w:after="0"/>
              <w:rPr>
                <w:sz w:val="14"/>
                <w:szCs w:val="14"/>
                <w:color w:val="auto"/>
              </w:rPr>
            </w:pPr>
          </w:p>
        </w:tc>
        <w:tc>
          <w:tcPr>
            <w:tcW w:w="3660" w:type="dxa"/>
            <w:vAlign w:val="bottom"/>
          </w:tcPr>
          <w:p>
            <w:pPr>
              <w:spacing w:after="0"/>
              <w:rPr>
                <w:sz w:val="20"/>
                <w:szCs w:val="20"/>
                <w:color w:val="auto"/>
              </w:rPr>
            </w:pPr>
            <w:r>
              <w:rPr>
                <w:rFonts w:ascii="Arial" w:cs="Arial" w:eastAsia="Arial" w:hAnsi="Arial"/>
                <w:sz w:val="14"/>
                <w:szCs w:val="14"/>
                <w:color w:val="auto"/>
              </w:rPr>
              <w:t>Cardiac &amp; Neuromodulation</w:t>
            </w:r>
          </w:p>
        </w:tc>
        <w:tc>
          <w:tcPr>
            <w:tcW w:w="1880" w:type="dxa"/>
            <w:vAlign w:val="bottom"/>
          </w:tcPr>
          <w:p>
            <w:pPr>
              <w:jc w:val="center"/>
              <w:ind w:right="648"/>
              <w:spacing w:after="0"/>
              <w:rPr>
                <w:sz w:val="20"/>
                <w:szCs w:val="20"/>
                <w:color w:val="auto"/>
              </w:rPr>
            </w:pPr>
            <w:r>
              <w:rPr>
                <w:rFonts w:ascii="Arial" w:cs="Arial" w:eastAsia="Arial" w:hAnsi="Arial"/>
                <w:sz w:val="14"/>
                <w:szCs w:val="14"/>
                <w:color w:val="auto"/>
                <w:w w:val="89"/>
              </w:rPr>
              <w:t>$308</w:t>
            </w:r>
          </w:p>
        </w:tc>
        <w:tc>
          <w:tcPr>
            <w:tcW w:w="2980" w:type="dxa"/>
            <w:vAlign w:val="bottom"/>
          </w:tcPr>
          <w:p>
            <w:pPr>
              <w:jc w:val="center"/>
              <w:spacing w:after="0"/>
              <w:rPr>
                <w:sz w:val="20"/>
                <w:szCs w:val="20"/>
                <w:color w:val="auto"/>
              </w:rPr>
            </w:pPr>
            <w:r>
              <w:rPr>
                <w:rFonts w:ascii="Arial" w:cs="Arial" w:eastAsia="Arial" w:hAnsi="Arial"/>
                <w:sz w:val="14"/>
                <w:szCs w:val="14"/>
                <w:color w:val="auto"/>
                <w:w w:val="94"/>
              </w:rPr>
              <w:t>0% - 2%</w:t>
            </w:r>
          </w:p>
        </w:tc>
        <w:tc>
          <w:tcPr>
            <w:tcW w:w="1600" w:type="dxa"/>
            <w:vAlign w:val="bottom"/>
          </w:tcPr>
          <w:p>
            <w:pPr>
              <w:jc w:val="right"/>
              <w:spacing w:after="0"/>
              <w:rPr>
                <w:sz w:val="20"/>
                <w:szCs w:val="20"/>
                <w:color w:val="auto"/>
              </w:rPr>
            </w:pPr>
            <w:r>
              <w:rPr>
                <w:rFonts w:ascii="Arial" w:cs="Arial" w:eastAsia="Arial" w:hAnsi="Arial"/>
                <w:sz w:val="14"/>
                <w:szCs w:val="14"/>
                <w:color w:val="auto"/>
              </w:rPr>
              <w:t>$308</w:t>
            </w:r>
          </w:p>
        </w:tc>
        <w:tc>
          <w:tcPr>
            <w:tcW w:w="1280" w:type="dxa"/>
            <w:vAlign w:val="bottom"/>
          </w:tcPr>
          <w:p>
            <w:pPr>
              <w:ind w:left="20"/>
              <w:spacing w:after="0"/>
              <w:rPr>
                <w:sz w:val="20"/>
                <w:szCs w:val="20"/>
                <w:color w:val="auto"/>
              </w:rPr>
            </w:pPr>
            <w:r>
              <w:rPr>
                <w:rFonts w:ascii="Arial" w:cs="Arial" w:eastAsia="Arial" w:hAnsi="Arial"/>
                <w:sz w:val="14"/>
                <w:szCs w:val="14"/>
                <w:color w:val="auto"/>
              </w:rPr>
              <w:t>- $314</w:t>
            </w:r>
          </w:p>
        </w:tc>
      </w:tr>
      <w:tr>
        <w:trPr>
          <w:trHeight w:val="176"/>
        </w:trPr>
        <w:tc>
          <w:tcPr>
            <w:tcW w:w="3680" w:type="dxa"/>
            <w:vAlign w:val="bottom"/>
            <w:gridSpan w:val="2"/>
          </w:tcPr>
          <w:p>
            <w:pPr>
              <w:spacing w:after="0"/>
              <w:rPr>
                <w:sz w:val="20"/>
                <w:szCs w:val="20"/>
                <w:color w:val="auto"/>
              </w:rPr>
            </w:pPr>
            <w:r>
              <w:rPr>
                <w:rFonts w:ascii="Arial" w:cs="Arial" w:eastAsia="Arial" w:hAnsi="Arial"/>
                <w:sz w:val="14"/>
                <w:szCs w:val="14"/>
                <w:color w:val="auto"/>
              </w:rPr>
              <w:t>Vascular</w:t>
            </w:r>
          </w:p>
        </w:tc>
        <w:tc>
          <w:tcPr>
            <w:tcW w:w="1880" w:type="dxa"/>
            <w:vAlign w:val="bottom"/>
          </w:tcPr>
          <w:p>
            <w:pPr>
              <w:jc w:val="center"/>
              <w:ind w:right="628"/>
              <w:spacing w:after="0"/>
              <w:rPr>
                <w:sz w:val="20"/>
                <w:szCs w:val="20"/>
                <w:color w:val="auto"/>
              </w:rPr>
            </w:pPr>
            <w:r>
              <w:rPr>
                <w:rFonts w:ascii="Arial" w:cs="Arial" w:eastAsia="Arial" w:hAnsi="Arial"/>
                <w:sz w:val="14"/>
                <w:szCs w:val="14"/>
                <w:color w:val="auto"/>
                <w:w w:val="94"/>
              </w:rPr>
              <w:t>$53</w:t>
            </w:r>
          </w:p>
        </w:tc>
        <w:tc>
          <w:tcPr>
            <w:tcW w:w="2980" w:type="dxa"/>
            <w:vAlign w:val="bottom"/>
          </w:tcPr>
          <w:p>
            <w:pPr>
              <w:jc w:val="center"/>
              <w:spacing w:after="0"/>
              <w:rPr>
                <w:sz w:val="20"/>
                <w:szCs w:val="20"/>
                <w:color w:val="auto"/>
              </w:rPr>
            </w:pPr>
            <w:r>
              <w:rPr>
                <w:rFonts w:ascii="Arial" w:cs="Arial" w:eastAsia="Arial" w:hAnsi="Arial"/>
                <w:sz w:val="14"/>
                <w:szCs w:val="14"/>
                <w:color w:val="auto"/>
                <w:w w:val="95"/>
              </w:rPr>
              <w:t>7% - 13%</w:t>
            </w:r>
          </w:p>
        </w:tc>
        <w:tc>
          <w:tcPr>
            <w:tcW w:w="1600" w:type="dxa"/>
            <w:vAlign w:val="bottom"/>
          </w:tcPr>
          <w:p>
            <w:pPr>
              <w:jc w:val="right"/>
              <w:spacing w:after="0"/>
              <w:rPr>
                <w:sz w:val="20"/>
                <w:szCs w:val="20"/>
                <w:color w:val="auto"/>
              </w:rPr>
            </w:pPr>
            <w:r>
              <w:rPr>
                <w:rFonts w:ascii="Arial" w:cs="Arial" w:eastAsia="Arial" w:hAnsi="Arial"/>
                <w:sz w:val="14"/>
                <w:szCs w:val="14"/>
                <w:color w:val="auto"/>
              </w:rPr>
              <w:t>$56</w:t>
            </w:r>
          </w:p>
        </w:tc>
        <w:tc>
          <w:tcPr>
            <w:tcW w:w="1280" w:type="dxa"/>
            <w:vAlign w:val="bottom"/>
          </w:tcPr>
          <w:p>
            <w:pPr>
              <w:ind w:left="20"/>
              <w:spacing w:after="0"/>
              <w:rPr>
                <w:sz w:val="20"/>
                <w:szCs w:val="20"/>
                <w:color w:val="auto"/>
              </w:rPr>
            </w:pPr>
            <w:r>
              <w:rPr>
                <w:rFonts w:ascii="Arial" w:cs="Arial" w:eastAsia="Arial" w:hAnsi="Arial"/>
                <w:sz w:val="14"/>
                <w:szCs w:val="14"/>
                <w:color w:val="auto"/>
              </w:rPr>
              <w:t>- $60</w:t>
            </w:r>
          </w:p>
        </w:tc>
      </w:tr>
      <w:tr>
        <w:trPr>
          <w:trHeight w:val="176"/>
        </w:trPr>
        <w:tc>
          <w:tcPr>
            <w:tcW w:w="3680" w:type="dxa"/>
            <w:vAlign w:val="bottom"/>
            <w:gridSpan w:val="2"/>
          </w:tcPr>
          <w:p>
            <w:pPr>
              <w:spacing w:after="0"/>
              <w:rPr>
                <w:sz w:val="20"/>
                <w:szCs w:val="20"/>
                <w:color w:val="auto"/>
              </w:rPr>
            </w:pPr>
            <w:r>
              <w:rPr>
                <w:rFonts w:ascii="Arial" w:cs="Arial" w:eastAsia="Arial" w:hAnsi="Arial"/>
                <w:sz w:val="14"/>
                <w:szCs w:val="14"/>
                <w:color w:val="auto"/>
              </w:rPr>
              <w:t>Orthopaedic</w:t>
            </w:r>
          </w:p>
        </w:tc>
        <w:tc>
          <w:tcPr>
            <w:tcW w:w="1880" w:type="dxa"/>
            <w:vAlign w:val="bottom"/>
          </w:tcPr>
          <w:p>
            <w:pPr>
              <w:jc w:val="center"/>
              <w:ind w:right="648"/>
              <w:spacing w:after="0"/>
              <w:rPr>
                <w:sz w:val="20"/>
                <w:szCs w:val="20"/>
                <w:color w:val="auto"/>
              </w:rPr>
            </w:pPr>
            <w:r>
              <w:rPr>
                <w:rFonts w:ascii="Arial" w:cs="Arial" w:eastAsia="Arial" w:hAnsi="Arial"/>
                <w:sz w:val="14"/>
                <w:szCs w:val="14"/>
                <w:color w:val="auto"/>
                <w:w w:val="89"/>
              </w:rPr>
              <w:t>$119</w:t>
            </w:r>
          </w:p>
        </w:tc>
        <w:tc>
          <w:tcPr>
            <w:tcW w:w="2980" w:type="dxa"/>
            <w:vAlign w:val="bottom"/>
          </w:tcPr>
          <w:p>
            <w:pPr>
              <w:jc w:val="center"/>
              <w:spacing w:after="0"/>
              <w:rPr>
                <w:sz w:val="20"/>
                <w:szCs w:val="20"/>
                <w:color w:val="auto"/>
              </w:rPr>
            </w:pPr>
            <w:r>
              <w:rPr>
                <w:rFonts w:ascii="Arial" w:cs="Arial" w:eastAsia="Arial" w:hAnsi="Arial"/>
                <w:sz w:val="14"/>
                <w:szCs w:val="14"/>
                <w:color w:val="auto"/>
                <w:w w:val="96"/>
              </w:rPr>
              <w:t>(5%) - 0%</w:t>
            </w:r>
          </w:p>
        </w:tc>
        <w:tc>
          <w:tcPr>
            <w:tcW w:w="1600" w:type="dxa"/>
            <w:vAlign w:val="bottom"/>
          </w:tcPr>
          <w:p>
            <w:pPr>
              <w:jc w:val="right"/>
              <w:spacing w:after="0"/>
              <w:rPr>
                <w:sz w:val="20"/>
                <w:szCs w:val="20"/>
                <w:color w:val="auto"/>
              </w:rPr>
            </w:pPr>
            <w:r>
              <w:rPr>
                <w:rFonts w:ascii="Arial" w:cs="Arial" w:eastAsia="Arial" w:hAnsi="Arial"/>
                <w:sz w:val="14"/>
                <w:szCs w:val="14"/>
                <w:color w:val="auto"/>
              </w:rPr>
              <w:t>$113</w:t>
            </w:r>
          </w:p>
        </w:tc>
        <w:tc>
          <w:tcPr>
            <w:tcW w:w="1280" w:type="dxa"/>
            <w:vAlign w:val="bottom"/>
          </w:tcPr>
          <w:p>
            <w:pPr>
              <w:ind w:left="20"/>
              <w:spacing w:after="0"/>
              <w:rPr>
                <w:sz w:val="20"/>
                <w:szCs w:val="20"/>
                <w:color w:val="auto"/>
              </w:rPr>
            </w:pPr>
            <w:r>
              <w:rPr>
                <w:rFonts w:ascii="Arial" w:cs="Arial" w:eastAsia="Arial" w:hAnsi="Arial"/>
                <w:sz w:val="14"/>
                <w:szCs w:val="14"/>
                <w:color w:val="auto"/>
              </w:rPr>
              <w:t>- $119</w:t>
            </w:r>
          </w:p>
        </w:tc>
      </w:tr>
      <w:tr>
        <w:trPr>
          <w:trHeight w:val="176"/>
        </w:trPr>
        <w:tc>
          <w:tcPr>
            <w:tcW w:w="3680" w:type="dxa"/>
            <w:vAlign w:val="bottom"/>
            <w:gridSpan w:val="2"/>
          </w:tcPr>
          <w:p>
            <w:pPr>
              <w:spacing w:after="0"/>
              <w:rPr>
                <w:sz w:val="20"/>
                <w:szCs w:val="20"/>
                <w:color w:val="auto"/>
              </w:rPr>
            </w:pPr>
            <w:r>
              <w:rPr>
                <w:rFonts w:ascii="Arial" w:cs="Arial" w:eastAsia="Arial" w:hAnsi="Arial"/>
                <w:sz w:val="14"/>
                <w:szCs w:val="14"/>
                <w:color w:val="auto"/>
              </w:rPr>
              <w:t>Portable Medical</w:t>
            </w:r>
          </w:p>
        </w:tc>
        <w:tc>
          <w:tcPr>
            <w:tcW w:w="1880" w:type="dxa"/>
            <w:vAlign w:val="bottom"/>
          </w:tcPr>
          <w:p>
            <w:pPr>
              <w:jc w:val="center"/>
              <w:ind w:right="628"/>
              <w:spacing w:after="0"/>
              <w:rPr>
                <w:sz w:val="20"/>
                <w:szCs w:val="20"/>
                <w:color w:val="auto"/>
              </w:rPr>
            </w:pPr>
            <w:r>
              <w:rPr>
                <w:rFonts w:ascii="Arial" w:cs="Arial" w:eastAsia="Arial" w:hAnsi="Arial"/>
                <w:sz w:val="14"/>
                <w:szCs w:val="14"/>
                <w:color w:val="auto"/>
                <w:w w:val="94"/>
              </w:rPr>
              <w:t>$80</w:t>
            </w:r>
          </w:p>
        </w:tc>
        <w:tc>
          <w:tcPr>
            <w:tcW w:w="2980" w:type="dxa"/>
            <w:vAlign w:val="bottom"/>
          </w:tcPr>
          <w:p>
            <w:pPr>
              <w:jc w:val="center"/>
              <w:spacing w:after="0"/>
              <w:rPr>
                <w:sz w:val="20"/>
                <w:szCs w:val="20"/>
                <w:color w:val="auto"/>
              </w:rPr>
            </w:pPr>
            <w:r>
              <w:rPr>
                <w:rFonts w:ascii="Arial" w:cs="Arial" w:eastAsia="Arial" w:hAnsi="Arial"/>
                <w:sz w:val="14"/>
                <w:szCs w:val="14"/>
                <w:color w:val="auto"/>
                <w:w w:val="93"/>
              </w:rPr>
              <w:t>15% - 20%</w:t>
            </w:r>
          </w:p>
        </w:tc>
        <w:tc>
          <w:tcPr>
            <w:tcW w:w="1600" w:type="dxa"/>
            <w:vAlign w:val="bottom"/>
          </w:tcPr>
          <w:p>
            <w:pPr>
              <w:jc w:val="right"/>
              <w:spacing w:after="0"/>
              <w:rPr>
                <w:sz w:val="20"/>
                <w:szCs w:val="20"/>
                <w:color w:val="auto"/>
              </w:rPr>
            </w:pPr>
            <w:r>
              <w:rPr>
                <w:rFonts w:ascii="Arial" w:cs="Arial" w:eastAsia="Arial" w:hAnsi="Arial"/>
                <w:sz w:val="14"/>
                <w:szCs w:val="14"/>
                <w:color w:val="auto"/>
              </w:rPr>
              <w:t>$92</w:t>
            </w:r>
          </w:p>
        </w:tc>
        <w:tc>
          <w:tcPr>
            <w:tcW w:w="1280" w:type="dxa"/>
            <w:vAlign w:val="bottom"/>
          </w:tcPr>
          <w:p>
            <w:pPr>
              <w:ind w:left="20"/>
              <w:spacing w:after="0"/>
              <w:rPr>
                <w:sz w:val="20"/>
                <w:szCs w:val="20"/>
                <w:color w:val="auto"/>
              </w:rPr>
            </w:pPr>
            <w:r>
              <w:rPr>
                <w:rFonts w:ascii="Arial" w:cs="Arial" w:eastAsia="Arial" w:hAnsi="Arial"/>
                <w:sz w:val="14"/>
                <w:szCs w:val="14"/>
                <w:color w:val="auto"/>
              </w:rPr>
              <w:t>- $96</w:t>
            </w:r>
          </w:p>
        </w:tc>
      </w:tr>
      <w:tr>
        <w:trPr>
          <w:trHeight w:val="181"/>
        </w:trPr>
        <w:tc>
          <w:tcPr>
            <w:tcW w:w="3680" w:type="dxa"/>
            <w:vAlign w:val="bottom"/>
            <w:tcBorders>
              <w:bottom w:val="single" w:sz="8" w:color="auto"/>
            </w:tcBorders>
            <w:gridSpan w:val="2"/>
          </w:tcPr>
          <w:p>
            <w:pPr>
              <w:spacing w:after="0"/>
              <w:rPr>
                <w:sz w:val="20"/>
                <w:szCs w:val="20"/>
                <w:color w:val="auto"/>
              </w:rPr>
            </w:pPr>
            <w:r>
              <w:rPr>
                <w:rFonts w:ascii="Arial" w:cs="Arial" w:eastAsia="Arial" w:hAnsi="Arial"/>
                <w:sz w:val="14"/>
                <w:szCs w:val="14"/>
                <w:color w:val="auto"/>
              </w:rPr>
              <w:t>Energy &amp; Other</w:t>
            </w:r>
          </w:p>
        </w:tc>
        <w:tc>
          <w:tcPr>
            <w:tcW w:w="1880" w:type="dxa"/>
            <w:vAlign w:val="bottom"/>
            <w:tcBorders>
              <w:bottom w:val="single" w:sz="8" w:color="auto"/>
            </w:tcBorders>
          </w:tcPr>
          <w:p>
            <w:pPr>
              <w:jc w:val="center"/>
              <w:ind w:right="628"/>
              <w:spacing w:after="0"/>
              <w:rPr>
                <w:sz w:val="20"/>
                <w:szCs w:val="20"/>
                <w:color w:val="auto"/>
              </w:rPr>
            </w:pPr>
            <w:r>
              <w:rPr>
                <w:rFonts w:ascii="Arial" w:cs="Arial" w:eastAsia="Arial" w:hAnsi="Arial"/>
                <w:sz w:val="14"/>
                <w:szCs w:val="14"/>
                <w:color w:val="auto"/>
                <w:w w:val="94"/>
              </w:rPr>
              <w:t>$85</w:t>
            </w:r>
          </w:p>
        </w:tc>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7%</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$91</w:t>
            </w:r>
          </w:p>
        </w:tc>
        <w:tc>
          <w:tcPr>
            <w:tcW w:w="12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 $91</w:t>
            </w:r>
          </w:p>
        </w:tc>
      </w:tr>
      <w:tr>
        <w:trPr>
          <w:trHeight w:val="169"/>
        </w:trPr>
        <w:tc>
          <w:tcPr>
            <w:tcW w:w="36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Total Sales</w:t>
            </w:r>
          </w:p>
        </w:tc>
        <w:tc>
          <w:tcPr>
            <w:tcW w:w="1880" w:type="dxa"/>
            <w:vAlign w:val="bottom"/>
            <w:tcBorders>
              <w:bottom w:val="single" w:sz="8" w:color="auto"/>
            </w:tcBorders>
          </w:tcPr>
          <w:p>
            <w:pPr>
              <w:jc w:val="center"/>
              <w:ind w:right="648"/>
              <w:spacing w:after="0"/>
              <w:rPr>
                <w:sz w:val="20"/>
                <w:szCs w:val="20"/>
                <w:color w:val="auto"/>
              </w:rPr>
            </w:pPr>
            <w:r>
              <w:rPr>
                <w:rFonts w:ascii="Arial" w:cs="Arial" w:eastAsia="Arial" w:hAnsi="Arial"/>
                <w:sz w:val="14"/>
                <w:szCs w:val="14"/>
                <w:b w:val="1"/>
                <w:bCs w:val="1"/>
                <w:color w:val="auto"/>
                <w:w w:val="89"/>
              </w:rPr>
              <w:t>$645</w:t>
            </w:r>
          </w:p>
        </w:tc>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2% - 5%</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$660</w:t>
            </w:r>
          </w:p>
        </w:tc>
        <w:tc>
          <w:tcPr>
            <w:tcW w:w="12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$680</w:t>
            </w:r>
          </w:p>
        </w:tc>
      </w:tr>
      <w:tr>
        <w:trPr>
          <w:trHeight w:val="481"/>
        </w:trPr>
        <w:tc>
          <w:tcPr>
            <w:tcW w:w="3680" w:type="dxa"/>
            <w:vAlign w:val="bottom"/>
            <w:gridSpan w:val="2"/>
          </w:tcPr>
          <w:p>
            <w:pPr>
              <w:spacing w:after="0"/>
              <w:rPr>
                <w:sz w:val="20"/>
                <w:szCs w:val="20"/>
                <w:color w:val="auto"/>
              </w:rPr>
            </w:pPr>
            <w:r>
              <w:rPr>
                <w:rFonts w:ascii="Arial" w:cs="Arial" w:eastAsia="Arial" w:hAnsi="Arial"/>
                <w:sz w:val="14"/>
                <w:szCs w:val="14"/>
                <w:color w:val="auto"/>
              </w:rPr>
              <w:t>Adjusted Operating Income as a % of Sales</w:t>
            </w:r>
          </w:p>
        </w:tc>
        <w:tc>
          <w:tcPr>
            <w:tcW w:w="18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12.0% - 12.5%</w:t>
            </w:r>
          </w:p>
        </w:tc>
      </w:tr>
      <w:tr>
        <w:trPr>
          <w:trHeight w:val="351"/>
        </w:trPr>
        <w:tc>
          <w:tcPr>
            <w:tcW w:w="3680" w:type="dxa"/>
            <w:vAlign w:val="bottom"/>
            <w:gridSpan w:val="2"/>
          </w:tcPr>
          <w:p>
            <w:pPr>
              <w:spacing w:after="0"/>
              <w:rPr>
                <w:sz w:val="20"/>
                <w:szCs w:val="20"/>
                <w:color w:val="auto"/>
              </w:rPr>
            </w:pPr>
            <w:r>
              <w:rPr>
                <w:rFonts w:ascii="Arial" w:cs="Arial" w:eastAsia="Arial" w:hAnsi="Arial"/>
                <w:sz w:val="14"/>
                <w:szCs w:val="14"/>
                <w:color w:val="auto"/>
              </w:rPr>
              <w:t>Annual Medical Device Tax impact approximately</w:t>
            </w:r>
          </w:p>
        </w:tc>
        <w:tc>
          <w:tcPr>
            <w:tcW w:w="18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$1.5M - $2.5M</w:t>
            </w:r>
          </w:p>
        </w:tc>
      </w:tr>
      <w:tr>
        <w:trPr>
          <w:trHeight w:val="344"/>
        </w:trPr>
        <w:tc>
          <w:tcPr>
            <w:tcW w:w="3680" w:type="dxa"/>
            <w:vAlign w:val="bottom"/>
            <w:gridSpan w:val="2"/>
          </w:tcPr>
          <w:p>
            <w:pPr>
              <w:spacing w:after="0"/>
              <w:rPr>
                <w:sz w:val="20"/>
                <w:szCs w:val="20"/>
                <w:color w:val="auto"/>
              </w:rPr>
            </w:pPr>
            <w:r>
              <w:rPr>
                <w:rFonts w:ascii="Arial" w:cs="Arial" w:eastAsia="Arial" w:hAnsi="Arial"/>
                <w:sz w:val="14"/>
                <w:szCs w:val="14"/>
                <w:color w:val="auto"/>
                <w:w w:val="95"/>
              </w:rPr>
              <w:t>Adjusted Effective Tax Rate (includes only the 2013 benefit of</w:t>
            </w:r>
          </w:p>
        </w:tc>
        <w:tc>
          <w:tcPr>
            <w:tcW w:w="18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82"/>
        </w:trPr>
        <w:tc>
          <w:tcPr>
            <w:tcW w:w="3680" w:type="dxa"/>
            <w:vAlign w:val="bottom"/>
            <w:gridSpan w:val="2"/>
          </w:tcPr>
          <w:p>
            <w:pPr>
              <w:spacing w:after="0"/>
              <w:rPr>
                <w:sz w:val="20"/>
                <w:szCs w:val="20"/>
                <w:color w:val="auto"/>
              </w:rPr>
            </w:pPr>
            <w:r>
              <w:rPr>
                <w:rFonts w:ascii="Arial" w:cs="Arial" w:eastAsia="Arial" w:hAnsi="Arial"/>
                <w:sz w:val="14"/>
                <w:szCs w:val="14"/>
                <w:color w:val="auto"/>
              </w:rPr>
              <w:t>the recently reenacted R&amp;D Tax Credit)</w:t>
            </w:r>
          </w:p>
        </w:tc>
        <w:tc>
          <w:tcPr>
            <w:tcW w:w="1880" w:type="dxa"/>
            <w:vAlign w:val="bottom"/>
          </w:tcPr>
          <w:p>
            <w:pPr>
              <w:spacing w:after="0"/>
              <w:rPr>
                <w:sz w:val="15"/>
                <w:szCs w:val="15"/>
                <w:color w:val="auto"/>
              </w:rPr>
            </w:pPr>
          </w:p>
        </w:tc>
        <w:tc>
          <w:tcPr>
            <w:tcW w:w="2980" w:type="dxa"/>
            <w:vAlign w:val="bottom"/>
          </w:tcPr>
          <w:p>
            <w:pPr>
              <w:spacing w:after="0"/>
              <w:rPr>
                <w:sz w:val="15"/>
                <w:szCs w:val="15"/>
                <w:color w:val="auto"/>
              </w:rPr>
            </w:pPr>
          </w:p>
        </w:tc>
        <w:tc>
          <w:tcPr>
            <w:tcW w:w="1600" w:type="dxa"/>
            <w:vAlign w:val="bottom"/>
          </w:tcPr>
          <w:p>
            <w:pPr>
              <w:ind w:left="800"/>
              <w:spacing w:after="0"/>
              <w:rPr>
                <w:sz w:val="20"/>
                <w:szCs w:val="20"/>
                <w:color w:val="auto"/>
              </w:rPr>
            </w:pPr>
            <w:r>
              <w:rPr>
                <w:rFonts w:ascii="Arial" w:cs="Arial" w:eastAsia="Arial" w:hAnsi="Arial"/>
                <w:sz w:val="14"/>
                <w:szCs w:val="14"/>
                <w:color w:val="auto"/>
              </w:rPr>
              <w:t>33% to 35%</w:t>
            </w:r>
          </w:p>
        </w:tc>
        <w:tc>
          <w:tcPr>
            <w:tcW w:w="1280" w:type="dxa"/>
            <w:vAlign w:val="bottom"/>
          </w:tcPr>
          <w:p>
            <w:pPr>
              <w:spacing w:after="0"/>
              <w:rPr>
                <w:sz w:val="15"/>
                <w:szCs w:val="15"/>
                <w:color w:val="auto"/>
              </w:rPr>
            </w:pPr>
          </w:p>
        </w:tc>
      </w:tr>
      <w:tr>
        <w:trPr>
          <w:trHeight w:val="351"/>
        </w:trPr>
        <w:tc>
          <w:tcPr>
            <w:tcW w:w="3680" w:type="dxa"/>
            <w:vAlign w:val="bottom"/>
            <w:gridSpan w:val="2"/>
          </w:tcPr>
          <w:p>
            <w:pPr>
              <w:spacing w:after="0"/>
              <w:rPr>
                <w:sz w:val="20"/>
                <w:szCs w:val="20"/>
                <w:color w:val="auto"/>
              </w:rPr>
            </w:pPr>
            <w:r>
              <w:rPr>
                <w:rFonts w:ascii="Arial" w:cs="Arial" w:eastAsia="Arial" w:hAnsi="Arial"/>
                <w:sz w:val="14"/>
                <w:szCs w:val="14"/>
                <w:color w:val="auto"/>
              </w:rPr>
              <w:t>Adjusted Diluted EPS</w:t>
            </w:r>
          </w:p>
        </w:tc>
        <w:tc>
          <w:tcPr>
            <w:tcW w:w="18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600" w:type="dxa"/>
            <w:vAlign w:val="bottom"/>
          </w:tcPr>
          <w:p>
            <w:pPr>
              <w:ind w:left="800"/>
              <w:spacing w:after="0"/>
              <w:rPr>
                <w:sz w:val="20"/>
                <w:szCs w:val="20"/>
                <w:color w:val="auto"/>
              </w:rPr>
            </w:pPr>
            <w:r>
              <w:rPr>
                <w:rFonts w:ascii="Arial" w:cs="Arial" w:eastAsia="Arial" w:hAnsi="Arial"/>
                <w:sz w:val="14"/>
                <w:szCs w:val="14"/>
                <w:color w:val="auto"/>
                <w:w w:val="94"/>
              </w:rPr>
              <w:t>$1.90 - $2.00</w:t>
            </w:r>
          </w:p>
        </w:tc>
        <w:tc>
          <w:tcPr>
            <w:tcW w:w="1280" w:type="dxa"/>
            <w:vAlign w:val="bottom"/>
          </w:tcPr>
          <w:p>
            <w:pPr>
              <w:spacing w:after="0"/>
              <w:rPr>
                <w:sz w:val="24"/>
                <w:szCs w:val="24"/>
                <w:color w:val="auto"/>
              </w:rPr>
            </w:pPr>
          </w:p>
        </w:tc>
      </w:tr>
    </w:tbl>
    <w:p>
      <w:pPr>
        <w:spacing w:after="0" w:line="369" w:lineRule="exact"/>
        <w:rPr>
          <w:sz w:val="20"/>
          <w:szCs w:val="20"/>
          <w:color w:val="auto"/>
        </w:rPr>
      </w:pPr>
    </w:p>
    <w:p>
      <w:pPr>
        <w:ind w:right="80"/>
        <w:spacing w:after="0" w:line="279" w:lineRule="auto"/>
        <w:rPr>
          <w:sz w:val="20"/>
          <w:szCs w:val="20"/>
          <w:color w:val="auto"/>
        </w:rPr>
      </w:pPr>
      <w:r>
        <w:rPr>
          <w:rFonts w:ascii="Arial" w:cs="Arial" w:eastAsia="Arial" w:hAnsi="Arial"/>
          <w:sz w:val="19"/>
          <w:szCs w:val="19"/>
          <w:color w:val="auto"/>
        </w:rPr>
        <w:t>Adjusted operating income for 2013 is expected to consist of GAAP operating income minus non-recurring, unusual or infrequently occurring items such as acquisition, consolidation and integration charges, certain RD&amp;E expenditures and asset disposition/write-down charges, totaling approximately $11.5 million to $14.0 million. This range has been significantly reduced from the prior year as we have essentially completed our productivity and consolidation initiatives. Included in the above range are residual design verification testing (“DVT”) costs in the range of $4.8 to $5.8 million to complete the Algostim project. We have included a table below showing the estimated Other Operating Expenses (“OOE”) for 2012 compared to 2013.</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4620" w:type="dxa"/>
            <w:vAlign w:val="bottom"/>
          </w:tcPr>
          <w:p>
            <w:pPr>
              <w:spacing w:after="0"/>
              <w:rPr>
                <w:sz w:val="15"/>
                <w:szCs w:val="15"/>
                <w:color w:val="auto"/>
              </w:rPr>
            </w:pPr>
          </w:p>
        </w:tc>
        <w:tc>
          <w:tcPr>
            <w:tcW w:w="4340" w:type="dxa"/>
            <w:vAlign w:val="bottom"/>
            <w:gridSpan w:val="2"/>
          </w:tcPr>
          <w:p>
            <w:pPr>
              <w:jc w:val="center"/>
              <w:ind w:left="708"/>
              <w:spacing w:after="0"/>
              <w:rPr>
                <w:sz w:val="20"/>
                <w:szCs w:val="20"/>
                <w:color w:val="auto"/>
              </w:rPr>
            </w:pPr>
            <w:r>
              <w:rPr>
                <w:rFonts w:ascii="Arial" w:cs="Arial" w:eastAsia="Arial" w:hAnsi="Arial"/>
                <w:sz w:val="14"/>
                <w:szCs w:val="14"/>
                <w:b w:val="1"/>
                <w:bCs w:val="1"/>
                <w:color w:val="auto"/>
                <w:w w:val="94"/>
              </w:rPr>
              <w:t>2012 Current Forecast</w:t>
            </w:r>
          </w:p>
        </w:tc>
        <w:tc>
          <w:tcPr>
            <w:tcW w:w="2440" w:type="dxa"/>
            <w:vAlign w:val="bottom"/>
            <w:gridSpan w:val="2"/>
          </w:tcPr>
          <w:p>
            <w:pPr>
              <w:ind w:left="1100"/>
              <w:spacing w:after="0"/>
              <w:rPr>
                <w:sz w:val="20"/>
                <w:szCs w:val="20"/>
                <w:color w:val="auto"/>
              </w:rPr>
            </w:pPr>
            <w:r>
              <w:rPr>
                <w:rFonts w:ascii="Arial" w:cs="Arial" w:eastAsia="Arial" w:hAnsi="Arial"/>
                <w:sz w:val="14"/>
                <w:szCs w:val="14"/>
                <w:b w:val="1"/>
                <w:bCs w:val="1"/>
                <w:color w:val="auto"/>
              </w:rPr>
              <w:t>2013 Forecast</w:t>
            </w:r>
          </w:p>
        </w:tc>
      </w:tr>
      <w:tr>
        <w:trPr>
          <w:trHeight w:val="185"/>
        </w:trPr>
        <w:tc>
          <w:tcPr>
            <w:tcW w:w="20" w:type="dxa"/>
            <w:vAlign w:val="bottom"/>
          </w:tcPr>
          <w:p>
            <w:pPr>
              <w:spacing w:after="0"/>
              <w:rPr>
                <w:sz w:val="16"/>
                <w:szCs w:val="16"/>
                <w:color w:val="auto"/>
              </w:rPr>
            </w:pPr>
          </w:p>
        </w:tc>
        <w:tc>
          <w:tcPr>
            <w:tcW w:w="4620" w:type="dxa"/>
            <w:vAlign w:val="bottom"/>
            <w:tcBorders>
              <w:bottom w:val="single" w:sz="8" w:color="auto"/>
            </w:tcBorders>
          </w:tcPr>
          <w:p>
            <w:pPr>
              <w:ind w:left="2020"/>
              <w:spacing w:after="0"/>
              <w:rPr>
                <w:sz w:val="20"/>
                <w:szCs w:val="20"/>
                <w:color w:val="auto"/>
              </w:rPr>
            </w:pPr>
            <w:r>
              <w:rPr>
                <w:rFonts w:ascii="Arial" w:cs="Arial" w:eastAsia="Arial" w:hAnsi="Arial"/>
                <w:sz w:val="14"/>
                <w:szCs w:val="14"/>
                <w:b w:val="1"/>
                <w:bCs w:val="1"/>
                <w:color w:val="auto"/>
              </w:rPr>
              <w:t>Description</w:t>
            </w:r>
          </w:p>
        </w:tc>
        <w:tc>
          <w:tcPr>
            <w:tcW w:w="4340" w:type="dxa"/>
            <w:vAlign w:val="bottom"/>
            <w:tcBorders>
              <w:bottom w:val="single" w:sz="8" w:color="auto"/>
            </w:tcBorders>
            <w:gridSpan w:val="2"/>
          </w:tcPr>
          <w:p>
            <w:pPr>
              <w:jc w:val="center"/>
              <w:ind w:left="708"/>
              <w:spacing w:after="0"/>
              <w:rPr>
                <w:sz w:val="20"/>
                <w:szCs w:val="20"/>
                <w:color w:val="auto"/>
              </w:rPr>
            </w:pPr>
            <w:r>
              <w:rPr>
                <w:rFonts w:ascii="Arial" w:cs="Arial" w:eastAsia="Arial" w:hAnsi="Arial"/>
                <w:sz w:val="14"/>
                <w:szCs w:val="14"/>
                <w:b w:val="1"/>
                <w:bCs w:val="1"/>
                <w:color w:val="auto"/>
                <w:w w:val="96"/>
              </w:rPr>
              <w:t>(millions)</w:t>
            </w:r>
          </w:p>
        </w:tc>
        <w:tc>
          <w:tcPr>
            <w:tcW w:w="2440" w:type="dxa"/>
            <w:vAlign w:val="bottom"/>
            <w:tcBorders>
              <w:bottom w:val="single" w:sz="8" w:color="auto"/>
            </w:tcBorders>
            <w:gridSpan w:val="2"/>
          </w:tcPr>
          <w:p>
            <w:pPr>
              <w:ind w:left="1220"/>
              <w:spacing w:after="0"/>
              <w:rPr>
                <w:sz w:val="20"/>
                <w:szCs w:val="20"/>
                <w:color w:val="auto"/>
              </w:rPr>
            </w:pPr>
            <w:r>
              <w:rPr>
                <w:rFonts w:ascii="Arial" w:cs="Arial" w:eastAsia="Arial" w:hAnsi="Arial"/>
                <w:sz w:val="14"/>
                <w:szCs w:val="14"/>
                <w:b w:val="1"/>
                <w:bCs w:val="1"/>
                <w:color w:val="auto"/>
              </w:rPr>
              <w:t>(millions)</w:t>
            </w:r>
          </w:p>
        </w:tc>
      </w:tr>
      <w:tr>
        <w:trPr>
          <w:trHeight w:val="164"/>
        </w:trPr>
        <w:tc>
          <w:tcPr>
            <w:tcW w:w="20" w:type="dxa"/>
            <w:vAlign w:val="bottom"/>
          </w:tcPr>
          <w:p>
            <w:pPr>
              <w:spacing w:after="0"/>
              <w:rPr>
                <w:sz w:val="14"/>
                <w:szCs w:val="14"/>
                <w:color w:val="auto"/>
              </w:rPr>
            </w:pPr>
          </w:p>
        </w:tc>
        <w:tc>
          <w:tcPr>
            <w:tcW w:w="4620" w:type="dxa"/>
            <w:vAlign w:val="bottom"/>
          </w:tcPr>
          <w:p>
            <w:pPr>
              <w:spacing w:after="0"/>
              <w:rPr>
                <w:sz w:val="20"/>
                <w:szCs w:val="20"/>
                <w:color w:val="auto"/>
              </w:rPr>
            </w:pPr>
            <w:r>
              <w:rPr>
                <w:rFonts w:ascii="Arial" w:cs="Arial" w:eastAsia="Arial" w:hAnsi="Arial"/>
                <w:sz w:val="14"/>
                <w:szCs w:val="14"/>
                <w:color w:val="auto"/>
              </w:rPr>
              <w:t>Consolidation Projects - Other</w:t>
            </w:r>
          </w:p>
        </w:tc>
        <w:tc>
          <w:tcPr>
            <w:tcW w:w="2520" w:type="dxa"/>
            <w:vAlign w:val="bottom"/>
          </w:tcPr>
          <w:p>
            <w:pPr>
              <w:jc w:val="right"/>
              <w:spacing w:after="0"/>
              <w:rPr>
                <w:sz w:val="20"/>
                <w:szCs w:val="20"/>
                <w:color w:val="auto"/>
              </w:rPr>
            </w:pPr>
            <w:r>
              <w:rPr>
                <w:rFonts w:ascii="Arial" w:cs="Arial" w:eastAsia="Arial" w:hAnsi="Arial"/>
                <w:sz w:val="14"/>
                <w:szCs w:val="14"/>
                <w:color w:val="auto"/>
              </w:rPr>
              <w:t>$5.0</w:t>
            </w:r>
          </w:p>
        </w:tc>
        <w:tc>
          <w:tcPr>
            <w:tcW w:w="1820" w:type="dxa"/>
            <w:vAlign w:val="bottom"/>
          </w:tcPr>
          <w:p>
            <w:pPr>
              <w:ind w:left="20"/>
              <w:spacing w:after="0"/>
              <w:rPr>
                <w:sz w:val="20"/>
                <w:szCs w:val="20"/>
                <w:color w:val="auto"/>
              </w:rPr>
            </w:pPr>
            <w:r>
              <w:rPr>
                <w:rFonts w:ascii="Arial" w:cs="Arial" w:eastAsia="Arial" w:hAnsi="Arial"/>
                <w:sz w:val="14"/>
                <w:szCs w:val="14"/>
                <w:color w:val="auto"/>
              </w:rPr>
              <w:t>- $5.4</w:t>
            </w:r>
          </w:p>
        </w:tc>
        <w:tc>
          <w:tcPr>
            <w:tcW w:w="1480" w:type="dxa"/>
            <w:vAlign w:val="bottom"/>
          </w:tcPr>
          <w:p>
            <w:pPr>
              <w:ind w:left="1220"/>
              <w:spacing w:after="0"/>
              <w:rPr>
                <w:sz w:val="20"/>
                <w:szCs w:val="20"/>
                <w:color w:val="auto"/>
              </w:rPr>
            </w:pPr>
            <w:r>
              <w:rPr>
                <w:rFonts w:ascii="Arial" w:cs="Arial" w:eastAsia="Arial" w:hAnsi="Arial"/>
                <w:sz w:val="14"/>
                <w:szCs w:val="14"/>
                <w:color w:val="auto"/>
                <w:w w:val="87"/>
              </w:rPr>
              <w:t>$1.6</w:t>
            </w:r>
          </w:p>
        </w:tc>
        <w:tc>
          <w:tcPr>
            <w:tcW w:w="960" w:type="dxa"/>
            <w:vAlign w:val="bottom"/>
          </w:tcPr>
          <w:p>
            <w:pPr>
              <w:ind w:left="20"/>
              <w:spacing w:after="0"/>
              <w:rPr>
                <w:sz w:val="20"/>
                <w:szCs w:val="20"/>
                <w:color w:val="auto"/>
              </w:rPr>
            </w:pPr>
            <w:r>
              <w:rPr>
                <w:rFonts w:ascii="Arial" w:cs="Arial" w:eastAsia="Arial" w:hAnsi="Arial"/>
                <w:sz w:val="14"/>
                <w:szCs w:val="14"/>
                <w:color w:val="auto"/>
              </w:rPr>
              <w:t>- $1.8</w:t>
            </w:r>
          </w:p>
        </w:tc>
      </w:tr>
      <w:tr>
        <w:trPr>
          <w:trHeight w:val="176"/>
        </w:trPr>
        <w:tc>
          <w:tcPr>
            <w:tcW w:w="4640" w:type="dxa"/>
            <w:vAlign w:val="bottom"/>
            <w:gridSpan w:val="2"/>
          </w:tcPr>
          <w:p>
            <w:pPr>
              <w:spacing w:after="0"/>
              <w:rPr>
                <w:sz w:val="20"/>
                <w:szCs w:val="20"/>
                <w:color w:val="auto"/>
              </w:rPr>
            </w:pPr>
            <w:r>
              <w:rPr>
                <w:rFonts w:ascii="Arial" w:cs="Arial" w:eastAsia="Arial" w:hAnsi="Arial"/>
                <w:sz w:val="14"/>
                <w:szCs w:val="14"/>
                <w:color w:val="auto"/>
              </w:rPr>
              <w:t>Consolidation Projects - Swiss Closure</w:t>
            </w:r>
          </w:p>
        </w:tc>
        <w:tc>
          <w:tcPr>
            <w:tcW w:w="2520" w:type="dxa"/>
            <w:vAlign w:val="bottom"/>
          </w:tcPr>
          <w:p>
            <w:pPr>
              <w:jc w:val="right"/>
              <w:spacing w:after="0"/>
              <w:rPr>
                <w:sz w:val="20"/>
                <w:szCs w:val="20"/>
                <w:color w:val="auto"/>
              </w:rPr>
            </w:pPr>
            <w:r>
              <w:rPr>
                <w:rFonts w:ascii="Arial" w:cs="Arial" w:eastAsia="Arial" w:hAnsi="Arial"/>
                <w:sz w:val="14"/>
                <w:szCs w:val="14"/>
                <w:color w:val="auto"/>
              </w:rPr>
              <w:t>$25.0</w:t>
            </w:r>
          </w:p>
        </w:tc>
        <w:tc>
          <w:tcPr>
            <w:tcW w:w="1820" w:type="dxa"/>
            <w:vAlign w:val="bottom"/>
          </w:tcPr>
          <w:p>
            <w:pPr>
              <w:ind w:left="20"/>
              <w:spacing w:after="0"/>
              <w:rPr>
                <w:sz w:val="20"/>
                <w:szCs w:val="20"/>
                <w:color w:val="auto"/>
              </w:rPr>
            </w:pPr>
            <w:r>
              <w:rPr>
                <w:rFonts w:ascii="Arial" w:cs="Arial" w:eastAsia="Arial" w:hAnsi="Arial"/>
                <w:sz w:val="14"/>
                <w:szCs w:val="14"/>
                <w:color w:val="auto"/>
              </w:rPr>
              <w:t>- $26.0</w:t>
            </w:r>
          </w:p>
        </w:tc>
        <w:tc>
          <w:tcPr>
            <w:tcW w:w="1480" w:type="dxa"/>
            <w:vAlign w:val="bottom"/>
          </w:tcPr>
          <w:p>
            <w:pPr>
              <w:ind w:left="1220"/>
              <w:spacing w:after="0"/>
              <w:rPr>
                <w:sz w:val="20"/>
                <w:szCs w:val="20"/>
                <w:color w:val="auto"/>
              </w:rPr>
            </w:pPr>
            <w:r>
              <w:rPr>
                <w:rFonts w:ascii="Arial" w:cs="Arial" w:eastAsia="Arial" w:hAnsi="Arial"/>
                <w:sz w:val="14"/>
                <w:szCs w:val="14"/>
                <w:color w:val="auto"/>
                <w:w w:val="87"/>
              </w:rPr>
              <w:t>$4.2</w:t>
            </w:r>
          </w:p>
        </w:tc>
        <w:tc>
          <w:tcPr>
            <w:tcW w:w="960" w:type="dxa"/>
            <w:vAlign w:val="bottom"/>
          </w:tcPr>
          <w:p>
            <w:pPr>
              <w:ind w:left="20"/>
              <w:spacing w:after="0"/>
              <w:rPr>
                <w:sz w:val="20"/>
                <w:szCs w:val="20"/>
                <w:color w:val="auto"/>
              </w:rPr>
            </w:pPr>
            <w:r>
              <w:rPr>
                <w:rFonts w:ascii="Arial" w:cs="Arial" w:eastAsia="Arial" w:hAnsi="Arial"/>
                <w:sz w:val="14"/>
                <w:szCs w:val="14"/>
                <w:color w:val="auto"/>
              </w:rPr>
              <w:t>- $5.2</w:t>
            </w:r>
          </w:p>
        </w:tc>
      </w:tr>
      <w:tr>
        <w:trPr>
          <w:trHeight w:val="176"/>
        </w:trPr>
        <w:tc>
          <w:tcPr>
            <w:tcW w:w="4640" w:type="dxa"/>
            <w:vAlign w:val="bottom"/>
            <w:gridSpan w:val="2"/>
          </w:tcPr>
          <w:p>
            <w:pPr>
              <w:spacing w:after="0"/>
              <w:rPr>
                <w:sz w:val="20"/>
                <w:szCs w:val="20"/>
                <w:color w:val="auto"/>
              </w:rPr>
            </w:pPr>
            <w:r>
              <w:rPr>
                <w:rFonts w:ascii="Arial" w:cs="Arial" w:eastAsia="Arial" w:hAnsi="Arial"/>
                <w:sz w:val="14"/>
                <w:szCs w:val="14"/>
                <w:color w:val="auto"/>
              </w:rPr>
              <w:t>Oracle Upgrade/Integration Costs</w:t>
            </w:r>
          </w:p>
        </w:tc>
        <w:tc>
          <w:tcPr>
            <w:tcW w:w="2520" w:type="dxa"/>
            <w:vAlign w:val="bottom"/>
          </w:tcPr>
          <w:p>
            <w:pPr>
              <w:jc w:val="right"/>
              <w:spacing w:after="0"/>
              <w:rPr>
                <w:sz w:val="20"/>
                <w:szCs w:val="20"/>
                <w:color w:val="auto"/>
              </w:rPr>
            </w:pPr>
            <w:r>
              <w:rPr>
                <w:rFonts w:ascii="Arial" w:cs="Arial" w:eastAsia="Arial" w:hAnsi="Arial"/>
                <w:sz w:val="14"/>
                <w:szCs w:val="14"/>
                <w:color w:val="auto"/>
              </w:rPr>
              <w:t>$5.0</w:t>
            </w:r>
          </w:p>
        </w:tc>
        <w:tc>
          <w:tcPr>
            <w:tcW w:w="1820" w:type="dxa"/>
            <w:vAlign w:val="bottom"/>
          </w:tcPr>
          <w:p>
            <w:pPr>
              <w:ind w:left="20"/>
              <w:spacing w:after="0"/>
              <w:rPr>
                <w:sz w:val="20"/>
                <w:szCs w:val="20"/>
                <w:color w:val="auto"/>
              </w:rPr>
            </w:pPr>
            <w:r>
              <w:rPr>
                <w:rFonts w:ascii="Arial" w:cs="Arial" w:eastAsia="Arial" w:hAnsi="Arial"/>
                <w:sz w:val="14"/>
                <w:szCs w:val="14"/>
                <w:color w:val="auto"/>
              </w:rPr>
              <w:t>- $5.5</w:t>
            </w:r>
          </w:p>
        </w:tc>
        <w:tc>
          <w:tcPr>
            <w:tcW w:w="1480" w:type="dxa"/>
            <w:vAlign w:val="bottom"/>
          </w:tcPr>
          <w:p>
            <w:pPr>
              <w:ind w:left="1220"/>
              <w:spacing w:after="0"/>
              <w:rPr>
                <w:sz w:val="20"/>
                <w:szCs w:val="20"/>
                <w:color w:val="auto"/>
              </w:rPr>
            </w:pPr>
            <w:r>
              <w:rPr>
                <w:rFonts w:ascii="Arial" w:cs="Arial" w:eastAsia="Arial" w:hAnsi="Arial"/>
                <w:sz w:val="14"/>
                <w:szCs w:val="14"/>
                <w:color w:val="auto"/>
                <w:w w:val="87"/>
              </w:rPr>
              <w:t>$0.7</w:t>
            </w:r>
          </w:p>
        </w:tc>
        <w:tc>
          <w:tcPr>
            <w:tcW w:w="960" w:type="dxa"/>
            <w:vAlign w:val="bottom"/>
          </w:tcPr>
          <w:p>
            <w:pPr>
              <w:ind w:left="20"/>
              <w:spacing w:after="0"/>
              <w:rPr>
                <w:sz w:val="20"/>
                <w:szCs w:val="20"/>
                <w:color w:val="auto"/>
              </w:rPr>
            </w:pPr>
            <w:r>
              <w:rPr>
                <w:rFonts w:ascii="Arial" w:cs="Arial" w:eastAsia="Arial" w:hAnsi="Arial"/>
                <w:sz w:val="14"/>
                <w:szCs w:val="14"/>
                <w:color w:val="auto"/>
              </w:rPr>
              <w:t>- $0.8</w:t>
            </w:r>
          </w:p>
        </w:tc>
      </w:tr>
      <w:tr>
        <w:trPr>
          <w:trHeight w:val="176"/>
        </w:trPr>
        <w:tc>
          <w:tcPr>
            <w:tcW w:w="4640" w:type="dxa"/>
            <w:vAlign w:val="bottom"/>
            <w:gridSpan w:val="2"/>
          </w:tcPr>
          <w:p>
            <w:pPr>
              <w:spacing w:after="0"/>
              <w:rPr>
                <w:sz w:val="20"/>
                <w:szCs w:val="20"/>
                <w:color w:val="auto"/>
              </w:rPr>
            </w:pPr>
            <w:r>
              <w:rPr>
                <w:rFonts w:ascii="Arial" w:cs="Arial" w:eastAsia="Arial" w:hAnsi="Arial"/>
                <w:sz w:val="14"/>
                <w:szCs w:val="14"/>
                <w:color w:val="auto"/>
              </w:rPr>
              <w:t>Electrochem – Acquisition/Sensors</w:t>
            </w:r>
          </w:p>
        </w:tc>
        <w:tc>
          <w:tcPr>
            <w:tcW w:w="2520" w:type="dxa"/>
            <w:vAlign w:val="bottom"/>
          </w:tcPr>
          <w:p>
            <w:pPr>
              <w:jc w:val="right"/>
              <w:spacing w:after="0"/>
              <w:rPr>
                <w:sz w:val="20"/>
                <w:szCs w:val="20"/>
                <w:color w:val="auto"/>
              </w:rPr>
            </w:pPr>
            <w:r>
              <w:rPr>
                <w:rFonts w:ascii="Arial" w:cs="Arial" w:eastAsia="Arial" w:hAnsi="Arial"/>
                <w:sz w:val="14"/>
                <w:szCs w:val="14"/>
                <w:color w:val="auto"/>
              </w:rPr>
              <w:t>$1.1</w:t>
            </w:r>
          </w:p>
        </w:tc>
        <w:tc>
          <w:tcPr>
            <w:tcW w:w="1820" w:type="dxa"/>
            <w:vAlign w:val="bottom"/>
          </w:tcPr>
          <w:p>
            <w:pPr>
              <w:ind w:left="20"/>
              <w:spacing w:after="0"/>
              <w:rPr>
                <w:sz w:val="20"/>
                <w:szCs w:val="20"/>
                <w:color w:val="auto"/>
              </w:rPr>
            </w:pPr>
            <w:r>
              <w:rPr>
                <w:rFonts w:ascii="Arial" w:cs="Arial" w:eastAsia="Arial" w:hAnsi="Arial"/>
                <w:sz w:val="14"/>
                <w:szCs w:val="14"/>
                <w:color w:val="auto"/>
              </w:rPr>
              <w:t>- $1.8</w:t>
            </w:r>
          </w:p>
        </w:tc>
        <w:tc>
          <w:tcPr>
            <w:tcW w:w="1480" w:type="dxa"/>
            <w:vAlign w:val="bottom"/>
          </w:tcPr>
          <w:p>
            <w:pPr>
              <w:ind w:left="1220"/>
              <w:spacing w:after="0"/>
              <w:rPr>
                <w:sz w:val="20"/>
                <w:szCs w:val="20"/>
                <w:color w:val="auto"/>
              </w:rPr>
            </w:pPr>
            <w:r>
              <w:rPr>
                <w:rFonts w:ascii="Arial" w:cs="Arial" w:eastAsia="Arial" w:hAnsi="Arial"/>
                <w:sz w:val="14"/>
                <w:szCs w:val="14"/>
                <w:color w:val="auto"/>
                <w:w w:val="87"/>
              </w:rPr>
              <w:t>$0.2</w:t>
            </w:r>
          </w:p>
        </w:tc>
        <w:tc>
          <w:tcPr>
            <w:tcW w:w="960" w:type="dxa"/>
            <w:vAlign w:val="bottom"/>
          </w:tcPr>
          <w:p>
            <w:pPr>
              <w:ind w:left="20"/>
              <w:spacing w:after="0"/>
              <w:rPr>
                <w:sz w:val="20"/>
                <w:szCs w:val="20"/>
                <w:color w:val="auto"/>
              </w:rPr>
            </w:pPr>
            <w:r>
              <w:rPr>
                <w:rFonts w:ascii="Arial" w:cs="Arial" w:eastAsia="Arial" w:hAnsi="Arial"/>
                <w:sz w:val="14"/>
                <w:szCs w:val="14"/>
                <w:color w:val="auto"/>
              </w:rPr>
              <w:t>- $0.4</w:t>
            </w:r>
          </w:p>
        </w:tc>
      </w:tr>
      <w:tr>
        <w:trPr>
          <w:trHeight w:val="181"/>
        </w:trPr>
        <w:tc>
          <w:tcPr>
            <w:tcW w:w="4640" w:type="dxa"/>
            <w:vAlign w:val="bottom"/>
            <w:gridSpan w:val="2"/>
          </w:tcPr>
          <w:p>
            <w:pPr>
              <w:spacing w:after="0"/>
              <w:rPr>
                <w:sz w:val="20"/>
                <w:szCs w:val="20"/>
                <w:color w:val="auto"/>
              </w:rPr>
            </w:pPr>
            <w:r>
              <w:rPr>
                <w:rFonts w:ascii="Arial" w:cs="Arial" w:eastAsia="Arial" w:hAnsi="Arial"/>
                <w:sz w:val="14"/>
                <w:szCs w:val="14"/>
                <w:color w:val="auto"/>
              </w:rPr>
              <w:t>Other</w:t>
            </w:r>
          </w:p>
        </w:tc>
        <w:tc>
          <w:tcPr>
            <w:tcW w:w="2520" w:type="dxa"/>
            <w:vAlign w:val="bottom"/>
          </w:tcPr>
          <w:p>
            <w:pPr>
              <w:jc w:val="right"/>
              <w:spacing w:after="0"/>
              <w:rPr>
                <w:sz w:val="20"/>
                <w:szCs w:val="20"/>
                <w:color w:val="auto"/>
              </w:rPr>
            </w:pPr>
            <w:r>
              <w:rPr>
                <w:rFonts w:ascii="Arial" w:cs="Arial" w:eastAsia="Arial" w:hAnsi="Arial"/>
                <w:sz w:val="14"/>
                <w:szCs w:val="14"/>
                <w:color w:val="auto"/>
              </w:rPr>
              <w:t>$1.7</w:t>
            </w:r>
          </w:p>
        </w:tc>
        <w:tc>
          <w:tcPr>
            <w:tcW w:w="1820" w:type="dxa"/>
            <w:vAlign w:val="bottom"/>
          </w:tcPr>
          <w:p>
            <w:pPr>
              <w:ind w:left="20"/>
              <w:spacing w:after="0"/>
              <w:rPr>
                <w:sz w:val="20"/>
                <w:szCs w:val="20"/>
                <w:color w:val="auto"/>
              </w:rPr>
            </w:pPr>
            <w:r>
              <w:rPr>
                <w:rFonts w:ascii="Arial" w:cs="Arial" w:eastAsia="Arial" w:hAnsi="Arial"/>
                <w:sz w:val="14"/>
                <w:szCs w:val="14"/>
                <w:color w:val="auto"/>
              </w:rPr>
              <w:t>- $2.0</w:t>
            </w:r>
          </w:p>
        </w:tc>
        <w:tc>
          <w:tcPr>
            <w:tcW w:w="1480" w:type="dxa"/>
            <w:vAlign w:val="bottom"/>
          </w:tcPr>
          <w:p>
            <w:pPr>
              <w:spacing w:after="0"/>
              <w:rPr>
                <w:sz w:val="15"/>
                <w:szCs w:val="15"/>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458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b w:val="1"/>
                <w:bCs w:val="1"/>
                <w:color w:val="auto"/>
              </w:rPr>
              <w:t>Total Forecasted OOE 2012-2013</w:t>
            </w:r>
          </w:p>
        </w:tc>
        <w:tc>
          <w:tcPr>
            <w:tcW w:w="2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$37.8</w:t>
            </w:r>
          </w:p>
        </w:tc>
        <w:tc>
          <w:tcPr>
            <w:tcW w:w="17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b w:val="1"/>
                <w:bCs w:val="1"/>
                <w:color w:val="auto"/>
              </w:rPr>
              <w:t>- $40.7</w:t>
            </w:r>
          </w:p>
        </w:tc>
        <w:tc>
          <w:tcPr>
            <w:tcW w:w="2560" w:type="dxa"/>
            <w:vAlign w:val="bottom"/>
            <w:tcBorders>
              <w:top w:val="single" w:sz="8" w:color="auto"/>
              <w:bottom w:val="single" w:sz="8" w:color="auto"/>
            </w:tcBorders>
          </w:tcPr>
          <w:p>
            <w:pPr>
              <w:jc w:val="center"/>
              <w:ind w:left="668"/>
              <w:spacing w:after="0"/>
              <w:rPr>
                <w:sz w:val="20"/>
                <w:szCs w:val="20"/>
                <w:color w:val="auto"/>
              </w:rPr>
            </w:pPr>
            <w:r>
              <w:rPr>
                <w:rFonts w:ascii="Arial" w:cs="Arial" w:eastAsia="Arial" w:hAnsi="Arial"/>
                <w:sz w:val="14"/>
                <w:szCs w:val="14"/>
                <w:b w:val="1"/>
                <w:bCs w:val="1"/>
                <w:color w:val="auto"/>
                <w:w w:val="92"/>
              </w:rPr>
              <w:t>$6.7 - $8.2</w:t>
            </w:r>
          </w:p>
        </w:tc>
      </w:tr>
      <w:tr>
        <w:trPr>
          <w:trHeight w:val="169"/>
        </w:trPr>
        <w:tc>
          <w:tcPr>
            <w:tcW w:w="4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DVT Builds</w:t>
            </w:r>
          </w:p>
        </w:tc>
        <w:tc>
          <w:tcPr>
            <w:tcW w:w="2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w:t>
            </w:r>
          </w:p>
        </w:tc>
        <w:tc>
          <w:tcPr>
            <w:tcW w:w="17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 $5.3</w:t>
            </w:r>
          </w:p>
        </w:tc>
        <w:tc>
          <w:tcPr>
            <w:tcW w:w="2560" w:type="dxa"/>
            <w:vAlign w:val="bottom"/>
            <w:tcBorders>
              <w:bottom w:val="single" w:sz="8" w:color="auto"/>
            </w:tcBorders>
          </w:tcPr>
          <w:p>
            <w:pPr>
              <w:jc w:val="center"/>
              <w:ind w:left="668"/>
              <w:spacing w:after="0"/>
              <w:rPr>
                <w:sz w:val="20"/>
                <w:szCs w:val="20"/>
                <w:color w:val="auto"/>
              </w:rPr>
            </w:pPr>
            <w:r>
              <w:rPr>
                <w:rFonts w:ascii="Arial" w:cs="Arial" w:eastAsia="Arial" w:hAnsi="Arial"/>
                <w:sz w:val="14"/>
                <w:szCs w:val="14"/>
                <w:color w:val="auto"/>
                <w:w w:val="92"/>
              </w:rPr>
              <w:t>$4.8 - $5.8</w:t>
            </w:r>
          </w:p>
        </w:tc>
      </w:tr>
      <w:tr>
        <w:trPr>
          <w:trHeight w:val="169"/>
        </w:trPr>
        <w:tc>
          <w:tcPr>
            <w:tcW w:w="45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Add Backs to Operating Income</w:t>
            </w:r>
          </w:p>
        </w:tc>
        <w:tc>
          <w:tcPr>
            <w:tcW w:w="2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$43.0</w:t>
            </w:r>
          </w:p>
        </w:tc>
        <w:tc>
          <w:tcPr>
            <w:tcW w:w="17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$46.0</w:t>
            </w:r>
          </w:p>
        </w:tc>
        <w:tc>
          <w:tcPr>
            <w:tcW w:w="2560" w:type="dxa"/>
            <w:vAlign w:val="bottom"/>
            <w:tcBorders>
              <w:bottom w:val="single" w:sz="8" w:color="auto"/>
            </w:tcBorders>
          </w:tcPr>
          <w:p>
            <w:pPr>
              <w:jc w:val="center"/>
              <w:ind w:left="648"/>
              <w:spacing w:after="0"/>
              <w:rPr>
                <w:sz w:val="20"/>
                <w:szCs w:val="20"/>
                <w:color w:val="auto"/>
              </w:rPr>
            </w:pPr>
            <w:r>
              <w:rPr>
                <w:rFonts w:ascii="Arial" w:cs="Arial" w:eastAsia="Arial" w:hAnsi="Arial"/>
                <w:sz w:val="14"/>
                <w:szCs w:val="14"/>
                <w:b w:val="1"/>
                <w:bCs w:val="1"/>
                <w:color w:val="auto"/>
                <w:w w:val="92"/>
              </w:rPr>
              <w:t>$11.5 - $14.0</w:t>
            </w:r>
          </w:p>
        </w:tc>
      </w:tr>
      <w:tr>
        <w:trPr>
          <w:trHeight w:val="304"/>
        </w:trPr>
        <w:tc>
          <w:tcPr>
            <w:tcW w:w="4580" w:type="dxa"/>
            <w:vAlign w:val="bottom"/>
            <w:tcBorders>
              <w:bottom w:val="single" w:sz="8" w:color="9A9A9A"/>
            </w:tcBorders>
          </w:tcPr>
          <w:p>
            <w:pPr>
              <w:spacing w:after="0"/>
              <w:rPr>
                <w:sz w:val="24"/>
                <w:szCs w:val="24"/>
                <w:color w:val="auto"/>
              </w:rPr>
            </w:pPr>
          </w:p>
        </w:tc>
        <w:tc>
          <w:tcPr>
            <w:tcW w:w="2580" w:type="dxa"/>
            <w:vAlign w:val="bottom"/>
            <w:tcBorders>
              <w:bottom w:val="single" w:sz="8" w:color="9A9A9A"/>
            </w:tcBorders>
          </w:tcPr>
          <w:p>
            <w:pPr>
              <w:spacing w:after="0"/>
              <w:rPr>
                <w:sz w:val="24"/>
                <w:szCs w:val="24"/>
                <w:color w:val="auto"/>
              </w:rPr>
            </w:pPr>
          </w:p>
        </w:tc>
        <w:tc>
          <w:tcPr>
            <w:tcW w:w="1700" w:type="dxa"/>
            <w:vAlign w:val="bottom"/>
            <w:tcBorders>
              <w:bottom w:val="single" w:sz="8" w:color="9A9A9A"/>
            </w:tcBorders>
          </w:tcPr>
          <w:p>
            <w:pPr>
              <w:spacing w:after="0"/>
              <w:rPr>
                <w:sz w:val="24"/>
                <w:szCs w:val="24"/>
                <w:color w:val="auto"/>
              </w:rPr>
            </w:pPr>
          </w:p>
        </w:tc>
        <w:tc>
          <w:tcPr>
            <w:tcW w:w="2560" w:type="dxa"/>
            <w:vAlign w:val="bottom"/>
            <w:tcBorders>
              <w:bottom w:val="single" w:sz="8" w:color="9A9A9A"/>
            </w:tcBorders>
          </w:tcPr>
          <w:p>
            <w:pPr>
              <w:spacing w:after="0"/>
              <w:rPr>
                <w:sz w:val="24"/>
                <w:szCs w:val="24"/>
                <w:color w:val="auto"/>
              </w:rPr>
            </w:pPr>
          </w:p>
        </w:tc>
      </w:tr>
      <w:tr>
        <w:trPr>
          <w:trHeight w:val="21"/>
        </w:trPr>
        <w:tc>
          <w:tcPr>
            <w:tcW w:w="4580" w:type="dxa"/>
            <w:vAlign w:val="bottom"/>
            <w:tcBorders>
              <w:bottom w:val="single" w:sz="8" w:color="EEEEEE"/>
            </w:tcBorders>
          </w:tcPr>
          <w:p>
            <w:pPr>
              <w:spacing w:after="0" w:line="20" w:lineRule="exact"/>
              <w:rPr>
                <w:sz w:val="1"/>
                <w:szCs w:val="1"/>
                <w:color w:val="auto"/>
              </w:rPr>
            </w:pPr>
          </w:p>
        </w:tc>
        <w:tc>
          <w:tcPr>
            <w:tcW w:w="2580" w:type="dxa"/>
            <w:vAlign w:val="bottom"/>
            <w:tcBorders>
              <w:bottom w:val="single" w:sz="8" w:color="EEEEEE"/>
            </w:tcBorders>
          </w:tcPr>
          <w:p>
            <w:pPr>
              <w:spacing w:after="0" w:line="20" w:lineRule="exact"/>
              <w:rPr>
                <w:sz w:val="1"/>
                <w:szCs w:val="1"/>
                <w:color w:val="auto"/>
              </w:rPr>
            </w:pPr>
          </w:p>
        </w:tc>
        <w:tc>
          <w:tcPr>
            <w:tcW w:w="1700" w:type="dxa"/>
            <w:vAlign w:val="bottom"/>
            <w:tcBorders>
              <w:bottom w:val="single" w:sz="8" w:color="EEEEEE"/>
            </w:tcBorders>
          </w:tcPr>
          <w:p>
            <w:pPr>
              <w:spacing w:after="0" w:line="20" w:lineRule="exact"/>
              <w:rPr>
                <w:sz w:val="1"/>
                <w:szCs w:val="1"/>
                <w:color w:val="auto"/>
              </w:rPr>
            </w:pPr>
          </w:p>
        </w:tc>
        <w:tc>
          <w:tcPr>
            <w:tcW w:w="256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color w:val="auto"/>
        </w:rPr>
        <w:t>About Greatbatch, Inc.</w:t>
      </w:r>
    </w:p>
    <w:p>
      <w:pPr>
        <w:spacing w:after="0" w:line="213" w:lineRule="exact"/>
        <w:rPr>
          <w:sz w:val="20"/>
          <w:szCs w:val="20"/>
          <w:color w:val="auto"/>
        </w:rPr>
      </w:pPr>
    </w:p>
    <w:p>
      <w:pPr>
        <w:spacing w:after="0" w:line="235" w:lineRule="auto"/>
        <w:rPr>
          <w:sz w:val="20"/>
          <w:szCs w:val="20"/>
          <w:color w:val="auto"/>
        </w:rPr>
      </w:pPr>
      <w:r>
        <w:rPr>
          <w:rFonts w:ascii="Arial" w:cs="Arial" w:eastAsia="Arial" w:hAnsi="Arial"/>
          <w:sz w:val="22"/>
          <w:szCs w:val="22"/>
          <w:color w:val="auto"/>
        </w:rPr>
        <w:t xml:space="preserve">Greatbatch, Inc. (NYSE: GB) provides top-quality technologies to industries that depend on reliable, long-lasting performance through its brands Greatbatch Medical, Electrochem and QiG Group. Greatbatch Medical develops and manufactures critical medical device technologies for the cardiac, neurology, vascular and orthopaedic markets. Electrochem designs and manufactures batteries for high-end niche applications in the portable medical, energy, military, and other markets. The QiG Group empowers the design and development of new medical devices for our core markets. Additional information about the Company is available at </w:t>
      </w:r>
      <w:r>
        <w:rPr>
          <w:rFonts w:ascii="Arial" w:cs="Arial" w:eastAsia="Arial" w:hAnsi="Arial"/>
          <w:sz w:val="22"/>
          <w:szCs w:val="22"/>
          <w:u w:val="single" w:color="auto"/>
          <w:color w:val="auto"/>
        </w:rPr>
        <w:t>www.greatbatch.com</w:t>
      </w:r>
      <w:r>
        <w:rPr>
          <w:rFonts w:ascii="Arial" w:cs="Arial" w:eastAsia="Arial" w:hAnsi="Arial"/>
          <w:sz w:val="22"/>
          <w:szCs w:val="22"/>
          <w:color w:val="auto"/>
        </w:rPr>
        <w: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Information</w:t>
      </w:r>
    </w:p>
    <w:p>
      <w:pPr>
        <w:spacing w:after="0" w:line="212" w:lineRule="exact"/>
        <w:rPr>
          <w:sz w:val="20"/>
          <w:szCs w:val="20"/>
          <w:color w:val="auto"/>
        </w:rPr>
      </w:pPr>
    </w:p>
    <w:p>
      <w:pPr>
        <w:ind w:right="180"/>
        <w:spacing w:after="0" w:line="270" w:lineRule="auto"/>
        <w:rPr>
          <w:sz w:val="20"/>
          <w:szCs w:val="20"/>
          <w:color w:val="auto"/>
        </w:rPr>
      </w:pPr>
      <w:r>
        <w:rPr>
          <w:rFonts w:ascii="Arial" w:cs="Arial" w:eastAsia="Arial" w:hAnsi="Arial"/>
          <w:sz w:val="19"/>
          <w:szCs w:val="19"/>
          <w:color w:val="auto"/>
        </w:rPr>
        <w:t>In addition to our results reported in accordance with generally accepted accounting principles (“GAAP”), we provide adjusted operating income and margin, adjusted net income and adjusted earnings per diluted share. These adjusted amounts consist of GAAP amounts excluding the following adjustments to the extent occurring during the period: (i) acquisition-related charges, (ii) facility consolidation, optimization, manufacturing transfer and system integration charges, (iii) asset write-down and disposition charges, (iv) severance charges in connection with corporate realignments or a reduction in force (v) litigation charges and gains,</w:t>
      </w:r>
    </w:p>
    <w:p>
      <w:pPr>
        <w:spacing w:after="0" w:line="4" w:lineRule="exact"/>
        <w:rPr>
          <w:sz w:val="20"/>
          <w:szCs w:val="20"/>
          <w:color w:val="auto"/>
        </w:rPr>
      </w:pPr>
    </w:p>
    <w:p>
      <w:pPr>
        <w:ind w:right="180" w:firstLine="8"/>
        <w:spacing w:after="0" w:line="273" w:lineRule="auto"/>
        <w:tabs>
          <w:tab w:leader="none" w:pos="366" w:val="left"/>
        </w:tabs>
        <w:numPr>
          <w:ilvl w:val="0"/>
          <w:numId w:val="1"/>
        </w:numPr>
        <w:rPr>
          <w:rFonts w:ascii="Arial" w:cs="Arial" w:eastAsia="Arial" w:hAnsi="Arial"/>
          <w:sz w:val="19"/>
          <w:szCs w:val="19"/>
          <w:color w:val="auto"/>
        </w:rPr>
      </w:pPr>
      <w:r>
        <w:rPr>
          <w:rFonts w:ascii="Arial" w:cs="Arial" w:eastAsia="Arial" w:hAnsi="Arial"/>
          <w:sz w:val="19"/>
          <w:szCs w:val="19"/>
          <w:color w:val="auto"/>
        </w:rPr>
        <w:t>the impact of non-cash charges to interest expense due to the accounting change for convertible debt, (vii) unusual or infrequently occurring items, (viii) certain R&amp;D expenditures (such as medical device DVT expenses in connection with developing our Neuromodulation platform), (ix) gain/loss on the sale of investments, (x) the income tax (benefit) related to these adjustments and (xi) Certain tax charges related to the consolidation of our Swiss Orthopaedic facility. Adjusted earnings per diluted share were calculated by dividing adjusted net income for diluted earnings per share by diluted weighted average shares outstanding. We believe that the presentation of adjusted operating income and margin, adjusted net income and adjusted diluted earnings per share provides important supplemental information to management and investors seeking to understand the financial and business trends relating to our financial condition and results of operations.</w:t>
      </w:r>
    </w:p>
    <w:p>
      <w:pPr>
        <w:spacing w:after="0" w:line="1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212" w:lineRule="exact"/>
        <w:rPr>
          <w:sz w:val="20"/>
          <w:szCs w:val="20"/>
          <w:color w:val="auto"/>
        </w:rPr>
      </w:pPr>
    </w:p>
    <w:p>
      <w:pPr>
        <w:spacing w:after="0" w:line="270" w:lineRule="auto"/>
        <w:rPr>
          <w:sz w:val="20"/>
          <w:szCs w:val="20"/>
          <w:color w:val="auto"/>
        </w:rPr>
      </w:pPr>
      <w:r>
        <w:rPr>
          <w:rFonts w:ascii="Arial" w:cs="Arial" w:eastAsia="Arial" w:hAnsi="Arial"/>
          <w:sz w:val="19"/>
          <w:szCs w:val="19"/>
          <w:color w:val="auto"/>
        </w:rPr>
        <w:t>Some of the statements in this press release, including the information provided under the caption “Financial Guidance,” are “forward-looking statements” within the meaning of Section 27A of the Securities Act of 1933, as amended, and section 21E of the Securities Exchange Act of 1934, as amended, and involve a number of risks and uncertainties. These statements can be identified by terminology such as “may,” “will,” “should,” “could,” “expects,” “intends,” “plans,” “anticipates,” “believes,” “estimates,” “predicts,” “potential” or “continue,” or the negative of these terms or other comparable terminology. These statements are based on the Company’s current expectations. The Company’s actual results could differ materially from those stated or implied in such forward-looking statements. Risks and uncertainties that could cause actual results to differ materially from those stated or implied by such forward-looking statements include, among others, the following matters affecting the Company: our dependence upon a limited number of customers; customer ordering patterns; product obsolescence; our inability to market current or future products; pricing/vertical integration pressure from customers; our ability to timely and successfully implement our cost reduction and plant consolidation initiatives (including the consolidation of our Swiss Orthopaedic operations); our reliance on third party suppliers for raw materials, products and subcomponents; our inability to maintain high quality standards for our products; challenges to our intellectual property rights; product liability claims; our inability to successfully consummate and integrate acquisitions and to realize synergies; our unsuccessful expansion into new markets; our ability to realize a return on our substantial RD&amp;E investments, including system and device products; our inability to obtain licenses to key technology; regulatory changes or consolidation in the healthcare industry; global economic factors including currency exchange rates and interest rates; the resolution of various legal actions and other risks and uncertainties described in the Company’s Annual Report on Form 10-K and in other periodic filings with the Securities and Exchange Commission. The Company assumes no obligation to update forward-looking information in this press release whether to reflect changed assumptions, the occurrence of unanticipated events or changes in future operating results, financial conditions or prospects, or otherwise.</w:t>
      </w:r>
    </w:p>
    <w:p>
      <w:pPr>
        <w:spacing w:after="0" w:line="16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Greatbatch, Inc.</w:t>
      </w:r>
    </w:p>
    <w:p>
      <w:pPr>
        <w:spacing w:after="0" w:line="230" w:lineRule="auto"/>
        <w:rPr>
          <w:sz w:val="20"/>
          <w:szCs w:val="20"/>
          <w:color w:val="auto"/>
        </w:rPr>
      </w:pPr>
      <w:r>
        <w:rPr>
          <w:rFonts w:ascii="Arial" w:cs="Arial" w:eastAsia="Arial" w:hAnsi="Arial"/>
          <w:sz w:val="22"/>
          <w:szCs w:val="22"/>
          <w:color w:val="auto"/>
        </w:rPr>
        <w:t>Marco Benedetti, 716-759-5856</w:t>
      </w:r>
    </w:p>
    <w:p>
      <w:pPr>
        <w:spacing w:after="0" w:line="1" w:lineRule="exact"/>
        <w:rPr>
          <w:sz w:val="20"/>
          <w:szCs w:val="20"/>
          <w:color w:val="auto"/>
        </w:rPr>
      </w:pPr>
    </w:p>
    <w:p>
      <w:pPr>
        <w:ind w:right="4480"/>
        <w:spacing w:after="0" w:line="237" w:lineRule="auto"/>
        <w:rPr>
          <w:sz w:val="20"/>
          <w:szCs w:val="20"/>
          <w:color w:val="auto"/>
        </w:rPr>
      </w:pPr>
      <w:r>
        <w:rPr>
          <w:rFonts w:ascii="Arial" w:cs="Arial" w:eastAsia="Arial" w:hAnsi="Arial"/>
          <w:sz w:val="22"/>
          <w:szCs w:val="22"/>
          <w:color w:val="auto"/>
        </w:rPr>
        <w:t xml:space="preserve">Vice President Financial Planning and Analysis, Investor Relations &amp; Treasurer </w:t>
      </w:r>
      <w:r>
        <w:rPr>
          <w:rFonts w:ascii="Arial" w:cs="Arial" w:eastAsia="Arial" w:hAnsi="Arial"/>
          <w:sz w:val="22"/>
          <w:szCs w:val="22"/>
          <w:u w:val="single" w:color="auto"/>
          <w:color w:val="auto"/>
        </w:rPr>
        <w:t>mbenedetti@greatbatch.com</w:t>
      </w:r>
    </w:p>
    <w:sectPr>
      <w:pgSz w:w="11900" w:h="16838" w:orient="portrait"/>
      <w:cols w:equalWidth="0" w:num="1">
        <w:col w:w="11380"/>
      </w:cols>
      <w:pgMar w:left="240" w:top="111"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Roman"/>
      <w:start w:val="6"/>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2020-02-22T01:41:04Z</dcterms:created>
  <dcterms:modified xsi:type="dcterms:W3CDTF">2020-02-22T01:41:04Z</dcterms:modified>
</cp:coreProperties>
</file>