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520" w:type="dxa"/>
            <w:vAlign w:val="bottom"/>
          </w:tcPr>
          <w:p>
            <w:pPr>
              <w:jc w:val="center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19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5470525</wp:posOffset>
            </wp:positionH>
            <wp:positionV relativeFrom="paragraph">
              <wp:posOffset>-647065</wp:posOffset>
            </wp:positionV>
            <wp:extent cx="59055" cy="660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4132580</wp:posOffset>
            </wp:positionH>
            <wp:positionV relativeFrom="paragraph">
              <wp:posOffset>-647065</wp:posOffset>
            </wp:positionV>
            <wp:extent cx="59055" cy="6604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-1709420</wp:posOffset>
            </wp:positionH>
            <wp:positionV relativeFrom="paragraph">
              <wp:posOffset>19685</wp:posOffset>
            </wp:positionV>
            <wp:extent cx="7323455" cy="51568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515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40" w:space="340"/>
            <w:col w:w="8840"/>
          </w:cols>
          <w:pgMar w:left="240" w:top="225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Arellano Mauricio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10000 WEHRLE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GREATBATCH, INC.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GB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01/06/2014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6" w:right="680" w:hanging="6"/>
        <w:spacing w:after="0" w:line="253" w:lineRule="auto"/>
        <w:tabs>
          <w:tab w:leader="none" w:pos="154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82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EVP, Global Operations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40" w:space="720"/>
            <w:col w:w="3254" w:space="720"/>
            <w:col w:w="3486"/>
          </w:cols>
          <w:pgMar w:left="240" w:top="225" w:right="139" w:bottom="1440" w:gutter="0" w:footer="0" w:header="0"/>
          <w:type w:val="continuous"/>
        </w:sectPr>
      </w:pPr>
    </w:p>
    <w:p>
      <w:pPr>
        <w:spacing w:after="0" w:line="16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CLARENCE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NY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14031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180"/>
        <w:spacing w:after="0" w:line="233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00" w:space="160"/>
            <w:col w:w="7460"/>
          </w:cols>
          <w:pgMar w:left="240" w:top="225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2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8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80" w:type="dxa"/>
            <w:vAlign w:val="bottom"/>
            <w:gridSpan w:val="4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2"/>
          </w:tcPr>
          <w:p>
            <w:pPr>
              <w:ind w:left="8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3,782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  <w:vMerge w:val="restart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3,142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80" w:type="dxa"/>
            <w:vAlign w:val="bottom"/>
            <w:tcBorders>
              <w:top w:val="single" w:sz="8" w:color="2C2C2C"/>
            </w:tcBorders>
            <w:gridSpan w:val="11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00" w:type="dxa"/>
            <w:vAlign w:val="bottom"/>
            <w:gridSpan w:val="9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6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56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Expiration Date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6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43.78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01/06/2014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13,085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01/02/2015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01/06/2023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13,085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6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13,085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Grant of non-qualified options which will vest in three equal annual installments on the last day of the company's fiscal year, beginning in 2014.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Christopher J. Thome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-8255</wp:posOffset>
            </wp:positionV>
            <wp:extent cx="120777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attorney-in-fact for Mauricio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01/08/2014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-12700</wp:posOffset>
            </wp:positionV>
            <wp:extent cx="195770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Arellano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-12700</wp:posOffset>
            </wp:positionV>
            <wp:extent cx="38481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jc w:val="both"/>
        <w:ind w:left="40" w:right="378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380583" TargetMode="External"/><Relationship Id="rId13" Type="http://schemas.openxmlformats.org/officeDocument/2006/relationships/hyperlink" Target="http://www.sec.gov/cgi-bin/browse-edgar?action=getcompany&amp;CIK=000111448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2020-01-25T15:53:16Z</dcterms:created>
  <dcterms:modified xsi:type="dcterms:W3CDTF">2020-01-25T15:53:16Z</dcterms:modified>
</cp:coreProperties>
</file>