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38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-248920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22225</wp:posOffset>
            </wp:positionV>
            <wp:extent cx="7272020" cy="5616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61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0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2"/>
          <w:szCs w:val="22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Graham Michelle</w:t>
        </w:r>
      </w:hyperlink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10000 WEHRLE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2"/>
          <w:szCs w:val="22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2"/>
            <w:szCs w:val="22"/>
            <w:u w:val="single" w:color="auto"/>
            <w:color w:val="0000EE"/>
          </w:rPr>
          <w:t>GREATBATCH, INC.</w:t>
        </w:r>
        <w:r>
          <w:rPr>
            <w:rFonts w:ascii="Times New Roman" w:cs="Times New Roman" w:eastAsia="Times New Roman" w:hAnsi="Times New Roman"/>
            <w:sz w:val="22"/>
            <w:szCs w:val="22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[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GB</w:t>
      </w:r>
      <w:r>
        <w:rPr>
          <w:rFonts w:ascii="Times New Roman" w:cs="Times New Roman" w:eastAsia="Times New Roman" w:hAnsi="Times New Roman"/>
          <w:sz w:val="22"/>
          <w:szCs w:val="22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]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01/16/2014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520" w:hanging="3"/>
        <w:spacing w:after="0" w:line="250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74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Sr. VP Human Resources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0" w:right="239" w:bottom="1440" w:gutter="0" w:footer="0" w:header="0"/>
          <w:type w:val="continuous"/>
        </w:sectPr>
      </w:pPr>
    </w:p>
    <w:p>
      <w:pPr>
        <w:spacing w:after="0" w:line="16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CLARENCE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NY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14031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25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0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01/16/2014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A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17,857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31,412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01/16/2014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color w:val="0000FF"/>
              </w:rPr>
              <w:t>F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6,849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44.7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center"/>
              <w:ind w:right="3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24,563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752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9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jc w:val="center"/>
              <w:ind w:righ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6"/>
              </w:rPr>
              <w:t>480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  <w:w w:val="99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0000FF"/>
              </w:rPr>
              <w:t>UTMA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74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008000"/>
        </w:rPr>
        <w:t>1. Represents the vesting of restricted stock units that vest subject to the satisfaction of certain 3-year performance criteria. The criteria for these shares has been met.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/s/ Christopher J. Thome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-10160</wp:posOffset>
            </wp:positionV>
            <wp:extent cx="122301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attorney-in-fact for Michelle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01/20/2014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0000FF"/>
        </w:rPr>
        <w:t>Graham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5877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0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06315" TargetMode="External"/><Relationship Id="rId13" Type="http://schemas.openxmlformats.org/officeDocument/2006/relationships/hyperlink" Target="http://www.sec.gov/cgi-bin/browse-edgar?action=getcompany&amp;CIK=000111448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2020-01-25T17:22:02Z</dcterms:created>
  <dcterms:modified xsi:type="dcterms:W3CDTF">2020-01-25T17:22:02Z</dcterms:modified>
</cp:coreProperties>
</file>