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2"/>
          <w:szCs w:val="22"/>
          <w:color w:val="auto"/>
        </w:rPr>
        <w:t>U.S. SECURITIES AND EXCHANGE COMMISSION</w:t>
      </w:r>
    </w:p>
    <w:p>
      <w:pPr>
        <w:spacing w:after="0" w:line="233"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1793240</wp:posOffset>
            </wp:positionH>
            <wp:positionV relativeFrom="paragraph">
              <wp:posOffset>132080</wp:posOffset>
            </wp:positionV>
            <wp:extent cx="367030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670300"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72"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FORM 8-K</w:t>
      </w:r>
    </w:p>
    <w:p>
      <w:pPr>
        <w:spacing w:after="0" w:line="233"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CURRENT REPORT</w:t>
      </w:r>
    </w:p>
    <w:p>
      <w:pPr>
        <w:spacing w:after="0" w:line="8"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PURSUANT TO SECTION 13 or 15(d) OF THE SECURITIES EXCHANGE ACT OF 1934</w:t>
      </w:r>
    </w:p>
    <w:p>
      <w:pPr>
        <w:spacing w:after="0" w:line="215"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 xml:space="preserve">Date of Report (Date of earliest event reported) </w:t>
      </w:r>
      <w:r>
        <w:rPr>
          <w:rFonts w:ascii="Arial" w:cs="Arial" w:eastAsia="Arial" w:hAnsi="Arial"/>
          <w:sz w:val="22"/>
          <w:szCs w:val="22"/>
          <w:u w:val="single" w:color="auto"/>
          <w:color w:val="auto"/>
        </w:rPr>
        <w:t>February 23, 2010</w:t>
      </w:r>
    </w:p>
    <w:p>
      <w:pPr>
        <w:spacing w:after="0" w:line="200" w:lineRule="exact"/>
        <w:rPr>
          <w:sz w:val="24"/>
          <w:szCs w:val="24"/>
          <w:color w:val="auto"/>
        </w:rPr>
      </w:pPr>
    </w:p>
    <w:p>
      <w:pPr>
        <w:spacing w:after="0" w:line="276" w:lineRule="exact"/>
        <w:rPr>
          <w:sz w:val="24"/>
          <w:szCs w:val="24"/>
          <w:color w:val="auto"/>
        </w:rPr>
      </w:pPr>
    </w:p>
    <w:p>
      <w:pPr>
        <w:jc w:val="center"/>
        <w:spacing w:after="0"/>
        <w:rPr>
          <w:sz w:val="20"/>
          <w:szCs w:val="20"/>
          <w:color w:val="auto"/>
        </w:rPr>
      </w:pPr>
      <w:r>
        <w:rPr>
          <w:rFonts w:ascii="Arial" w:cs="Arial" w:eastAsia="Arial" w:hAnsi="Arial"/>
          <w:sz w:val="22"/>
          <w:szCs w:val="22"/>
          <w:u w:val="single" w:color="auto"/>
          <w:color w:val="auto"/>
        </w:rPr>
        <w:t>GREATBATCH, INC.</w:t>
      </w:r>
    </w:p>
    <w:p>
      <w:pPr>
        <w:spacing w:after="0" w:line="1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0" w:lineRule="exact"/>
        <w:rPr>
          <w:sz w:val="24"/>
          <w:szCs w:val="24"/>
          <w:color w:val="auto"/>
        </w:rPr>
      </w:pPr>
    </w:p>
    <w:p>
      <w:pPr>
        <w:spacing w:after="0" w:line="200" w:lineRule="exact"/>
        <w:rPr>
          <w:sz w:val="24"/>
          <w:szCs w:val="24"/>
          <w:color w:val="auto"/>
        </w:rPr>
      </w:pPr>
    </w:p>
    <w:p>
      <w:pPr>
        <w:spacing w:after="0" w:line="309" w:lineRule="exact"/>
        <w:rPr>
          <w:sz w:val="24"/>
          <w:szCs w:val="24"/>
          <w:color w:val="auto"/>
        </w:rPr>
      </w:pPr>
    </w:p>
    <w:tbl>
      <w:tblPr>
        <w:tblLayout w:type="fixed"/>
        <w:tblInd w:w="0" w:type="dxa"/>
        <w:tblCellMar>
          <w:top w:w="0" w:type="dxa"/>
          <w:left w:w="0" w:type="dxa"/>
          <w:bottom w:w="0" w:type="dxa"/>
          <w:right w:w="0" w:type="dxa"/>
        </w:tblCellMar>
      </w:tblPr>
      <w:tr>
        <w:trPr>
          <w:trHeight w:val="237"/>
        </w:trPr>
        <w:tc>
          <w:tcPr>
            <w:tcW w:w="38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Delaware</w:t>
            </w:r>
          </w:p>
        </w:tc>
        <w:tc>
          <w:tcPr>
            <w:tcW w:w="3680" w:type="dxa"/>
            <w:vAlign w:val="bottom"/>
            <w:tcBorders>
              <w:bottom w:val="single" w:sz="8" w:color="auto"/>
            </w:tcBorders>
          </w:tcPr>
          <w:p>
            <w:pPr>
              <w:jc w:val="right"/>
              <w:ind w:right="1390"/>
              <w:spacing w:after="0"/>
              <w:rPr>
                <w:sz w:val="20"/>
                <w:szCs w:val="20"/>
                <w:color w:val="auto"/>
              </w:rPr>
            </w:pPr>
            <w:r>
              <w:rPr>
                <w:rFonts w:ascii="Arial" w:cs="Arial" w:eastAsia="Arial" w:hAnsi="Arial"/>
                <w:sz w:val="18"/>
                <w:szCs w:val="18"/>
                <w:color w:val="auto"/>
              </w:rPr>
              <w:t>1-16137</w:t>
            </w:r>
          </w:p>
        </w:tc>
        <w:tc>
          <w:tcPr>
            <w:tcW w:w="3920" w:type="dxa"/>
            <w:vAlign w:val="bottom"/>
            <w:tcBorders>
              <w:bottom w:val="single" w:sz="8" w:color="auto"/>
            </w:tcBorders>
          </w:tcPr>
          <w:p>
            <w:pPr>
              <w:jc w:val="right"/>
              <w:ind w:right="1350"/>
              <w:spacing w:after="0"/>
              <w:rPr>
                <w:sz w:val="20"/>
                <w:szCs w:val="20"/>
                <w:color w:val="auto"/>
              </w:rPr>
            </w:pPr>
            <w:r>
              <w:rPr>
                <w:rFonts w:ascii="Arial" w:cs="Arial" w:eastAsia="Arial" w:hAnsi="Arial"/>
                <w:sz w:val="18"/>
                <w:szCs w:val="18"/>
                <w:color w:val="auto"/>
              </w:rPr>
              <w:t>16-1531026</w:t>
            </w:r>
          </w:p>
        </w:tc>
      </w:tr>
      <w:tr>
        <w:trPr>
          <w:trHeight w:val="215"/>
        </w:trPr>
        <w:tc>
          <w:tcPr>
            <w:tcW w:w="3820" w:type="dxa"/>
            <w:vAlign w:val="bottom"/>
          </w:tcPr>
          <w:p>
            <w:pPr>
              <w:jc w:val="center"/>
              <w:spacing w:after="0"/>
              <w:rPr>
                <w:sz w:val="20"/>
                <w:szCs w:val="20"/>
                <w:color w:val="auto"/>
              </w:rPr>
            </w:pPr>
            <w:r>
              <w:rPr>
                <w:rFonts w:ascii="Arial" w:cs="Arial" w:eastAsia="Arial" w:hAnsi="Arial"/>
                <w:sz w:val="18"/>
                <w:szCs w:val="18"/>
                <w:color w:val="auto"/>
                <w:w w:val="93"/>
              </w:rPr>
              <w:t>(State or other jurisdiction of</w:t>
            </w:r>
          </w:p>
        </w:tc>
        <w:tc>
          <w:tcPr>
            <w:tcW w:w="3680" w:type="dxa"/>
            <w:vAlign w:val="bottom"/>
          </w:tcPr>
          <w:p>
            <w:pPr>
              <w:jc w:val="center"/>
              <w:ind w:left="10"/>
              <w:spacing w:after="0"/>
              <w:rPr>
                <w:sz w:val="20"/>
                <w:szCs w:val="20"/>
                <w:color w:val="auto"/>
              </w:rPr>
            </w:pPr>
            <w:r>
              <w:rPr>
                <w:rFonts w:ascii="Arial" w:cs="Arial" w:eastAsia="Arial" w:hAnsi="Arial"/>
                <w:sz w:val="18"/>
                <w:szCs w:val="18"/>
                <w:color w:val="auto"/>
                <w:w w:val="92"/>
              </w:rPr>
              <w:t>(Commission File Number)</w:t>
            </w:r>
          </w:p>
        </w:tc>
        <w:tc>
          <w:tcPr>
            <w:tcW w:w="3920" w:type="dxa"/>
            <w:vAlign w:val="bottom"/>
          </w:tcPr>
          <w:p>
            <w:pPr>
              <w:jc w:val="center"/>
              <w:ind w:left="70"/>
              <w:spacing w:after="0"/>
              <w:rPr>
                <w:sz w:val="20"/>
                <w:szCs w:val="20"/>
                <w:color w:val="auto"/>
              </w:rPr>
            </w:pPr>
            <w:r>
              <w:rPr>
                <w:rFonts w:ascii="Arial" w:cs="Arial" w:eastAsia="Arial" w:hAnsi="Arial"/>
                <w:sz w:val="18"/>
                <w:szCs w:val="18"/>
                <w:color w:val="auto"/>
                <w:w w:val="94"/>
              </w:rPr>
              <w:t>(IRS Employer Identification No.)</w:t>
            </w:r>
          </w:p>
        </w:tc>
      </w:tr>
      <w:tr>
        <w:trPr>
          <w:trHeight w:val="230"/>
        </w:trPr>
        <w:tc>
          <w:tcPr>
            <w:tcW w:w="3820" w:type="dxa"/>
            <w:vAlign w:val="bottom"/>
          </w:tcPr>
          <w:p>
            <w:pPr>
              <w:jc w:val="center"/>
              <w:spacing w:after="0"/>
              <w:rPr>
                <w:sz w:val="20"/>
                <w:szCs w:val="20"/>
                <w:color w:val="auto"/>
              </w:rPr>
            </w:pPr>
            <w:r>
              <w:rPr>
                <w:rFonts w:ascii="Arial" w:cs="Arial" w:eastAsia="Arial" w:hAnsi="Arial"/>
                <w:sz w:val="18"/>
                <w:szCs w:val="18"/>
                <w:color w:val="auto"/>
                <w:w w:val="92"/>
              </w:rPr>
              <w:t>incorporation)</w:t>
            </w:r>
          </w:p>
        </w:tc>
        <w:tc>
          <w:tcPr>
            <w:tcW w:w="3680" w:type="dxa"/>
            <w:vAlign w:val="bottom"/>
          </w:tcPr>
          <w:p>
            <w:pPr>
              <w:spacing w:after="0"/>
              <w:rPr>
                <w:sz w:val="20"/>
                <w:szCs w:val="20"/>
                <w:color w:val="auto"/>
              </w:rPr>
            </w:pPr>
          </w:p>
        </w:tc>
        <w:tc>
          <w:tcPr>
            <w:tcW w:w="3920" w:type="dxa"/>
            <w:vAlign w:val="bottom"/>
          </w:tcPr>
          <w:p>
            <w:pPr>
              <w:spacing w:after="0"/>
              <w:rPr>
                <w:sz w:val="20"/>
                <w:szCs w:val="20"/>
                <w:color w:val="auto"/>
              </w:rPr>
            </w:pPr>
          </w:p>
        </w:tc>
      </w:tr>
      <w:tr>
        <w:trPr>
          <w:trHeight w:val="466"/>
        </w:trPr>
        <w:tc>
          <w:tcPr>
            <w:tcW w:w="7500" w:type="dxa"/>
            <w:vAlign w:val="bottom"/>
            <w:tcBorders>
              <w:bottom w:val="single" w:sz="8" w:color="auto"/>
            </w:tcBorders>
            <w:gridSpan w:val="2"/>
          </w:tcPr>
          <w:p>
            <w:pPr>
              <w:jc w:val="center"/>
              <w:ind w:left="70"/>
              <w:spacing w:after="0"/>
              <w:rPr>
                <w:sz w:val="20"/>
                <w:szCs w:val="20"/>
                <w:color w:val="auto"/>
              </w:rPr>
            </w:pPr>
            <w:r>
              <w:rPr>
                <w:rFonts w:ascii="Arial" w:cs="Arial" w:eastAsia="Arial" w:hAnsi="Arial"/>
                <w:sz w:val="18"/>
                <w:szCs w:val="18"/>
                <w:color w:val="auto"/>
                <w:w w:val="91"/>
              </w:rPr>
              <w:t>10000 Wehrle Drive, Clarence, New York</w:t>
            </w:r>
          </w:p>
        </w:tc>
        <w:tc>
          <w:tcPr>
            <w:tcW w:w="3920" w:type="dxa"/>
            <w:vAlign w:val="bottom"/>
            <w:tcBorders>
              <w:bottom w:val="single" w:sz="8" w:color="auto"/>
            </w:tcBorders>
          </w:tcPr>
          <w:p>
            <w:pPr>
              <w:jc w:val="right"/>
              <w:ind w:right="1570"/>
              <w:spacing w:after="0"/>
              <w:rPr>
                <w:sz w:val="20"/>
                <w:szCs w:val="20"/>
                <w:color w:val="auto"/>
              </w:rPr>
            </w:pPr>
            <w:r>
              <w:rPr>
                <w:rFonts w:ascii="Arial" w:cs="Arial" w:eastAsia="Arial" w:hAnsi="Arial"/>
                <w:sz w:val="18"/>
                <w:szCs w:val="18"/>
                <w:color w:val="auto"/>
              </w:rPr>
              <w:t>14031</w:t>
            </w:r>
          </w:p>
        </w:tc>
      </w:tr>
      <w:tr>
        <w:trPr>
          <w:trHeight w:val="230"/>
        </w:trPr>
        <w:tc>
          <w:tcPr>
            <w:tcW w:w="7500" w:type="dxa"/>
            <w:vAlign w:val="bottom"/>
            <w:gridSpan w:val="2"/>
          </w:tcPr>
          <w:p>
            <w:pPr>
              <w:jc w:val="center"/>
              <w:ind w:left="70"/>
              <w:spacing w:after="0"/>
              <w:rPr>
                <w:sz w:val="20"/>
                <w:szCs w:val="20"/>
                <w:color w:val="auto"/>
              </w:rPr>
            </w:pPr>
            <w:r>
              <w:rPr>
                <w:rFonts w:ascii="Arial" w:cs="Arial" w:eastAsia="Arial" w:hAnsi="Arial"/>
                <w:sz w:val="18"/>
                <w:szCs w:val="18"/>
                <w:color w:val="auto"/>
                <w:w w:val="92"/>
              </w:rPr>
              <w:t>(Address of principal executive offices)</w:t>
            </w:r>
          </w:p>
        </w:tc>
        <w:tc>
          <w:tcPr>
            <w:tcW w:w="3920" w:type="dxa"/>
            <w:vAlign w:val="bottom"/>
          </w:tcPr>
          <w:p>
            <w:pPr>
              <w:jc w:val="center"/>
              <w:ind w:left="70"/>
              <w:spacing w:after="0"/>
              <w:rPr>
                <w:sz w:val="20"/>
                <w:szCs w:val="20"/>
                <w:color w:val="auto"/>
              </w:rPr>
            </w:pPr>
            <w:r>
              <w:rPr>
                <w:rFonts w:ascii="Arial" w:cs="Arial" w:eastAsia="Arial" w:hAnsi="Arial"/>
                <w:sz w:val="18"/>
                <w:szCs w:val="18"/>
                <w:color w:val="auto"/>
                <w:w w:val="94"/>
              </w:rPr>
              <w:t>(Zip Code)</w:t>
            </w:r>
          </w:p>
        </w:tc>
      </w:tr>
    </w:tbl>
    <w:p>
      <w:pPr>
        <w:spacing w:after="0" w:line="200" w:lineRule="exact"/>
        <w:rPr>
          <w:sz w:val="24"/>
          <w:szCs w:val="24"/>
          <w:color w:val="auto"/>
        </w:rPr>
      </w:pPr>
    </w:p>
    <w:p>
      <w:pPr>
        <w:spacing w:after="0" w:line="250"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 xml:space="preserve">Registrant’s telephone number, including area code </w:t>
      </w:r>
      <w:r>
        <w:rPr>
          <w:rFonts w:ascii="Arial" w:cs="Arial" w:eastAsia="Arial" w:hAnsi="Arial"/>
          <w:sz w:val="22"/>
          <w:szCs w:val="22"/>
          <w:u w:val="single" w:color="auto"/>
          <w:color w:val="auto"/>
        </w:rPr>
        <w:t>(716) 759-5600</w:t>
      </w:r>
    </w:p>
    <w:p>
      <w:pPr>
        <w:spacing w:after="0" w:line="200" w:lineRule="exact"/>
        <w:rPr>
          <w:sz w:val="24"/>
          <w:szCs w:val="24"/>
          <w:color w:val="auto"/>
        </w:rPr>
      </w:pPr>
    </w:p>
    <w:p>
      <w:pPr>
        <w:spacing w:after="0" w:line="270"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Not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1454150</wp:posOffset>
            </wp:positionH>
            <wp:positionV relativeFrom="paragraph">
              <wp:posOffset>23495</wp:posOffset>
            </wp:positionV>
            <wp:extent cx="434784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347845" cy="8890"/>
                    </a:xfrm>
                    <a:prstGeom prst="rect">
                      <a:avLst/>
                    </a:prstGeom>
                    <a:noFill/>
                  </pic:spPr>
                </pic:pic>
              </a:graphicData>
            </a:graphic>
          </wp:anchor>
        </w:drawing>
      </w:r>
    </w:p>
    <w:p>
      <w:pPr>
        <w:spacing w:after="0" w:line="30"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39" w:lineRule="exact"/>
        <w:rPr>
          <w:sz w:val="24"/>
          <w:szCs w:val="24"/>
          <w:color w:val="auto"/>
        </w:rPr>
      </w:pPr>
    </w:p>
    <w:p>
      <w:pPr>
        <w:ind w:right="460" w:firstLine="405"/>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97" w:lineRule="exact"/>
        <w:rPr>
          <w:sz w:val="24"/>
          <w:szCs w:val="24"/>
          <w:color w:val="auto"/>
        </w:rPr>
      </w:pPr>
    </w:p>
    <w:p>
      <w:pPr>
        <w:ind w:left="180"/>
        <w:spacing w:after="0"/>
        <w:rPr>
          <w:sz w:val="20"/>
          <w:szCs w:val="20"/>
          <w:color w:val="auto"/>
        </w:rPr>
      </w:pPr>
      <w:r>
        <w:rPr>
          <w:rFonts w:ascii="Arial" w:cs="Arial" w:eastAsia="Arial" w:hAnsi="Arial"/>
          <w:sz w:val="18"/>
          <w:szCs w:val="18"/>
          <w:color w:val="auto"/>
        </w:rPr>
        <w:t>Written communications pursuant to Rule 425 under the Securities Act (17 CFR 230.425)</w:t>
      </w:r>
    </w:p>
    <w:p>
      <w:pPr>
        <w:spacing w:after="0" w:line="252" w:lineRule="exact"/>
        <w:rPr>
          <w:sz w:val="24"/>
          <w:szCs w:val="24"/>
          <w:color w:val="auto"/>
        </w:rPr>
      </w:pPr>
    </w:p>
    <w:p>
      <w:pPr>
        <w:ind w:left="180"/>
        <w:spacing w:after="0"/>
        <w:rPr>
          <w:sz w:val="20"/>
          <w:szCs w:val="20"/>
          <w:color w:val="auto"/>
        </w:rPr>
      </w:pPr>
      <w:r>
        <w:rPr>
          <w:rFonts w:ascii="Arial" w:cs="Arial" w:eastAsia="Arial" w:hAnsi="Arial"/>
          <w:sz w:val="18"/>
          <w:szCs w:val="18"/>
          <w:color w:val="auto"/>
        </w:rPr>
        <w:t>Soliciting material pursuant to Rule 14a-12 under the Exchange Act (17 CFR 240.14a-12)</w:t>
      </w:r>
    </w:p>
    <w:p>
      <w:pPr>
        <w:spacing w:after="0" w:line="252" w:lineRule="exact"/>
        <w:rPr>
          <w:sz w:val="24"/>
          <w:szCs w:val="24"/>
          <w:color w:val="auto"/>
        </w:rPr>
      </w:pPr>
    </w:p>
    <w:p>
      <w:pPr>
        <w:ind w:left="180"/>
        <w:spacing w:after="0"/>
        <w:rPr>
          <w:sz w:val="20"/>
          <w:szCs w:val="20"/>
          <w:color w:val="auto"/>
        </w:rPr>
      </w:pPr>
      <w:r>
        <w:rPr>
          <w:rFonts w:ascii="Arial" w:cs="Arial" w:eastAsia="Arial" w:hAnsi="Arial"/>
          <w:sz w:val="18"/>
          <w:szCs w:val="18"/>
          <w:color w:val="auto"/>
        </w:rPr>
        <w:t>Pre-commencement communications pursuant to Rule 14d-2(b) under the Exchange Act (17 CFR 240.14d-2(b))</w:t>
      </w:r>
    </w:p>
    <w:p>
      <w:pPr>
        <w:spacing w:after="0" w:line="252" w:lineRule="exact"/>
        <w:rPr>
          <w:sz w:val="24"/>
          <w:szCs w:val="24"/>
          <w:color w:val="auto"/>
        </w:rPr>
      </w:pPr>
    </w:p>
    <w:p>
      <w:pPr>
        <w:ind w:left="180"/>
        <w:spacing w:after="0"/>
        <w:rPr>
          <w:sz w:val="20"/>
          <w:szCs w:val="20"/>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139700</wp:posOffset>
            </wp:positionV>
            <wp:extent cx="7272020" cy="596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469" w:right="239" w:bottom="1440" w:gutter="0" w:footer="0" w:header="0"/>
        </w:sectPr>
      </w:pPr>
    </w:p>
    <w:bookmarkStart w:id="1" w:name="page2"/>
    <w:bookmarkEnd w:id="1"/>
    <w:p>
      <w:pPr>
        <w:spacing w:after="0"/>
        <w:rPr>
          <w:sz w:val="20"/>
          <w:szCs w:val="20"/>
          <w:color w:val="auto"/>
        </w:rPr>
      </w:pPr>
      <w:r>
        <w:rPr>
          <w:rFonts w:ascii="Arial" w:cs="Arial" w:eastAsia="Arial" w:hAnsi="Arial"/>
          <w:sz w:val="22"/>
          <w:szCs w:val="22"/>
          <w:color w:val="auto"/>
        </w:rPr>
        <w:t xml:space="preserve">Item 2.02. </w:t>
      </w:r>
      <w:r>
        <w:rPr>
          <w:rFonts w:ascii="Arial" w:cs="Arial" w:eastAsia="Arial" w:hAnsi="Arial"/>
          <w:sz w:val="22"/>
          <w:szCs w:val="22"/>
          <w:u w:val="single" w:color="auto"/>
          <w:color w:val="auto"/>
        </w:rPr>
        <w:t>Results of Operations and Financial Condition</w:t>
      </w:r>
    </w:p>
    <w:p>
      <w:pPr>
        <w:spacing w:after="0" w:line="207" w:lineRule="exact"/>
        <w:rPr>
          <w:sz w:val="20"/>
          <w:szCs w:val="20"/>
          <w:color w:val="auto"/>
        </w:rPr>
      </w:pPr>
    </w:p>
    <w:p>
      <w:pPr>
        <w:ind w:left="420" w:right="399"/>
        <w:spacing w:after="0"/>
        <w:rPr>
          <w:sz w:val="20"/>
          <w:szCs w:val="20"/>
          <w:color w:val="auto"/>
        </w:rPr>
      </w:pPr>
      <w:r>
        <w:rPr>
          <w:rFonts w:ascii="Arial" w:cs="Arial" w:eastAsia="Arial" w:hAnsi="Arial"/>
          <w:sz w:val="22"/>
          <w:szCs w:val="22"/>
          <w:color w:val="auto"/>
        </w:rPr>
        <w:t>On February 23, 2010, Greatbatch, Inc. (the “Company”) issued a press release announcing its results for the quarter ended January 1, 2010. A copy of the release is furnished with this report as Exhibit 99.1 and is incorporated by reference into this Item 2.02.</w:t>
      </w:r>
    </w:p>
    <w:p>
      <w:pPr>
        <w:spacing w:after="0" w:line="186" w:lineRule="exact"/>
        <w:rPr>
          <w:sz w:val="20"/>
          <w:szCs w:val="20"/>
          <w:color w:val="auto"/>
        </w:rPr>
      </w:pPr>
    </w:p>
    <w:p>
      <w:pPr>
        <w:ind w:left="420" w:right="159"/>
        <w:spacing w:after="0" w:line="235" w:lineRule="auto"/>
        <w:rPr>
          <w:sz w:val="20"/>
          <w:szCs w:val="20"/>
          <w:color w:val="auto"/>
        </w:rPr>
      </w:pPr>
      <w:r>
        <w:rPr>
          <w:rFonts w:ascii="Arial" w:cs="Arial" w:eastAsia="Arial" w:hAnsi="Arial"/>
          <w:sz w:val="22"/>
          <w:szCs w:val="22"/>
          <w:color w:val="auto"/>
        </w:rPr>
        <w:t>The information contained in this report under Item 2.02 is being furnished and shall not be deemed filed for purposes of Section 18 of the Securities Exchange Act of 1934, as amended (the “Exchange Act”), or otherwise subject to the liabilities of that section. The information contained in this report under Item 2.02 shall not be incorporated by reference into any registration statement or other document filed pursuant to the Securities Act of 1933, as amended, or the Exchange Act, except as shall be expressly set forth by specific reference in such filing.</w:t>
      </w:r>
    </w:p>
    <w:p>
      <w:pPr>
        <w:spacing w:after="0" w:line="188"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Item 9.01. </w:t>
      </w:r>
      <w:r>
        <w:rPr>
          <w:rFonts w:ascii="Arial" w:cs="Arial" w:eastAsia="Arial" w:hAnsi="Arial"/>
          <w:sz w:val="22"/>
          <w:szCs w:val="22"/>
          <w:u w:val="single" w:color="auto"/>
          <w:color w:val="auto"/>
        </w:rPr>
        <w:t>Financial Statements and Exhibits</w:t>
      </w:r>
    </w:p>
    <w:p>
      <w:pPr>
        <w:spacing w:after="0" w:line="206" w:lineRule="exact"/>
        <w:rPr>
          <w:sz w:val="20"/>
          <w:szCs w:val="20"/>
          <w:color w:val="auto"/>
        </w:rPr>
      </w:pPr>
    </w:p>
    <w:p>
      <w:pPr>
        <w:ind w:left="420"/>
        <w:spacing w:after="0"/>
        <w:rPr>
          <w:sz w:val="20"/>
          <w:szCs w:val="20"/>
          <w:color w:val="auto"/>
        </w:rPr>
      </w:pPr>
      <w:r>
        <w:rPr>
          <w:rFonts w:ascii="Arial" w:cs="Arial" w:eastAsia="Arial" w:hAnsi="Arial"/>
          <w:sz w:val="22"/>
          <w:szCs w:val="22"/>
          <w:color w:val="auto"/>
        </w:rPr>
        <w:t>(d) Exhibits</w:t>
      </w:r>
    </w:p>
    <w:p>
      <w:pPr>
        <w:spacing w:after="0" w:line="206" w:lineRule="exact"/>
        <w:rPr>
          <w:sz w:val="20"/>
          <w:szCs w:val="20"/>
          <w:color w:val="auto"/>
        </w:rPr>
      </w:pPr>
    </w:p>
    <w:p>
      <w:pPr>
        <w:ind w:left="420"/>
        <w:spacing w:after="0"/>
        <w:rPr>
          <w:sz w:val="20"/>
          <w:szCs w:val="20"/>
          <w:color w:val="auto"/>
        </w:rPr>
      </w:pPr>
      <w:r>
        <w:rPr>
          <w:rFonts w:ascii="Arial" w:cs="Arial" w:eastAsia="Arial" w:hAnsi="Arial"/>
          <w:sz w:val="22"/>
          <w:szCs w:val="22"/>
          <w:color w:val="auto"/>
        </w:rPr>
        <w:t>99.1 Press Release dated February 23,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596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0219"/>
          </w:cols>
          <w:pgMar w:left="240" w:top="118" w:right="1440" w:bottom="1440" w:gutter="0" w:footer="0" w:header="0"/>
        </w:sectPr>
      </w:pPr>
    </w:p>
    <w:bookmarkStart w:id="2" w:name="page3"/>
    <w:bookmarkEnd w:id="2"/>
    <w:p>
      <w:pPr>
        <w:jc w:val="center"/>
        <w:ind w:right="-679"/>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84" w:lineRule="exact"/>
        <w:rPr>
          <w:sz w:val="20"/>
          <w:szCs w:val="20"/>
          <w:color w:val="auto"/>
        </w:rPr>
      </w:pPr>
    </w:p>
    <w:p>
      <w:pPr>
        <w:ind w:left="5380"/>
        <w:spacing w:after="0"/>
        <w:rPr>
          <w:sz w:val="20"/>
          <w:szCs w:val="20"/>
          <w:color w:val="auto"/>
        </w:rPr>
      </w:pPr>
      <w:r>
        <w:rPr>
          <w:rFonts w:ascii="Arial" w:cs="Arial" w:eastAsia="Arial" w:hAnsi="Arial"/>
          <w:sz w:val="18"/>
          <w:szCs w:val="18"/>
          <w:color w:val="auto"/>
        </w:rPr>
        <w:t>GREATBATCH, INC.</w:t>
      </w:r>
    </w:p>
    <w:p>
      <w:pPr>
        <w:spacing w:after="0" w:line="279" w:lineRule="exact"/>
        <w:rPr>
          <w:sz w:val="20"/>
          <w:szCs w:val="20"/>
          <w:color w:val="auto"/>
        </w:rPr>
      </w:pPr>
    </w:p>
    <w:p>
      <w:pPr>
        <w:spacing w:after="0"/>
        <w:tabs>
          <w:tab w:leader="none" w:pos="800" w:val="left"/>
          <w:tab w:leader="none" w:pos="5360" w:val="left"/>
          <w:tab w:leader="none" w:pos="5800" w:val="left"/>
        </w:tabs>
        <w:rPr>
          <w:sz w:val="20"/>
          <w:szCs w:val="20"/>
          <w:color w:val="auto"/>
        </w:rPr>
      </w:pPr>
      <w:r>
        <w:rPr>
          <w:rFonts w:ascii="Arial" w:cs="Arial" w:eastAsia="Arial" w:hAnsi="Arial"/>
          <w:sz w:val="18"/>
          <w:szCs w:val="18"/>
          <w:color w:val="auto"/>
        </w:rPr>
        <w:t>Dated:</w:t>
      </w:r>
      <w:r>
        <w:rPr>
          <w:sz w:val="20"/>
          <w:szCs w:val="20"/>
          <w:color w:val="auto"/>
        </w:rPr>
        <w:tab/>
      </w:r>
      <w:r>
        <w:rPr>
          <w:rFonts w:ascii="Arial" w:cs="Arial" w:eastAsia="Arial" w:hAnsi="Arial"/>
          <w:sz w:val="18"/>
          <w:szCs w:val="18"/>
          <w:color w:val="auto"/>
        </w:rPr>
        <w:t>February 23, 2010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Thomas J. Mazza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23495</wp:posOffset>
            </wp:positionV>
            <wp:extent cx="289877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30"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Thomas J. Mazza</w:t>
      </w:r>
    </w:p>
    <w:p>
      <w:pPr>
        <w:spacing w:after="0" w:line="36"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Senior Vice President &amp; Chief Financial</w:t>
      </w:r>
    </w:p>
    <w:p>
      <w:pPr>
        <w:spacing w:after="0" w:line="36"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96520</wp:posOffset>
            </wp:positionV>
            <wp:extent cx="7272020" cy="596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0760"/>
          </w:cols>
          <w:pgMar w:left="240" w:top="125" w:right="899" w:bottom="1440" w:gutter="0" w:footer="0" w:header="0"/>
        </w:sectPr>
      </w:pPr>
    </w:p>
    <w:bookmarkStart w:id="3" w:name="page4"/>
    <w:bookmarkEnd w:id="3"/>
    <w:p>
      <w:pPr>
        <w:spacing w:after="0"/>
        <w:rPr>
          <w:sz w:val="20"/>
          <w:szCs w:val="20"/>
          <w:color w:val="auto"/>
        </w:rPr>
      </w:pPr>
      <w:r>
        <w:rPr>
          <w:rFonts w:ascii="Arial" w:cs="Arial" w:eastAsia="Arial" w:hAnsi="Arial"/>
          <w:sz w:val="18"/>
          <w:szCs w:val="18"/>
          <w:color w:val="auto"/>
        </w:rPr>
        <w:t>EXHIBIT</w:t>
      </w:r>
    </w:p>
    <w:p>
      <w:pPr>
        <w:spacing w:after="0" w:line="23" w:lineRule="exact"/>
        <w:rPr>
          <w:sz w:val="20"/>
          <w:szCs w:val="20"/>
          <w:color w:val="auto"/>
        </w:rPr>
      </w:pPr>
    </w:p>
    <w:p>
      <w:pPr>
        <w:spacing w:after="0"/>
        <w:tabs>
          <w:tab w:leader="none" w:pos="2860" w:val="left"/>
        </w:tabs>
        <w:rPr>
          <w:sz w:val="20"/>
          <w:szCs w:val="20"/>
          <w:color w:val="auto"/>
        </w:rPr>
      </w:pPr>
      <w:r>
        <w:rPr>
          <w:rFonts w:ascii="Arial" w:cs="Arial" w:eastAsia="Arial" w:hAnsi="Arial"/>
          <w:sz w:val="18"/>
          <w:szCs w:val="18"/>
          <w:u w:val="single" w:color="auto"/>
          <w:color w:val="auto"/>
        </w:rPr>
        <w:t>NUMBER</w:t>
      </w:r>
      <w:r>
        <w:rPr>
          <w:sz w:val="20"/>
          <w:szCs w:val="20"/>
          <w:color w:val="auto"/>
        </w:rPr>
        <w:tab/>
      </w:r>
      <w:r>
        <w:rPr>
          <w:rFonts w:ascii="Arial" w:cs="Arial" w:eastAsia="Arial" w:hAnsi="Arial"/>
          <w:sz w:val="18"/>
          <w:szCs w:val="18"/>
          <w:u w:val="single" w:color="auto"/>
          <w:color w:val="auto"/>
        </w:rPr>
        <w:t>DESCRIPTION</w:t>
      </w:r>
    </w:p>
    <w:p>
      <w:pPr>
        <w:spacing w:after="0" w:line="265" w:lineRule="exact"/>
        <w:rPr>
          <w:sz w:val="20"/>
          <w:szCs w:val="20"/>
          <w:color w:val="auto"/>
        </w:rPr>
      </w:pPr>
    </w:p>
    <w:p>
      <w:pPr>
        <w:spacing w:after="0"/>
        <w:tabs>
          <w:tab w:leader="none" w:pos="286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5"/>
          <w:szCs w:val="15"/>
          <w:color w:val="auto"/>
        </w:rPr>
        <w:t>Press Release of Greatbatch, Inc. dated February 23, 2010.</w:t>
      </w:r>
    </w:p>
    <w:p>
      <w:pPr>
        <w:sectPr>
          <w:pgSz w:w="11900" w:h="16838" w:orient="portrait"/>
          <w:cols w:equalWidth="0" w:num="1">
            <w:col w:w="10219"/>
          </w:cols>
          <w:pgMar w:left="240" w:top="139" w:right="1440" w:bottom="1440" w:gutter="0" w:footer="0" w:header="0"/>
        </w:sectPr>
      </w:pPr>
    </w:p>
    <w:bookmarkStart w:id="4" w:name="page5"/>
    <w:bookmarkEnd w:id="4"/>
    <w:p>
      <w:pPr>
        <w:jc w:val="right"/>
        <w:spacing w:after="0"/>
        <w:rPr>
          <w:sz w:val="20"/>
          <w:szCs w:val="20"/>
          <w:color w:val="auto"/>
        </w:rPr>
      </w:pPr>
      <w:r>
        <w:rPr>
          <w:rFonts w:ascii="Arial" w:cs="Arial" w:eastAsia="Arial" w:hAnsi="Arial"/>
          <w:sz w:val="22"/>
          <w:szCs w:val="22"/>
          <w:b w:val="1"/>
          <w:bCs w:val="1"/>
          <w:color w:val="auto"/>
        </w:rPr>
        <w:t>Exhibit 99.1</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Greatbatch, Inc. Reports 2009 Fourth Quarter and Full Year Results</w:t>
      </w:r>
    </w:p>
    <w:p>
      <w:pPr>
        <w:spacing w:after="0" w:line="212" w:lineRule="exact"/>
        <w:rPr>
          <w:sz w:val="20"/>
          <w:szCs w:val="20"/>
          <w:color w:val="auto"/>
        </w:rPr>
      </w:pPr>
    </w:p>
    <w:p>
      <w:pPr>
        <w:ind w:right="80"/>
        <w:spacing w:after="0" w:line="251" w:lineRule="auto"/>
        <w:rPr>
          <w:sz w:val="20"/>
          <w:szCs w:val="20"/>
          <w:color w:val="auto"/>
        </w:rPr>
      </w:pPr>
      <w:r>
        <w:rPr>
          <w:rFonts w:ascii="Arial" w:cs="Arial" w:eastAsia="Arial" w:hAnsi="Arial"/>
          <w:sz w:val="22"/>
          <w:szCs w:val="22"/>
          <w:color w:val="auto"/>
        </w:rPr>
        <w:t>CLARENCE, N.Y.--(BUSINESS WIRE)--February 23, 2010--Greatbatch, Inc. (NYSE: GB), today announced results for its fourth quarter and year ended January 1, 2010:</w:t>
      </w:r>
    </w:p>
    <w:p>
      <w:pPr>
        <w:spacing w:after="0" w:line="173"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Sales for 2009 fourth quarter were $125.8 million and $521.8 million for the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spacing w:after="0"/>
        <w:rPr>
          <w:sz w:val="20"/>
          <w:szCs w:val="20"/>
          <w:color w:val="auto"/>
        </w:rPr>
      </w:pPr>
      <w:r>
        <w:rPr>
          <w:rFonts w:ascii="Arial" w:cs="Arial" w:eastAsia="Arial" w:hAnsi="Arial"/>
          <w:sz w:val="22"/>
          <w:szCs w:val="22"/>
          <w:i w:val="1"/>
          <w:iCs w:val="1"/>
          <w:color w:val="auto"/>
        </w:rPr>
        <w:t>2008 results include an additional week of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-110490</wp:posOffset>
            </wp:positionV>
            <wp:extent cx="68580" cy="685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87" w:lineRule="exact"/>
        <w:rPr>
          <w:sz w:val="20"/>
          <w:szCs w:val="20"/>
          <w:color w:val="auto"/>
        </w:rPr>
      </w:pPr>
    </w:p>
    <w:p>
      <w:pPr>
        <w:ind w:left="540" w:right="460"/>
        <w:spacing w:after="0" w:line="251" w:lineRule="auto"/>
        <w:rPr>
          <w:sz w:val="20"/>
          <w:szCs w:val="20"/>
          <w:color w:val="auto"/>
        </w:rPr>
      </w:pPr>
      <w:r>
        <w:rPr>
          <w:rFonts w:ascii="Arial" w:cs="Arial" w:eastAsia="Arial" w:hAnsi="Arial"/>
          <w:sz w:val="22"/>
          <w:szCs w:val="22"/>
          <w:i w:val="1"/>
          <w:iCs w:val="1"/>
          <w:color w:val="auto"/>
        </w:rPr>
        <w:t>Adjusted operating margin of 13.1% for the 2009 fourth quarter driven by consolidation and cost cutting initiatives. The Company achieved its full year target of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-274320</wp:posOffset>
            </wp:positionV>
            <wp:extent cx="68580" cy="685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72" w:lineRule="exact"/>
        <w:rPr>
          <w:sz w:val="20"/>
          <w:szCs w:val="20"/>
          <w:color w:val="auto"/>
        </w:rPr>
      </w:pPr>
    </w:p>
    <w:p>
      <w:pPr>
        <w:ind w:left="540" w:right="300"/>
        <w:spacing w:after="0" w:line="258" w:lineRule="auto"/>
        <w:rPr>
          <w:sz w:val="20"/>
          <w:szCs w:val="20"/>
          <w:color w:val="auto"/>
        </w:rPr>
      </w:pPr>
      <w:r>
        <w:rPr>
          <w:rFonts w:ascii="Arial" w:cs="Arial" w:eastAsia="Arial" w:hAnsi="Arial"/>
          <w:sz w:val="21"/>
          <w:szCs w:val="21"/>
          <w:i w:val="1"/>
          <w:iCs w:val="1"/>
          <w:color w:val="auto"/>
        </w:rPr>
        <w:t>GAAP EPS for the 2009 fourth quarter of $0.07 loss per share impacted by a $16 million non-cash tradename write-down due to successful rebranding of the Company’s medical segment. On an adjusted basis, diluted EPS for the quarter were $0.40 per share. Adjusted diluted EPS were $1.52 per share for 2009 versus $1.40 for 2008.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-433070</wp:posOffset>
            </wp:positionV>
            <wp:extent cx="68580" cy="685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66"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Cash flows from operations of $72 million for 2009, a 26% increase over 2008.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000" w:type="dxa"/>
            <w:vAlign w:val="bottom"/>
          </w:tcPr>
          <w:p>
            <w:pPr>
              <w:spacing w:after="0"/>
              <w:rPr>
                <w:sz w:val="16"/>
                <w:szCs w:val="16"/>
                <w:color w:val="auto"/>
              </w:rPr>
            </w:pPr>
          </w:p>
        </w:tc>
        <w:tc>
          <w:tcPr>
            <w:tcW w:w="1500" w:type="dxa"/>
            <w:vAlign w:val="bottom"/>
          </w:tcPr>
          <w:p>
            <w:pPr>
              <w:spacing w:after="0"/>
              <w:rPr>
                <w:sz w:val="16"/>
                <w:szCs w:val="16"/>
                <w:color w:val="auto"/>
              </w:rPr>
            </w:pPr>
          </w:p>
        </w:tc>
        <w:tc>
          <w:tcPr>
            <w:tcW w:w="940" w:type="dxa"/>
            <w:vAlign w:val="bottom"/>
          </w:tcPr>
          <w:p>
            <w:pPr>
              <w:jc w:val="right"/>
              <w:ind w:right="348"/>
              <w:spacing w:after="0"/>
              <w:rPr>
                <w:sz w:val="20"/>
                <w:szCs w:val="20"/>
                <w:color w:val="auto"/>
              </w:rPr>
            </w:pPr>
            <w:r>
              <w:rPr>
                <w:rFonts w:ascii="Arial" w:cs="Arial" w:eastAsia="Arial" w:hAnsi="Arial"/>
                <w:sz w:val="14"/>
                <w:szCs w:val="14"/>
                <w:b w:val="1"/>
                <w:bCs w:val="1"/>
                <w:color w:val="auto"/>
              </w:rPr>
              <w:t>2009</w:t>
            </w:r>
          </w:p>
        </w:tc>
        <w:tc>
          <w:tcPr>
            <w:tcW w:w="420" w:type="dxa"/>
            <w:vAlign w:val="bottom"/>
          </w:tcPr>
          <w:p>
            <w:pPr>
              <w:spacing w:after="0"/>
              <w:rPr>
                <w:sz w:val="16"/>
                <w:szCs w:val="16"/>
                <w:color w:val="auto"/>
              </w:rPr>
            </w:pPr>
          </w:p>
        </w:tc>
        <w:tc>
          <w:tcPr>
            <w:tcW w:w="1200" w:type="dxa"/>
            <w:vAlign w:val="bottom"/>
          </w:tcPr>
          <w:p>
            <w:pPr>
              <w:jc w:val="right"/>
              <w:ind w:right="588"/>
              <w:spacing w:after="0"/>
              <w:rPr>
                <w:sz w:val="20"/>
                <w:szCs w:val="20"/>
                <w:color w:val="auto"/>
              </w:rPr>
            </w:pPr>
            <w:r>
              <w:rPr>
                <w:rFonts w:ascii="Arial" w:cs="Arial" w:eastAsia="Arial" w:hAnsi="Arial"/>
                <w:sz w:val="14"/>
                <w:szCs w:val="14"/>
                <w:b w:val="1"/>
                <w:bCs w:val="1"/>
                <w:color w:val="auto"/>
              </w:rPr>
              <w:t>2008</w:t>
            </w:r>
          </w:p>
        </w:tc>
        <w:tc>
          <w:tcPr>
            <w:tcW w:w="760" w:type="dxa"/>
            <w:vAlign w:val="bottom"/>
          </w:tcPr>
          <w:p>
            <w:pPr>
              <w:jc w:val="right"/>
              <w:ind w:right="208"/>
              <w:spacing w:after="0"/>
              <w:rPr>
                <w:sz w:val="20"/>
                <w:szCs w:val="20"/>
                <w:color w:val="auto"/>
              </w:rPr>
            </w:pPr>
            <w:r>
              <w:rPr>
                <w:rFonts w:ascii="Arial" w:cs="Arial" w:eastAsia="Arial" w:hAnsi="Arial"/>
                <w:sz w:val="14"/>
                <w:szCs w:val="14"/>
                <w:b w:val="1"/>
                <w:bCs w:val="1"/>
                <w:color w:val="auto"/>
              </w:rPr>
              <w:t>%</w:t>
            </w:r>
          </w:p>
        </w:tc>
        <w:tc>
          <w:tcPr>
            <w:tcW w:w="440" w:type="dxa"/>
            <w:vAlign w:val="bottom"/>
          </w:tcPr>
          <w:p>
            <w:pPr>
              <w:spacing w:after="0"/>
              <w:rPr>
                <w:sz w:val="16"/>
                <w:szCs w:val="16"/>
                <w:color w:val="auto"/>
              </w:rPr>
            </w:pPr>
          </w:p>
        </w:tc>
        <w:tc>
          <w:tcPr>
            <w:tcW w:w="1120" w:type="dxa"/>
            <w:vAlign w:val="bottom"/>
          </w:tcPr>
          <w:p>
            <w:pPr>
              <w:jc w:val="right"/>
              <w:ind w:right="468"/>
              <w:spacing w:after="0"/>
              <w:rPr>
                <w:sz w:val="20"/>
                <w:szCs w:val="20"/>
                <w:color w:val="auto"/>
              </w:rPr>
            </w:pPr>
            <w:r>
              <w:rPr>
                <w:rFonts w:ascii="Arial" w:cs="Arial" w:eastAsia="Arial" w:hAnsi="Arial"/>
                <w:sz w:val="14"/>
                <w:szCs w:val="14"/>
                <w:b w:val="1"/>
                <w:bCs w:val="1"/>
                <w:color w:val="auto"/>
              </w:rPr>
              <w:t>2009</w:t>
            </w:r>
          </w:p>
        </w:tc>
        <w:tc>
          <w:tcPr>
            <w:tcW w:w="1040" w:type="dxa"/>
            <w:vAlign w:val="bottom"/>
          </w:tcPr>
          <w:p>
            <w:pPr>
              <w:jc w:val="right"/>
              <w:ind w:right="328"/>
              <w:spacing w:after="0"/>
              <w:rPr>
                <w:sz w:val="20"/>
                <w:szCs w:val="20"/>
                <w:color w:val="auto"/>
              </w:rPr>
            </w:pPr>
            <w:r>
              <w:rPr>
                <w:rFonts w:ascii="Arial" w:cs="Arial" w:eastAsia="Arial" w:hAnsi="Arial"/>
                <w:sz w:val="14"/>
                <w:szCs w:val="14"/>
                <w:b w:val="1"/>
                <w:bCs w:val="1"/>
                <w:color w:val="auto"/>
              </w:rPr>
              <w:t>%</w:t>
            </w:r>
          </w:p>
        </w:tc>
      </w:tr>
      <w:tr>
        <w:trPr>
          <w:trHeight w:val="188"/>
        </w:trPr>
        <w:tc>
          <w:tcPr>
            <w:tcW w:w="400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(Dollars in thousands, except share data)</w:t>
            </w:r>
          </w:p>
        </w:tc>
        <w:tc>
          <w:tcPr>
            <w:tcW w:w="15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4th Qtr.</w:t>
            </w:r>
          </w:p>
        </w:tc>
        <w:tc>
          <w:tcPr>
            <w:tcW w:w="42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4th Qtr.**</w:t>
            </w:r>
          </w:p>
        </w:tc>
        <w:tc>
          <w:tcPr>
            <w:tcW w:w="7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Change</w:t>
            </w:r>
          </w:p>
        </w:tc>
        <w:tc>
          <w:tcPr>
            <w:tcW w:w="4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3rd Qtr.</w:t>
            </w:r>
          </w:p>
        </w:tc>
        <w:tc>
          <w:tcPr>
            <w:tcW w:w="104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Change</w:t>
            </w:r>
          </w:p>
        </w:tc>
      </w:tr>
      <w:tr>
        <w:trPr>
          <w:trHeight w:val="176"/>
        </w:trPr>
        <w:tc>
          <w:tcPr>
            <w:tcW w:w="4000" w:type="dxa"/>
            <w:vAlign w:val="bottom"/>
          </w:tcPr>
          <w:p>
            <w:pPr>
              <w:spacing w:after="0"/>
              <w:rPr>
                <w:sz w:val="20"/>
                <w:szCs w:val="20"/>
                <w:color w:val="auto"/>
              </w:rPr>
            </w:pPr>
            <w:r>
              <w:rPr>
                <w:rFonts w:ascii="Arial" w:cs="Arial" w:eastAsia="Arial" w:hAnsi="Arial"/>
                <w:sz w:val="14"/>
                <w:szCs w:val="14"/>
                <w:color w:val="auto"/>
              </w:rPr>
              <w:t>Revenue</w:t>
            </w:r>
          </w:p>
        </w:tc>
        <w:tc>
          <w:tcPr>
            <w:tcW w:w="15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88"/>
              <w:spacing w:after="0"/>
              <w:rPr>
                <w:sz w:val="20"/>
                <w:szCs w:val="20"/>
                <w:color w:val="auto"/>
              </w:rPr>
            </w:pPr>
            <w:r>
              <w:rPr>
                <w:rFonts w:ascii="Arial" w:cs="Arial" w:eastAsia="Arial" w:hAnsi="Arial"/>
                <w:sz w:val="14"/>
                <w:szCs w:val="14"/>
                <w:color w:val="auto"/>
              </w:rPr>
              <w:t>125,808</w:t>
            </w:r>
          </w:p>
        </w:tc>
        <w:tc>
          <w:tcPr>
            <w:tcW w:w="42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146,600</w:t>
            </w:r>
          </w:p>
        </w:tc>
        <w:tc>
          <w:tcPr>
            <w:tcW w:w="760" w:type="dxa"/>
            <w:vAlign w:val="bottom"/>
          </w:tcPr>
          <w:p>
            <w:pPr>
              <w:jc w:val="right"/>
              <w:spacing w:after="0"/>
              <w:rPr>
                <w:sz w:val="20"/>
                <w:szCs w:val="20"/>
                <w:color w:val="auto"/>
              </w:rPr>
            </w:pPr>
            <w:r>
              <w:rPr>
                <w:rFonts w:ascii="Arial" w:cs="Arial" w:eastAsia="Arial" w:hAnsi="Arial"/>
                <w:sz w:val="14"/>
                <w:szCs w:val="14"/>
                <w:color w:val="auto"/>
              </w:rPr>
              <w:t>-14%</w:t>
            </w:r>
          </w:p>
        </w:tc>
        <w:tc>
          <w:tcPr>
            <w:tcW w:w="440" w:type="dxa"/>
            <w:vAlign w:val="bottom"/>
          </w:tcPr>
          <w:p>
            <w:pPr>
              <w:jc w:val="right"/>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188"/>
              <w:spacing w:after="0"/>
              <w:rPr>
                <w:sz w:val="20"/>
                <w:szCs w:val="20"/>
                <w:color w:val="auto"/>
              </w:rPr>
            </w:pPr>
            <w:r>
              <w:rPr>
                <w:rFonts w:ascii="Arial" w:cs="Arial" w:eastAsia="Arial" w:hAnsi="Arial"/>
                <w:sz w:val="14"/>
                <w:szCs w:val="14"/>
                <w:color w:val="auto"/>
              </w:rPr>
              <w:t>121,470</w:t>
            </w:r>
          </w:p>
        </w:tc>
        <w:tc>
          <w:tcPr>
            <w:tcW w:w="1040" w:type="dxa"/>
            <w:vAlign w:val="bottom"/>
          </w:tcPr>
          <w:p>
            <w:pPr>
              <w:jc w:val="right"/>
              <w:ind w:right="128"/>
              <w:spacing w:after="0"/>
              <w:rPr>
                <w:sz w:val="20"/>
                <w:szCs w:val="20"/>
                <w:color w:val="auto"/>
              </w:rPr>
            </w:pPr>
            <w:r>
              <w:rPr>
                <w:rFonts w:ascii="Arial" w:cs="Arial" w:eastAsia="Arial" w:hAnsi="Arial"/>
                <w:sz w:val="14"/>
                <w:szCs w:val="14"/>
                <w:color w:val="auto"/>
              </w:rPr>
              <w:t>4%</w:t>
            </w:r>
          </w:p>
        </w:tc>
      </w:tr>
      <w:tr>
        <w:trPr>
          <w:trHeight w:val="339"/>
        </w:trPr>
        <w:tc>
          <w:tcPr>
            <w:tcW w:w="4000" w:type="dxa"/>
            <w:vAlign w:val="bottom"/>
          </w:tcPr>
          <w:p>
            <w:pPr>
              <w:spacing w:after="0"/>
              <w:rPr>
                <w:sz w:val="20"/>
                <w:szCs w:val="20"/>
                <w:color w:val="auto"/>
              </w:rPr>
            </w:pPr>
            <w:r>
              <w:rPr>
                <w:rFonts w:ascii="Arial" w:cs="Arial" w:eastAsia="Arial" w:hAnsi="Arial"/>
                <w:sz w:val="14"/>
                <w:szCs w:val="14"/>
                <w:color w:val="auto"/>
              </w:rPr>
              <w:t>GAAP Operating Income (Loss)</w:t>
            </w:r>
          </w:p>
        </w:tc>
        <w:tc>
          <w:tcPr>
            <w:tcW w:w="15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(2,287)</w:t>
            </w:r>
          </w:p>
        </w:tc>
        <w:tc>
          <w:tcPr>
            <w:tcW w:w="42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11,968</w:t>
            </w:r>
          </w:p>
        </w:tc>
        <w:tc>
          <w:tcPr>
            <w:tcW w:w="760" w:type="dxa"/>
            <w:vAlign w:val="bottom"/>
          </w:tcPr>
          <w:p>
            <w:pPr>
              <w:jc w:val="right"/>
              <w:spacing w:after="0"/>
              <w:rPr>
                <w:sz w:val="20"/>
                <w:szCs w:val="20"/>
                <w:color w:val="auto"/>
              </w:rPr>
            </w:pPr>
            <w:r>
              <w:rPr>
                <w:rFonts w:ascii="Arial" w:cs="Arial" w:eastAsia="Arial" w:hAnsi="Arial"/>
                <w:sz w:val="14"/>
                <w:szCs w:val="14"/>
                <w:color w:val="auto"/>
              </w:rPr>
              <w:t>-119%</w:t>
            </w:r>
          </w:p>
        </w:tc>
        <w:tc>
          <w:tcPr>
            <w:tcW w:w="440" w:type="dxa"/>
            <w:vAlign w:val="bottom"/>
          </w:tcPr>
          <w:p>
            <w:pPr>
              <w:jc w:val="right"/>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148"/>
              <w:spacing w:after="0"/>
              <w:rPr>
                <w:sz w:val="20"/>
                <w:szCs w:val="20"/>
                <w:color w:val="auto"/>
              </w:rPr>
            </w:pPr>
            <w:r>
              <w:rPr>
                <w:rFonts w:ascii="Arial" w:cs="Arial" w:eastAsia="Arial" w:hAnsi="Arial"/>
                <w:sz w:val="14"/>
                <w:szCs w:val="14"/>
                <w:color w:val="auto"/>
              </w:rPr>
              <w:t>(23,933)</w:t>
            </w:r>
          </w:p>
        </w:tc>
        <w:tc>
          <w:tcPr>
            <w:tcW w:w="1040" w:type="dxa"/>
            <w:vAlign w:val="bottom"/>
          </w:tcPr>
          <w:p>
            <w:pPr>
              <w:jc w:val="right"/>
              <w:spacing w:after="0"/>
              <w:rPr>
                <w:sz w:val="20"/>
                <w:szCs w:val="20"/>
                <w:color w:val="auto"/>
              </w:rPr>
            </w:pPr>
            <w:r>
              <w:rPr>
                <w:rFonts w:ascii="Arial" w:cs="Arial" w:eastAsia="Arial" w:hAnsi="Arial"/>
                <w:sz w:val="14"/>
                <w:szCs w:val="14"/>
                <w:color w:val="auto"/>
              </w:rPr>
              <w:t>NA</w:t>
            </w:r>
          </w:p>
        </w:tc>
      </w:tr>
      <w:tr>
        <w:trPr>
          <w:trHeight w:val="182"/>
        </w:trPr>
        <w:tc>
          <w:tcPr>
            <w:tcW w:w="4000" w:type="dxa"/>
            <w:vAlign w:val="bottom"/>
          </w:tcPr>
          <w:p>
            <w:pPr>
              <w:spacing w:after="0"/>
              <w:rPr>
                <w:sz w:val="20"/>
                <w:szCs w:val="20"/>
                <w:color w:val="auto"/>
              </w:rPr>
            </w:pPr>
            <w:r>
              <w:rPr>
                <w:rFonts w:ascii="Arial" w:cs="Arial" w:eastAsia="Arial" w:hAnsi="Arial"/>
                <w:sz w:val="14"/>
                <w:szCs w:val="14"/>
                <w:color w:val="auto"/>
              </w:rPr>
              <w:t>GAAP Operating Income (Loss) as % of Sales</w:t>
            </w:r>
          </w:p>
        </w:tc>
        <w:tc>
          <w:tcPr>
            <w:tcW w:w="150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-1.8%</w:t>
            </w:r>
          </w:p>
        </w:tc>
        <w:tc>
          <w:tcPr>
            <w:tcW w:w="420" w:type="dxa"/>
            <w:vAlign w:val="bottom"/>
          </w:tcPr>
          <w:p>
            <w:pPr>
              <w:spacing w:after="0"/>
              <w:rPr>
                <w:sz w:val="15"/>
                <w:szCs w:val="15"/>
                <w:color w:val="auto"/>
              </w:rPr>
            </w:pPr>
          </w:p>
        </w:tc>
        <w:tc>
          <w:tcPr>
            <w:tcW w:w="1200" w:type="dxa"/>
            <w:vAlign w:val="bottom"/>
          </w:tcPr>
          <w:p>
            <w:pPr>
              <w:jc w:val="right"/>
              <w:ind w:right="208"/>
              <w:spacing w:after="0"/>
              <w:rPr>
                <w:sz w:val="20"/>
                <w:szCs w:val="20"/>
                <w:color w:val="auto"/>
              </w:rPr>
            </w:pPr>
            <w:r>
              <w:rPr>
                <w:rFonts w:ascii="Arial" w:cs="Arial" w:eastAsia="Arial" w:hAnsi="Arial"/>
                <w:sz w:val="14"/>
                <w:szCs w:val="14"/>
                <w:color w:val="auto"/>
              </w:rPr>
              <w:t>8.2%</w:t>
            </w:r>
          </w:p>
        </w:tc>
        <w:tc>
          <w:tcPr>
            <w:tcW w:w="760" w:type="dxa"/>
            <w:vAlign w:val="bottom"/>
          </w:tcPr>
          <w:p>
            <w:pPr>
              <w:jc w:val="right"/>
              <w:spacing w:after="0"/>
              <w:rPr>
                <w:sz w:val="20"/>
                <w:szCs w:val="20"/>
                <w:color w:val="auto"/>
              </w:rPr>
            </w:pPr>
            <w:r>
              <w:rPr>
                <w:rFonts w:ascii="Arial" w:cs="Arial" w:eastAsia="Arial" w:hAnsi="Arial"/>
                <w:sz w:val="14"/>
                <w:szCs w:val="14"/>
                <w:color w:val="auto"/>
              </w:rPr>
              <w:t>-10.0%</w:t>
            </w:r>
          </w:p>
        </w:tc>
        <w:tc>
          <w:tcPr>
            <w:tcW w:w="440" w:type="dxa"/>
            <w:vAlign w:val="bottom"/>
          </w:tcPr>
          <w:p>
            <w:pPr>
              <w:spacing w:after="0"/>
              <w:rPr>
                <w:sz w:val="15"/>
                <w:szCs w:val="15"/>
                <w:color w:val="auto"/>
              </w:rPr>
            </w:pPr>
          </w:p>
        </w:tc>
        <w:tc>
          <w:tcPr>
            <w:tcW w:w="1120" w:type="dxa"/>
            <w:vAlign w:val="bottom"/>
          </w:tcPr>
          <w:p>
            <w:pPr>
              <w:jc w:val="right"/>
              <w:ind w:right="88"/>
              <w:spacing w:after="0"/>
              <w:rPr>
                <w:sz w:val="20"/>
                <w:szCs w:val="20"/>
                <w:color w:val="auto"/>
              </w:rPr>
            </w:pPr>
            <w:r>
              <w:rPr>
                <w:rFonts w:ascii="Arial" w:cs="Arial" w:eastAsia="Arial" w:hAnsi="Arial"/>
                <w:sz w:val="14"/>
                <w:szCs w:val="14"/>
                <w:color w:val="auto"/>
              </w:rPr>
              <w:t>-19.7%</w:t>
            </w:r>
          </w:p>
        </w:tc>
        <w:tc>
          <w:tcPr>
            <w:tcW w:w="1040" w:type="dxa"/>
            <w:vAlign w:val="bottom"/>
          </w:tcPr>
          <w:p>
            <w:pPr>
              <w:jc w:val="right"/>
              <w:ind w:right="128"/>
              <w:spacing w:after="0"/>
              <w:rPr>
                <w:sz w:val="20"/>
                <w:szCs w:val="20"/>
                <w:color w:val="auto"/>
              </w:rPr>
            </w:pPr>
            <w:r>
              <w:rPr>
                <w:rFonts w:ascii="Arial" w:cs="Arial" w:eastAsia="Arial" w:hAnsi="Arial"/>
                <w:sz w:val="14"/>
                <w:szCs w:val="14"/>
                <w:color w:val="auto"/>
              </w:rPr>
              <w:t>17.9%</w:t>
            </w:r>
          </w:p>
        </w:tc>
      </w:tr>
      <w:tr>
        <w:trPr>
          <w:trHeight w:val="344"/>
        </w:trPr>
        <w:tc>
          <w:tcPr>
            <w:tcW w:w="4000" w:type="dxa"/>
            <w:vAlign w:val="bottom"/>
          </w:tcPr>
          <w:p>
            <w:pPr>
              <w:spacing w:after="0"/>
              <w:rPr>
                <w:sz w:val="20"/>
                <w:szCs w:val="20"/>
                <w:color w:val="auto"/>
              </w:rPr>
            </w:pPr>
            <w:r>
              <w:rPr>
                <w:rFonts w:ascii="Arial" w:cs="Arial" w:eastAsia="Arial" w:hAnsi="Arial"/>
                <w:sz w:val="14"/>
                <w:szCs w:val="14"/>
                <w:color w:val="auto"/>
              </w:rPr>
              <w:t>Adjusted Operating Income*</w:t>
            </w:r>
          </w:p>
        </w:tc>
        <w:tc>
          <w:tcPr>
            <w:tcW w:w="15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88"/>
              <w:spacing w:after="0"/>
              <w:rPr>
                <w:sz w:val="20"/>
                <w:szCs w:val="20"/>
                <w:color w:val="auto"/>
              </w:rPr>
            </w:pPr>
            <w:r>
              <w:rPr>
                <w:rFonts w:ascii="Arial" w:cs="Arial" w:eastAsia="Arial" w:hAnsi="Arial"/>
                <w:sz w:val="14"/>
                <w:szCs w:val="14"/>
                <w:color w:val="auto"/>
              </w:rPr>
              <w:t>16,422</w:t>
            </w:r>
          </w:p>
        </w:tc>
        <w:tc>
          <w:tcPr>
            <w:tcW w:w="42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19,072</w:t>
            </w:r>
          </w:p>
        </w:tc>
        <w:tc>
          <w:tcPr>
            <w:tcW w:w="760" w:type="dxa"/>
            <w:vAlign w:val="bottom"/>
          </w:tcPr>
          <w:p>
            <w:pPr>
              <w:jc w:val="right"/>
              <w:spacing w:after="0"/>
              <w:rPr>
                <w:sz w:val="20"/>
                <w:szCs w:val="20"/>
                <w:color w:val="auto"/>
              </w:rPr>
            </w:pPr>
            <w:r>
              <w:rPr>
                <w:rFonts w:ascii="Arial" w:cs="Arial" w:eastAsia="Arial" w:hAnsi="Arial"/>
                <w:sz w:val="14"/>
                <w:szCs w:val="14"/>
                <w:color w:val="auto"/>
              </w:rPr>
              <w:t>-14%</w:t>
            </w:r>
          </w:p>
        </w:tc>
        <w:tc>
          <w:tcPr>
            <w:tcW w:w="440" w:type="dxa"/>
            <w:vAlign w:val="bottom"/>
          </w:tcPr>
          <w:p>
            <w:pPr>
              <w:jc w:val="right"/>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188"/>
              <w:spacing w:after="0"/>
              <w:rPr>
                <w:sz w:val="20"/>
                <w:szCs w:val="20"/>
                <w:color w:val="auto"/>
              </w:rPr>
            </w:pPr>
            <w:r>
              <w:rPr>
                <w:rFonts w:ascii="Arial" w:cs="Arial" w:eastAsia="Arial" w:hAnsi="Arial"/>
                <w:sz w:val="14"/>
                <w:szCs w:val="14"/>
                <w:color w:val="auto"/>
              </w:rPr>
              <w:t>13,646</w:t>
            </w:r>
          </w:p>
        </w:tc>
        <w:tc>
          <w:tcPr>
            <w:tcW w:w="1040" w:type="dxa"/>
            <w:vAlign w:val="bottom"/>
          </w:tcPr>
          <w:p>
            <w:pPr>
              <w:jc w:val="right"/>
              <w:ind w:right="128"/>
              <w:spacing w:after="0"/>
              <w:rPr>
                <w:sz w:val="20"/>
                <w:szCs w:val="20"/>
                <w:color w:val="auto"/>
              </w:rPr>
            </w:pPr>
            <w:r>
              <w:rPr>
                <w:rFonts w:ascii="Arial" w:cs="Arial" w:eastAsia="Arial" w:hAnsi="Arial"/>
                <w:sz w:val="14"/>
                <w:szCs w:val="14"/>
                <w:color w:val="auto"/>
              </w:rPr>
              <w:t>20%</w:t>
            </w:r>
          </w:p>
        </w:tc>
      </w:tr>
      <w:tr>
        <w:trPr>
          <w:trHeight w:val="182"/>
        </w:trPr>
        <w:tc>
          <w:tcPr>
            <w:tcW w:w="4000" w:type="dxa"/>
            <w:vAlign w:val="bottom"/>
          </w:tcPr>
          <w:p>
            <w:pPr>
              <w:spacing w:after="0"/>
              <w:rPr>
                <w:sz w:val="20"/>
                <w:szCs w:val="20"/>
                <w:color w:val="auto"/>
              </w:rPr>
            </w:pPr>
            <w:r>
              <w:rPr>
                <w:rFonts w:ascii="Arial" w:cs="Arial" w:eastAsia="Arial" w:hAnsi="Arial"/>
                <w:sz w:val="14"/>
                <w:szCs w:val="14"/>
                <w:color w:val="auto"/>
              </w:rPr>
              <w:t>Adjusted Operating Income as % of Sales</w:t>
            </w:r>
          </w:p>
        </w:tc>
        <w:tc>
          <w:tcPr>
            <w:tcW w:w="150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13.1%</w:t>
            </w:r>
          </w:p>
        </w:tc>
        <w:tc>
          <w:tcPr>
            <w:tcW w:w="420" w:type="dxa"/>
            <w:vAlign w:val="bottom"/>
          </w:tcPr>
          <w:p>
            <w:pPr>
              <w:spacing w:after="0"/>
              <w:rPr>
                <w:sz w:val="15"/>
                <w:szCs w:val="15"/>
                <w:color w:val="auto"/>
              </w:rPr>
            </w:pPr>
          </w:p>
        </w:tc>
        <w:tc>
          <w:tcPr>
            <w:tcW w:w="1200" w:type="dxa"/>
            <w:vAlign w:val="bottom"/>
          </w:tcPr>
          <w:p>
            <w:pPr>
              <w:jc w:val="right"/>
              <w:ind w:right="208"/>
              <w:spacing w:after="0"/>
              <w:rPr>
                <w:sz w:val="20"/>
                <w:szCs w:val="20"/>
                <w:color w:val="auto"/>
              </w:rPr>
            </w:pPr>
            <w:r>
              <w:rPr>
                <w:rFonts w:ascii="Arial" w:cs="Arial" w:eastAsia="Arial" w:hAnsi="Arial"/>
                <w:sz w:val="14"/>
                <w:szCs w:val="14"/>
                <w:color w:val="auto"/>
              </w:rPr>
              <w:t>13.0%</w:t>
            </w:r>
          </w:p>
        </w:tc>
        <w:tc>
          <w:tcPr>
            <w:tcW w:w="760" w:type="dxa"/>
            <w:vAlign w:val="bottom"/>
          </w:tcPr>
          <w:p>
            <w:pPr>
              <w:jc w:val="right"/>
              <w:spacing w:after="0"/>
              <w:rPr>
                <w:sz w:val="20"/>
                <w:szCs w:val="20"/>
                <w:color w:val="auto"/>
              </w:rPr>
            </w:pPr>
            <w:r>
              <w:rPr>
                <w:rFonts w:ascii="Arial" w:cs="Arial" w:eastAsia="Arial" w:hAnsi="Arial"/>
                <w:sz w:val="14"/>
                <w:szCs w:val="14"/>
                <w:color w:val="auto"/>
              </w:rPr>
              <w:t>0.1%</w:t>
            </w:r>
          </w:p>
        </w:tc>
        <w:tc>
          <w:tcPr>
            <w:tcW w:w="440" w:type="dxa"/>
            <w:vAlign w:val="bottom"/>
          </w:tcPr>
          <w:p>
            <w:pPr>
              <w:spacing w:after="0"/>
              <w:rPr>
                <w:sz w:val="15"/>
                <w:szCs w:val="15"/>
                <w:color w:val="auto"/>
              </w:rPr>
            </w:pPr>
          </w:p>
        </w:tc>
        <w:tc>
          <w:tcPr>
            <w:tcW w:w="1120" w:type="dxa"/>
            <w:vAlign w:val="bottom"/>
          </w:tcPr>
          <w:p>
            <w:pPr>
              <w:jc w:val="right"/>
              <w:ind w:right="88"/>
              <w:spacing w:after="0"/>
              <w:rPr>
                <w:sz w:val="20"/>
                <w:szCs w:val="20"/>
                <w:color w:val="auto"/>
              </w:rPr>
            </w:pPr>
            <w:r>
              <w:rPr>
                <w:rFonts w:ascii="Arial" w:cs="Arial" w:eastAsia="Arial" w:hAnsi="Arial"/>
                <w:sz w:val="14"/>
                <w:szCs w:val="14"/>
                <w:color w:val="auto"/>
              </w:rPr>
              <w:t>11.2%</w:t>
            </w:r>
          </w:p>
        </w:tc>
        <w:tc>
          <w:tcPr>
            <w:tcW w:w="1040" w:type="dxa"/>
            <w:vAlign w:val="bottom"/>
          </w:tcPr>
          <w:p>
            <w:pPr>
              <w:jc w:val="right"/>
              <w:ind w:right="128"/>
              <w:spacing w:after="0"/>
              <w:rPr>
                <w:sz w:val="20"/>
                <w:szCs w:val="20"/>
                <w:color w:val="auto"/>
              </w:rPr>
            </w:pPr>
            <w:r>
              <w:rPr>
                <w:rFonts w:ascii="Arial" w:cs="Arial" w:eastAsia="Arial" w:hAnsi="Arial"/>
                <w:sz w:val="14"/>
                <w:szCs w:val="14"/>
                <w:color w:val="auto"/>
              </w:rPr>
              <w:t>1.9%</w:t>
            </w:r>
          </w:p>
        </w:tc>
      </w:tr>
      <w:tr>
        <w:trPr>
          <w:trHeight w:val="344"/>
        </w:trPr>
        <w:tc>
          <w:tcPr>
            <w:tcW w:w="4000" w:type="dxa"/>
            <w:vAlign w:val="bottom"/>
          </w:tcPr>
          <w:p>
            <w:pPr>
              <w:spacing w:after="0"/>
              <w:rPr>
                <w:sz w:val="20"/>
                <w:szCs w:val="20"/>
                <w:color w:val="auto"/>
              </w:rPr>
            </w:pPr>
            <w:r>
              <w:rPr>
                <w:rFonts w:ascii="Arial" w:cs="Arial" w:eastAsia="Arial" w:hAnsi="Arial"/>
                <w:sz w:val="14"/>
                <w:szCs w:val="14"/>
                <w:color w:val="auto"/>
              </w:rPr>
              <w:t>GAAP Diluted EPS</w:t>
            </w:r>
          </w:p>
        </w:tc>
        <w:tc>
          <w:tcPr>
            <w:tcW w:w="15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(0.07)</w:t>
            </w:r>
          </w:p>
        </w:tc>
        <w:tc>
          <w:tcPr>
            <w:tcW w:w="42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0.31</w:t>
            </w:r>
          </w:p>
        </w:tc>
        <w:tc>
          <w:tcPr>
            <w:tcW w:w="760" w:type="dxa"/>
            <w:vAlign w:val="bottom"/>
          </w:tcPr>
          <w:p>
            <w:pPr>
              <w:jc w:val="right"/>
              <w:spacing w:after="0"/>
              <w:rPr>
                <w:sz w:val="20"/>
                <w:szCs w:val="20"/>
                <w:color w:val="auto"/>
              </w:rPr>
            </w:pPr>
            <w:r>
              <w:rPr>
                <w:rFonts w:ascii="Arial" w:cs="Arial" w:eastAsia="Arial" w:hAnsi="Arial"/>
                <w:sz w:val="14"/>
                <w:szCs w:val="14"/>
                <w:color w:val="auto"/>
              </w:rPr>
              <w:t>-123%</w:t>
            </w:r>
          </w:p>
        </w:tc>
        <w:tc>
          <w:tcPr>
            <w:tcW w:w="440" w:type="dxa"/>
            <w:vAlign w:val="bottom"/>
          </w:tcPr>
          <w:p>
            <w:pPr>
              <w:jc w:val="right"/>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148"/>
              <w:spacing w:after="0"/>
              <w:rPr>
                <w:sz w:val="20"/>
                <w:szCs w:val="20"/>
                <w:color w:val="auto"/>
              </w:rPr>
            </w:pPr>
            <w:r>
              <w:rPr>
                <w:rFonts w:ascii="Arial" w:cs="Arial" w:eastAsia="Arial" w:hAnsi="Arial"/>
                <w:sz w:val="14"/>
                <w:szCs w:val="14"/>
                <w:color w:val="auto"/>
              </w:rPr>
              <w:t>(0.90)</w:t>
            </w:r>
          </w:p>
        </w:tc>
        <w:tc>
          <w:tcPr>
            <w:tcW w:w="1040" w:type="dxa"/>
            <w:vAlign w:val="bottom"/>
          </w:tcPr>
          <w:p>
            <w:pPr>
              <w:jc w:val="right"/>
              <w:spacing w:after="0"/>
              <w:rPr>
                <w:sz w:val="20"/>
                <w:szCs w:val="20"/>
                <w:color w:val="auto"/>
              </w:rPr>
            </w:pPr>
            <w:r>
              <w:rPr>
                <w:rFonts w:ascii="Arial" w:cs="Arial" w:eastAsia="Arial" w:hAnsi="Arial"/>
                <w:sz w:val="14"/>
                <w:szCs w:val="14"/>
                <w:color w:val="auto"/>
              </w:rPr>
              <w:t>NA</w:t>
            </w:r>
          </w:p>
        </w:tc>
      </w:tr>
      <w:tr>
        <w:trPr>
          <w:trHeight w:val="182"/>
        </w:trPr>
        <w:tc>
          <w:tcPr>
            <w:tcW w:w="4000" w:type="dxa"/>
            <w:vAlign w:val="bottom"/>
          </w:tcPr>
          <w:p>
            <w:pPr>
              <w:spacing w:after="0"/>
              <w:rPr>
                <w:sz w:val="20"/>
                <w:szCs w:val="20"/>
                <w:color w:val="auto"/>
              </w:rPr>
            </w:pPr>
            <w:r>
              <w:rPr>
                <w:rFonts w:ascii="Arial" w:cs="Arial" w:eastAsia="Arial" w:hAnsi="Arial"/>
                <w:sz w:val="14"/>
                <w:szCs w:val="14"/>
                <w:color w:val="auto"/>
              </w:rPr>
              <w:t>Adjusted Diluted EPS*</w:t>
            </w:r>
          </w:p>
        </w:tc>
        <w:tc>
          <w:tcPr>
            <w:tcW w:w="15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88"/>
              <w:spacing w:after="0"/>
              <w:rPr>
                <w:sz w:val="20"/>
                <w:szCs w:val="20"/>
                <w:color w:val="auto"/>
              </w:rPr>
            </w:pPr>
            <w:r>
              <w:rPr>
                <w:rFonts w:ascii="Arial" w:cs="Arial" w:eastAsia="Arial" w:hAnsi="Arial"/>
                <w:sz w:val="14"/>
                <w:szCs w:val="14"/>
                <w:color w:val="auto"/>
              </w:rPr>
              <w:t>0.40</w:t>
            </w:r>
          </w:p>
        </w:tc>
        <w:tc>
          <w:tcPr>
            <w:tcW w:w="42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328"/>
              <w:spacing w:after="0"/>
              <w:rPr>
                <w:sz w:val="20"/>
                <w:szCs w:val="20"/>
                <w:color w:val="auto"/>
              </w:rPr>
            </w:pPr>
            <w:r>
              <w:rPr>
                <w:rFonts w:ascii="Arial" w:cs="Arial" w:eastAsia="Arial" w:hAnsi="Arial"/>
                <w:sz w:val="14"/>
                <w:szCs w:val="14"/>
                <w:color w:val="auto"/>
              </w:rPr>
              <w:t>0.50</w:t>
            </w:r>
          </w:p>
        </w:tc>
        <w:tc>
          <w:tcPr>
            <w:tcW w:w="760" w:type="dxa"/>
            <w:vAlign w:val="bottom"/>
          </w:tcPr>
          <w:p>
            <w:pPr>
              <w:jc w:val="right"/>
              <w:spacing w:after="0"/>
              <w:rPr>
                <w:sz w:val="20"/>
                <w:szCs w:val="20"/>
                <w:color w:val="auto"/>
              </w:rPr>
            </w:pPr>
            <w:r>
              <w:rPr>
                <w:rFonts w:ascii="Arial" w:cs="Arial" w:eastAsia="Arial" w:hAnsi="Arial"/>
                <w:sz w:val="14"/>
                <w:szCs w:val="14"/>
                <w:color w:val="auto"/>
              </w:rPr>
              <w:t>-20%</w:t>
            </w:r>
          </w:p>
        </w:tc>
        <w:tc>
          <w:tcPr>
            <w:tcW w:w="440" w:type="dxa"/>
            <w:vAlign w:val="bottom"/>
          </w:tcPr>
          <w:p>
            <w:pPr>
              <w:jc w:val="right"/>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188"/>
              <w:spacing w:after="0"/>
              <w:rPr>
                <w:sz w:val="20"/>
                <w:szCs w:val="20"/>
                <w:color w:val="auto"/>
              </w:rPr>
            </w:pPr>
            <w:r>
              <w:rPr>
                <w:rFonts w:ascii="Arial" w:cs="Arial" w:eastAsia="Arial" w:hAnsi="Arial"/>
                <w:sz w:val="14"/>
                <w:szCs w:val="14"/>
                <w:color w:val="auto"/>
              </w:rPr>
              <w:t>0.32</w:t>
            </w:r>
          </w:p>
        </w:tc>
        <w:tc>
          <w:tcPr>
            <w:tcW w:w="1040" w:type="dxa"/>
            <w:vAlign w:val="bottom"/>
          </w:tcPr>
          <w:p>
            <w:pPr>
              <w:jc w:val="right"/>
              <w:ind w:right="128"/>
              <w:spacing w:after="0"/>
              <w:rPr>
                <w:sz w:val="20"/>
                <w:szCs w:val="20"/>
                <w:color w:val="auto"/>
              </w:rPr>
            </w:pPr>
            <w:r>
              <w:rPr>
                <w:rFonts w:ascii="Arial" w:cs="Arial" w:eastAsia="Arial" w:hAnsi="Arial"/>
                <w:sz w:val="14"/>
                <w:szCs w:val="14"/>
                <w:color w:val="auto"/>
              </w:rPr>
              <w:t>25%</w:t>
            </w:r>
          </w:p>
        </w:tc>
      </w:tr>
      <w:tr>
        <w:trPr>
          <w:trHeight w:val="311"/>
        </w:trPr>
        <w:tc>
          <w:tcPr>
            <w:tcW w:w="40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0" w:type="dxa"/>
            <w:vAlign w:val="bottom"/>
          </w:tcPr>
          <w:p>
            <w:pPr>
              <w:ind w:left="220"/>
              <w:spacing w:after="0"/>
              <w:rPr>
                <w:sz w:val="20"/>
                <w:szCs w:val="20"/>
                <w:color w:val="auto"/>
              </w:rPr>
            </w:pPr>
            <w:r>
              <w:rPr>
                <w:rFonts w:ascii="Arial" w:cs="Arial" w:eastAsia="Arial" w:hAnsi="Arial"/>
                <w:sz w:val="14"/>
                <w:szCs w:val="14"/>
                <w:b w:val="1"/>
                <w:bCs w:val="1"/>
                <w:color w:val="auto"/>
              </w:rPr>
              <w:t>2009</w:t>
            </w:r>
          </w:p>
        </w:tc>
        <w:tc>
          <w:tcPr>
            <w:tcW w:w="760" w:type="dxa"/>
            <w:vAlign w:val="bottom"/>
          </w:tcPr>
          <w:p>
            <w:pPr>
              <w:spacing w:after="0"/>
              <w:rPr>
                <w:sz w:val="24"/>
                <w:szCs w:val="24"/>
                <w:color w:val="auto"/>
              </w:rPr>
            </w:pPr>
          </w:p>
        </w:tc>
        <w:tc>
          <w:tcPr>
            <w:tcW w:w="440" w:type="dxa"/>
            <w:vAlign w:val="bottom"/>
          </w:tcPr>
          <w:p>
            <w:pPr>
              <w:jc w:val="right"/>
              <w:spacing w:after="0"/>
              <w:rPr>
                <w:sz w:val="20"/>
                <w:szCs w:val="20"/>
                <w:color w:val="auto"/>
              </w:rPr>
            </w:pPr>
            <w:r>
              <w:rPr>
                <w:rFonts w:ascii="Arial" w:cs="Arial" w:eastAsia="Arial" w:hAnsi="Arial"/>
                <w:sz w:val="14"/>
                <w:szCs w:val="14"/>
                <w:b w:val="1"/>
                <w:bCs w:val="1"/>
                <w:color w:val="auto"/>
              </w:rPr>
              <w:t>2008</w:t>
            </w:r>
          </w:p>
        </w:tc>
        <w:tc>
          <w:tcPr>
            <w:tcW w:w="1120" w:type="dxa"/>
            <w:vAlign w:val="bottom"/>
          </w:tcPr>
          <w:p>
            <w:pPr>
              <w:spacing w:after="0"/>
              <w:rPr>
                <w:sz w:val="24"/>
                <w:szCs w:val="24"/>
                <w:color w:val="auto"/>
              </w:rPr>
            </w:pPr>
          </w:p>
        </w:tc>
        <w:tc>
          <w:tcPr>
            <w:tcW w:w="1040" w:type="dxa"/>
            <w:vAlign w:val="bottom"/>
          </w:tcPr>
          <w:p>
            <w:pPr>
              <w:jc w:val="right"/>
              <w:ind w:right="488"/>
              <w:spacing w:after="0"/>
              <w:rPr>
                <w:sz w:val="20"/>
                <w:szCs w:val="20"/>
                <w:color w:val="auto"/>
              </w:rPr>
            </w:pPr>
            <w:r>
              <w:rPr>
                <w:rFonts w:ascii="Arial" w:cs="Arial" w:eastAsia="Arial" w:hAnsi="Arial"/>
                <w:sz w:val="14"/>
                <w:szCs w:val="14"/>
                <w:b w:val="1"/>
                <w:bCs w:val="1"/>
                <w:color w:val="auto"/>
              </w:rPr>
              <w:t>%</w:t>
            </w:r>
          </w:p>
        </w:tc>
      </w:tr>
      <w:tr>
        <w:trPr>
          <w:trHeight w:val="188"/>
        </w:trPr>
        <w:tc>
          <w:tcPr>
            <w:tcW w:w="400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(Dollars in thousands, except share data)</w:t>
            </w:r>
          </w:p>
        </w:tc>
        <w:tc>
          <w:tcPr>
            <w:tcW w:w="15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ind w:left="220"/>
              <w:spacing w:after="0"/>
              <w:rPr>
                <w:sz w:val="20"/>
                <w:szCs w:val="20"/>
                <w:color w:val="auto"/>
              </w:rPr>
            </w:pPr>
            <w:r>
              <w:rPr>
                <w:rFonts w:ascii="Arial" w:cs="Arial" w:eastAsia="Arial" w:hAnsi="Arial"/>
                <w:sz w:val="14"/>
                <w:szCs w:val="14"/>
                <w:b w:val="1"/>
                <w:bCs w:val="1"/>
                <w:color w:val="auto"/>
              </w:rPr>
              <w:t>Year</w:t>
            </w:r>
          </w:p>
        </w:tc>
        <w:tc>
          <w:tcPr>
            <w:tcW w:w="76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gridSpan w:val="2"/>
          </w:tcPr>
          <w:p>
            <w:pPr>
              <w:jc w:val="right"/>
              <w:ind w:right="988"/>
              <w:spacing w:after="0"/>
              <w:rPr>
                <w:sz w:val="20"/>
                <w:szCs w:val="20"/>
                <w:color w:val="auto"/>
              </w:rPr>
            </w:pPr>
            <w:r>
              <w:rPr>
                <w:rFonts w:ascii="Arial" w:cs="Arial" w:eastAsia="Arial" w:hAnsi="Arial"/>
                <w:sz w:val="14"/>
                <w:szCs w:val="14"/>
                <w:b w:val="1"/>
                <w:bCs w:val="1"/>
                <w:color w:val="auto"/>
              </w:rPr>
              <w:t>Year**</w:t>
            </w:r>
          </w:p>
        </w:tc>
        <w:tc>
          <w:tcPr>
            <w:tcW w:w="104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Change</w:t>
            </w:r>
          </w:p>
        </w:tc>
      </w:tr>
      <w:tr>
        <w:trPr>
          <w:trHeight w:val="176"/>
        </w:trPr>
        <w:tc>
          <w:tcPr>
            <w:tcW w:w="4000" w:type="dxa"/>
            <w:vAlign w:val="bottom"/>
          </w:tcPr>
          <w:p>
            <w:pPr>
              <w:spacing w:after="0"/>
              <w:rPr>
                <w:sz w:val="20"/>
                <w:szCs w:val="20"/>
                <w:color w:val="auto"/>
              </w:rPr>
            </w:pPr>
            <w:r>
              <w:rPr>
                <w:rFonts w:ascii="Arial" w:cs="Arial" w:eastAsia="Arial" w:hAnsi="Arial"/>
                <w:sz w:val="14"/>
                <w:szCs w:val="14"/>
                <w:color w:val="auto"/>
              </w:rPr>
              <w:t>Revenue</w:t>
            </w:r>
          </w:p>
        </w:tc>
        <w:tc>
          <w:tcPr>
            <w:tcW w:w="15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42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208"/>
              <w:spacing w:after="0"/>
              <w:rPr>
                <w:sz w:val="20"/>
                <w:szCs w:val="20"/>
                <w:color w:val="auto"/>
              </w:rPr>
            </w:pPr>
            <w:r>
              <w:rPr>
                <w:rFonts w:ascii="Arial" w:cs="Arial" w:eastAsia="Arial" w:hAnsi="Arial"/>
                <w:sz w:val="14"/>
                <w:szCs w:val="14"/>
                <w:color w:val="auto"/>
              </w:rPr>
              <w:t>521,821</w:t>
            </w:r>
          </w:p>
        </w:tc>
        <w:tc>
          <w:tcPr>
            <w:tcW w:w="760" w:type="dxa"/>
            <w:vAlign w:val="bottom"/>
          </w:tcPr>
          <w:p>
            <w:pPr>
              <w:jc w:val="right"/>
              <w:ind w:right="308"/>
              <w:spacing w:after="0"/>
              <w:rPr>
                <w:sz w:val="20"/>
                <w:szCs w:val="20"/>
                <w:color w:val="auto"/>
              </w:rPr>
            </w:pPr>
            <w:r>
              <w:rPr>
                <w:rFonts w:ascii="Arial" w:cs="Arial" w:eastAsia="Arial" w:hAnsi="Arial"/>
                <w:sz w:val="14"/>
                <w:szCs w:val="14"/>
                <w:color w:val="auto"/>
              </w:rPr>
              <w:t>$</w:t>
            </w:r>
          </w:p>
        </w:tc>
        <w:tc>
          <w:tcPr>
            <w:tcW w:w="1560" w:type="dxa"/>
            <w:vAlign w:val="bottom"/>
            <w:gridSpan w:val="2"/>
          </w:tcPr>
          <w:p>
            <w:pPr>
              <w:jc w:val="right"/>
              <w:ind w:right="648"/>
              <w:spacing w:after="0"/>
              <w:rPr>
                <w:sz w:val="20"/>
                <w:szCs w:val="20"/>
                <w:color w:val="auto"/>
              </w:rPr>
            </w:pPr>
            <w:r>
              <w:rPr>
                <w:rFonts w:ascii="Arial" w:cs="Arial" w:eastAsia="Arial" w:hAnsi="Arial"/>
                <w:sz w:val="14"/>
                <w:szCs w:val="14"/>
                <w:color w:val="auto"/>
              </w:rPr>
              <w:t>546,644</w:t>
            </w:r>
          </w:p>
        </w:tc>
        <w:tc>
          <w:tcPr>
            <w:tcW w:w="1040" w:type="dxa"/>
            <w:vAlign w:val="bottom"/>
          </w:tcPr>
          <w:p>
            <w:pPr>
              <w:jc w:val="right"/>
              <w:ind w:right="248"/>
              <w:spacing w:after="0"/>
              <w:rPr>
                <w:sz w:val="20"/>
                <w:szCs w:val="20"/>
                <w:color w:val="auto"/>
              </w:rPr>
            </w:pPr>
            <w:r>
              <w:rPr>
                <w:rFonts w:ascii="Arial" w:cs="Arial" w:eastAsia="Arial" w:hAnsi="Arial"/>
                <w:sz w:val="14"/>
                <w:szCs w:val="14"/>
                <w:color w:val="auto"/>
              </w:rPr>
              <w:t>-5%</w:t>
            </w:r>
          </w:p>
        </w:tc>
      </w:tr>
      <w:tr>
        <w:trPr>
          <w:trHeight w:val="339"/>
        </w:trPr>
        <w:tc>
          <w:tcPr>
            <w:tcW w:w="4000" w:type="dxa"/>
            <w:vAlign w:val="bottom"/>
          </w:tcPr>
          <w:p>
            <w:pPr>
              <w:spacing w:after="0"/>
              <w:rPr>
                <w:sz w:val="20"/>
                <w:szCs w:val="20"/>
                <w:color w:val="auto"/>
              </w:rPr>
            </w:pPr>
            <w:r>
              <w:rPr>
                <w:rFonts w:ascii="Arial" w:cs="Arial" w:eastAsia="Arial" w:hAnsi="Arial"/>
                <w:sz w:val="14"/>
                <w:szCs w:val="14"/>
                <w:color w:val="auto"/>
              </w:rPr>
              <w:t>GAAP Operating Income</w:t>
            </w:r>
          </w:p>
        </w:tc>
        <w:tc>
          <w:tcPr>
            <w:tcW w:w="15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2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208"/>
              <w:spacing w:after="0"/>
              <w:rPr>
                <w:sz w:val="20"/>
                <w:szCs w:val="20"/>
                <w:color w:val="auto"/>
              </w:rPr>
            </w:pPr>
            <w:r>
              <w:rPr>
                <w:rFonts w:ascii="Arial" w:cs="Arial" w:eastAsia="Arial" w:hAnsi="Arial"/>
                <w:sz w:val="14"/>
                <w:szCs w:val="14"/>
                <w:color w:val="auto"/>
              </w:rPr>
              <w:t>1,048</w:t>
            </w:r>
          </w:p>
        </w:tc>
        <w:tc>
          <w:tcPr>
            <w:tcW w:w="760" w:type="dxa"/>
            <w:vAlign w:val="bottom"/>
          </w:tcPr>
          <w:p>
            <w:pPr>
              <w:jc w:val="right"/>
              <w:ind w:right="308"/>
              <w:spacing w:after="0"/>
              <w:rPr>
                <w:sz w:val="20"/>
                <w:szCs w:val="20"/>
                <w:color w:val="auto"/>
              </w:rPr>
            </w:pPr>
            <w:r>
              <w:rPr>
                <w:rFonts w:ascii="Arial" w:cs="Arial" w:eastAsia="Arial" w:hAnsi="Arial"/>
                <w:sz w:val="14"/>
                <w:szCs w:val="14"/>
                <w:color w:val="auto"/>
              </w:rPr>
              <w:t>$</w:t>
            </w:r>
          </w:p>
        </w:tc>
        <w:tc>
          <w:tcPr>
            <w:tcW w:w="440" w:type="dxa"/>
            <w:vAlign w:val="bottom"/>
          </w:tcPr>
          <w:p>
            <w:pPr>
              <w:spacing w:after="0"/>
              <w:rPr>
                <w:sz w:val="24"/>
                <w:szCs w:val="24"/>
                <w:color w:val="auto"/>
              </w:rPr>
            </w:pPr>
          </w:p>
        </w:tc>
        <w:tc>
          <w:tcPr>
            <w:tcW w:w="1120" w:type="dxa"/>
            <w:vAlign w:val="bottom"/>
          </w:tcPr>
          <w:p>
            <w:pPr>
              <w:jc w:val="right"/>
              <w:ind w:right="648"/>
              <w:spacing w:after="0"/>
              <w:rPr>
                <w:sz w:val="20"/>
                <w:szCs w:val="20"/>
                <w:color w:val="auto"/>
              </w:rPr>
            </w:pPr>
            <w:r>
              <w:rPr>
                <w:rFonts w:ascii="Arial" w:cs="Arial" w:eastAsia="Arial" w:hAnsi="Arial"/>
                <w:sz w:val="14"/>
                <w:szCs w:val="14"/>
                <w:color w:val="auto"/>
                <w:w w:val="88"/>
              </w:rPr>
              <w:t>34,894</w:t>
            </w:r>
          </w:p>
        </w:tc>
        <w:tc>
          <w:tcPr>
            <w:tcW w:w="1040" w:type="dxa"/>
            <w:vAlign w:val="bottom"/>
          </w:tcPr>
          <w:p>
            <w:pPr>
              <w:jc w:val="right"/>
              <w:ind w:right="248"/>
              <w:spacing w:after="0"/>
              <w:rPr>
                <w:sz w:val="20"/>
                <w:szCs w:val="20"/>
                <w:color w:val="auto"/>
              </w:rPr>
            </w:pPr>
            <w:r>
              <w:rPr>
                <w:rFonts w:ascii="Arial" w:cs="Arial" w:eastAsia="Arial" w:hAnsi="Arial"/>
                <w:sz w:val="14"/>
                <w:szCs w:val="14"/>
                <w:color w:val="auto"/>
              </w:rPr>
              <w:t>-97%</w:t>
            </w:r>
          </w:p>
        </w:tc>
      </w:tr>
      <w:tr>
        <w:trPr>
          <w:trHeight w:val="182"/>
        </w:trPr>
        <w:tc>
          <w:tcPr>
            <w:tcW w:w="4000" w:type="dxa"/>
            <w:vAlign w:val="bottom"/>
          </w:tcPr>
          <w:p>
            <w:pPr>
              <w:spacing w:after="0"/>
              <w:rPr>
                <w:sz w:val="20"/>
                <w:szCs w:val="20"/>
                <w:color w:val="auto"/>
              </w:rPr>
            </w:pPr>
            <w:r>
              <w:rPr>
                <w:rFonts w:ascii="Arial" w:cs="Arial" w:eastAsia="Arial" w:hAnsi="Arial"/>
                <w:sz w:val="14"/>
                <w:szCs w:val="14"/>
                <w:color w:val="auto"/>
              </w:rPr>
              <w:t>GAAP Operating Income as % of Sales</w:t>
            </w:r>
          </w:p>
        </w:tc>
        <w:tc>
          <w:tcPr>
            <w:tcW w:w="15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00" w:type="dxa"/>
            <w:vAlign w:val="bottom"/>
          </w:tcPr>
          <w:p>
            <w:pPr>
              <w:jc w:val="right"/>
              <w:ind w:right="88"/>
              <w:spacing w:after="0"/>
              <w:rPr>
                <w:sz w:val="20"/>
                <w:szCs w:val="20"/>
                <w:color w:val="auto"/>
              </w:rPr>
            </w:pPr>
            <w:r>
              <w:rPr>
                <w:rFonts w:ascii="Arial" w:cs="Arial" w:eastAsia="Arial" w:hAnsi="Arial"/>
                <w:sz w:val="14"/>
                <w:szCs w:val="14"/>
                <w:color w:val="auto"/>
              </w:rPr>
              <w:t>0.2%</w:t>
            </w:r>
          </w:p>
        </w:tc>
        <w:tc>
          <w:tcPr>
            <w:tcW w:w="7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120" w:type="dxa"/>
            <w:vAlign w:val="bottom"/>
          </w:tcPr>
          <w:p>
            <w:pPr>
              <w:jc w:val="right"/>
              <w:ind w:right="528"/>
              <w:spacing w:after="0"/>
              <w:rPr>
                <w:sz w:val="20"/>
                <w:szCs w:val="20"/>
                <w:color w:val="auto"/>
              </w:rPr>
            </w:pPr>
            <w:r>
              <w:rPr>
                <w:rFonts w:ascii="Arial" w:cs="Arial" w:eastAsia="Arial" w:hAnsi="Arial"/>
                <w:sz w:val="14"/>
                <w:szCs w:val="14"/>
                <w:color w:val="auto"/>
              </w:rPr>
              <w:t>6.4%</w:t>
            </w:r>
          </w:p>
        </w:tc>
        <w:tc>
          <w:tcPr>
            <w:tcW w:w="1040" w:type="dxa"/>
            <w:vAlign w:val="bottom"/>
          </w:tcPr>
          <w:p>
            <w:pPr>
              <w:jc w:val="right"/>
              <w:ind w:right="248"/>
              <w:spacing w:after="0"/>
              <w:rPr>
                <w:sz w:val="20"/>
                <w:szCs w:val="20"/>
                <w:color w:val="auto"/>
              </w:rPr>
            </w:pPr>
            <w:r>
              <w:rPr>
                <w:rFonts w:ascii="Arial" w:cs="Arial" w:eastAsia="Arial" w:hAnsi="Arial"/>
                <w:sz w:val="14"/>
                <w:szCs w:val="14"/>
                <w:color w:val="auto"/>
              </w:rPr>
              <w:t>-6.2%</w:t>
            </w:r>
          </w:p>
        </w:tc>
      </w:tr>
      <w:tr>
        <w:trPr>
          <w:trHeight w:val="344"/>
        </w:trPr>
        <w:tc>
          <w:tcPr>
            <w:tcW w:w="4000" w:type="dxa"/>
            <w:vAlign w:val="bottom"/>
          </w:tcPr>
          <w:p>
            <w:pPr>
              <w:spacing w:after="0"/>
              <w:rPr>
                <w:sz w:val="20"/>
                <w:szCs w:val="20"/>
                <w:color w:val="auto"/>
              </w:rPr>
            </w:pPr>
            <w:r>
              <w:rPr>
                <w:rFonts w:ascii="Arial" w:cs="Arial" w:eastAsia="Arial" w:hAnsi="Arial"/>
                <w:sz w:val="14"/>
                <w:szCs w:val="14"/>
                <w:color w:val="auto"/>
              </w:rPr>
              <w:t>Adjusted Operating Income*</w:t>
            </w:r>
          </w:p>
        </w:tc>
        <w:tc>
          <w:tcPr>
            <w:tcW w:w="15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2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208"/>
              <w:spacing w:after="0"/>
              <w:rPr>
                <w:sz w:val="20"/>
                <w:szCs w:val="20"/>
                <w:color w:val="auto"/>
              </w:rPr>
            </w:pPr>
            <w:r>
              <w:rPr>
                <w:rFonts w:ascii="Arial" w:cs="Arial" w:eastAsia="Arial" w:hAnsi="Arial"/>
                <w:sz w:val="14"/>
                <w:szCs w:val="14"/>
                <w:color w:val="auto"/>
              </w:rPr>
              <w:t>62,563</w:t>
            </w:r>
          </w:p>
        </w:tc>
        <w:tc>
          <w:tcPr>
            <w:tcW w:w="760" w:type="dxa"/>
            <w:vAlign w:val="bottom"/>
          </w:tcPr>
          <w:p>
            <w:pPr>
              <w:jc w:val="right"/>
              <w:ind w:right="308"/>
              <w:spacing w:after="0"/>
              <w:rPr>
                <w:sz w:val="20"/>
                <w:szCs w:val="20"/>
                <w:color w:val="auto"/>
              </w:rPr>
            </w:pPr>
            <w:r>
              <w:rPr>
                <w:rFonts w:ascii="Arial" w:cs="Arial" w:eastAsia="Arial" w:hAnsi="Arial"/>
                <w:sz w:val="14"/>
                <w:szCs w:val="14"/>
                <w:color w:val="auto"/>
              </w:rPr>
              <w:t>$</w:t>
            </w:r>
          </w:p>
        </w:tc>
        <w:tc>
          <w:tcPr>
            <w:tcW w:w="440" w:type="dxa"/>
            <w:vAlign w:val="bottom"/>
          </w:tcPr>
          <w:p>
            <w:pPr>
              <w:spacing w:after="0"/>
              <w:rPr>
                <w:sz w:val="24"/>
                <w:szCs w:val="24"/>
                <w:color w:val="auto"/>
              </w:rPr>
            </w:pPr>
          </w:p>
        </w:tc>
        <w:tc>
          <w:tcPr>
            <w:tcW w:w="1120" w:type="dxa"/>
            <w:vAlign w:val="bottom"/>
          </w:tcPr>
          <w:p>
            <w:pPr>
              <w:jc w:val="right"/>
              <w:ind w:right="648"/>
              <w:spacing w:after="0"/>
              <w:rPr>
                <w:sz w:val="20"/>
                <w:szCs w:val="20"/>
                <w:color w:val="auto"/>
              </w:rPr>
            </w:pPr>
            <w:r>
              <w:rPr>
                <w:rFonts w:ascii="Arial" w:cs="Arial" w:eastAsia="Arial" w:hAnsi="Arial"/>
                <w:sz w:val="14"/>
                <w:szCs w:val="14"/>
                <w:color w:val="auto"/>
                <w:w w:val="88"/>
              </w:rPr>
              <w:t>58,134</w:t>
            </w:r>
          </w:p>
        </w:tc>
        <w:tc>
          <w:tcPr>
            <w:tcW w:w="1040" w:type="dxa"/>
            <w:vAlign w:val="bottom"/>
          </w:tcPr>
          <w:p>
            <w:pPr>
              <w:jc w:val="right"/>
              <w:ind w:right="248"/>
              <w:spacing w:after="0"/>
              <w:rPr>
                <w:sz w:val="20"/>
                <w:szCs w:val="20"/>
                <w:color w:val="auto"/>
              </w:rPr>
            </w:pPr>
            <w:r>
              <w:rPr>
                <w:rFonts w:ascii="Arial" w:cs="Arial" w:eastAsia="Arial" w:hAnsi="Arial"/>
                <w:sz w:val="14"/>
                <w:szCs w:val="14"/>
                <w:color w:val="auto"/>
              </w:rPr>
              <w:t>8%</w:t>
            </w:r>
          </w:p>
        </w:tc>
      </w:tr>
      <w:tr>
        <w:trPr>
          <w:trHeight w:val="182"/>
        </w:trPr>
        <w:tc>
          <w:tcPr>
            <w:tcW w:w="4000" w:type="dxa"/>
            <w:vAlign w:val="bottom"/>
          </w:tcPr>
          <w:p>
            <w:pPr>
              <w:spacing w:after="0"/>
              <w:rPr>
                <w:sz w:val="20"/>
                <w:szCs w:val="20"/>
                <w:color w:val="auto"/>
              </w:rPr>
            </w:pPr>
            <w:r>
              <w:rPr>
                <w:rFonts w:ascii="Arial" w:cs="Arial" w:eastAsia="Arial" w:hAnsi="Arial"/>
                <w:sz w:val="14"/>
                <w:szCs w:val="14"/>
                <w:color w:val="auto"/>
              </w:rPr>
              <w:t>Adjusted Operating Income as % of Sales</w:t>
            </w:r>
          </w:p>
        </w:tc>
        <w:tc>
          <w:tcPr>
            <w:tcW w:w="15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00" w:type="dxa"/>
            <w:vAlign w:val="bottom"/>
          </w:tcPr>
          <w:p>
            <w:pPr>
              <w:jc w:val="right"/>
              <w:ind w:right="88"/>
              <w:spacing w:after="0"/>
              <w:rPr>
                <w:sz w:val="20"/>
                <w:szCs w:val="20"/>
                <w:color w:val="auto"/>
              </w:rPr>
            </w:pPr>
            <w:r>
              <w:rPr>
                <w:rFonts w:ascii="Arial" w:cs="Arial" w:eastAsia="Arial" w:hAnsi="Arial"/>
                <w:sz w:val="14"/>
                <w:szCs w:val="14"/>
                <w:color w:val="auto"/>
              </w:rPr>
              <w:t>12.0%</w:t>
            </w:r>
          </w:p>
        </w:tc>
        <w:tc>
          <w:tcPr>
            <w:tcW w:w="7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120" w:type="dxa"/>
            <w:vAlign w:val="bottom"/>
          </w:tcPr>
          <w:p>
            <w:pPr>
              <w:jc w:val="right"/>
              <w:ind w:right="528"/>
              <w:spacing w:after="0"/>
              <w:rPr>
                <w:sz w:val="20"/>
                <w:szCs w:val="20"/>
                <w:color w:val="auto"/>
              </w:rPr>
            </w:pPr>
            <w:r>
              <w:rPr>
                <w:rFonts w:ascii="Arial" w:cs="Arial" w:eastAsia="Arial" w:hAnsi="Arial"/>
                <w:sz w:val="14"/>
                <w:szCs w:val="14"/>
                <w:color w:val="auto"/>
              </w:rPr>
              <w:t>10.6%</w:t>
            </w:r>
          </w:p>
        </w:tc>
        <w:tc>
          <w:tcPr>
            <w:tcW w:w="1040" w:type="dxa"/>
            <w:vAlign w:val="bottom"/>
          </w:tcPr>
          <w:p>
            <w:pPr>
              <w:jc w:val="right"/>
              <w:ind w:right="248"/>
              <w:spacing w:after="0"/>
              <w:rPr>
                <w:sz w:val="20"/>
                <w:szCs w:val="20"/>
                <w:color w:val="auto"/>
              </w:rPr>
            </w:pPr>
            <w:r>
              <w:rPr>
                <w:rFonts w:ascii="Arial" w:cs="Arial" w:eastAsia="Arial" w:hAnsi="Arial"/>
                <w:sz w:val="14"/>
                <w:szCs w:val="14"/>
                <w:color w:val="auto"/>
              </w:rPr>
              <w:t>1.4%</w:t>
            </w:r>
          </w:p>
        </w:tc>
      </w:tr>
      <w:tr>
        <w:trPr>
          <w:trHeight w:val="344"/>
        </w:trPr>
        <w:tc>
          <w:tcPr>
            <w:tcW w:w="4000" w:type="dxa"/>
            <w:vAlign w:val="bottom"/>
          </w:tcPr>
          <w:p>
            <w:pPr>
              <w:spacing w:after="0"/>
              <w:rPr>
                <w:sz w:val="20"/>
                <w:szCs w:val="20"/>
                <w:color w:val="auto"/>
              </w:rPr>
            </w:pPr>
            <w:r>
              <w:rPr>
                <w:rFonts w:ascii="Arial" w:cs="Arial" w:eastAsia="Arial" w:hAnsi="Arial"/>
                <w:sz w:val="14"/>
                <w:szCs w:val="14"/>
                <w:color w:val="auto"/>
              </w:rPr>
              <w:t>GAAP Diluted EPS</w:t>
            </w:r>
          </w:p>
        </w:tc>
        <w:tc>
          <w:tcPr>
            <w:tcW w:w="15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2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168"/>
              <w:spacing w:after="0"/>
              <w:rPr>
                <w:sz w:val="20"/>
                <w:szCs w:val="20"/>
                <w:color w:val="auto"/>
              </w:rPr>
            </w:pPr>
            <w:r>
              <w:rPr>
                <w:rFonts w:ascii="Arial" w:cs="Arial" w:eastAsia="Arial" w:hAnsi="Arial"/>
                <w:sz w:val="14"/>
                <w:szCs w:val="14"/>
                <w:color w:val="auto"/>
              </w:rPr>
              <w:t>(0.39)</w:t>
            </w:r>
          </w:p>
        </w:tc>
        <w:tc>
          <w:tcPr>
            <w:tcW w:w="760" w:type="dxa"/>
            <w:vAlign w:val="bottom"/>
          </w:tcPr>
          <w:p>
            <w:pPr>
              <w:jc w:val="right"/>
              <w:ind w:right="308"/>
              <w:spacing w:after="0"/>
              <w:rPr>
                <w:sz w:val="20"/>
                <w:szCs w:val="20"/>
                <w:color w:val="auto"/>
              </w:rPr>
            </w:pPr>
            <w:r>
              <w:rPr>
                <w:rFonts w:ascii="Arial" w:cs="Arial" w:eastAsia="Arial" w:hAnsi="Arial"/>
                <w:sz w:val="14"/>
                <w:szCs w:val="14"/>
                <w:color w:val="auto"/>
              </w:rPr>
              <w:t>$</w:t>
            </w:r>
          </w:p>
        </w:tc>
        <w:tc>
          <w:tcPr>
            <w:tcW w:w="440" w:type="dxa"/>
            <w:vAlign w:val="bottom"/>
          </w:tcPr>
          <w:p>
            <w:pPr>
              <w:spacing w:after="0"/>
              <w:rPr>
                <w:sz w:val="24"/>
                <w:szCs w:val="24"/>
                <w:color w:val="auto"/>
              </w:rPr>
            </w:pPr>
          </w:p>
        </w:tc>
        <w:tc>
          <w:tcPr>
            <w:tcW w:w="1120" w:type="dxa"/>
            <w:vAlign w:val="bottom"/>
          </w:tcPr>
          <w:p>
            <w:pPr>
              <w:jc w:val="right"/>
              <w:ind w:right="648"/>
              <w:spacing w:after="0"/>
              <w:rPr>
                <w:sz w:val="20"/>
                <w:szCs w:val="20"/>
                <w:color w:val="auto"/>
              </w:rPr>
            </w:pPr>
            <w:r>
              <w:rPr>
                <w:rFonts w:ascii="Arial" w:cs="Arial" w:eastAsia="Arial" w:hAnsi="Arial"/>
                <w:sz w:val="14"/>
                <w:szCs w:val="14"/>
                <w:color w:val="auto"/>
              </w:rPr>
              <w:t>0.62</w:t>
            </w:r>
          </w:p>
        </w:tc>
        <w:tc>
          <w:tcPr>
            <w:tcW w:w="1040" w:type="dxa"/>
            <w:vAlign w:val="bottom"/>
          </w:tcPr>
          <w:p>
            <w:pPr>
              <w:jc w:val="right"/>
              <w:ind w:right="248"/>
              <w:spacing w:after="0"/>
              <w:rPr>
                <w:sz w:val="20"/>
                <w:szCs w:val="20"/>
                <w:color w:val="auto"/>
              </w:rPr>
            </w:pPr>
            <w:r>
              <w:rPr>
                <w:rFonts w:ascii="Arial" w:cs="Arial" w:eastAsia="Arial" w:hAnsi="Arial"/>
                <w:sz w:val="14"/>
                <w:szCs w:val="14"/>
                <w:color w:val="auto"/>
              </w:rPr>
              <w:t>-163%</w:t>
            </w:r>
          </w:p>
        </w:tc>
      </w:tr>
      <w:tr>
        <w:trPr>
          <w:trHeight w:val="182"/>
        </w:trPr>
        <w:tc>
          <w:tcPr>
            <w:tcW w:w="4000" w:type="dxa"/>
            <w:vAlign w:val="bottom"/>
          </w:tcPr>
          <w:p>
            <w:pPr>
              <w:spacing w:after="0"/>
              <w:rPr>
                <w:sz w:val="20"/>
                <w:szCs w:val="20"/>
                <w:color w:val="auto"/>
              </w:rPr>
            </w:pPr>
            <w:r>
              <w:rPr>
                <w:rFonts w:ascii="Arial" w:cs="Arial" w:eastAsia="Arial" w:hAnsi="Arial"/>
                <w:sz w:val="14"/>
                <w:szCs w:val="14"/>
                <w:color w:val="auto"/>
              </w:rPr>
              <w:t>Adjusted Diluted EPS*</w:t>
            </w:r>
          </w:p>
        </w:tc>
        <w:tc>
          <w:tcPr>
            <w:tcW w:w="15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42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208"/>
              <w:spacing w:after="0"/>
              <w:rPr>
                <w:sz w:val="20"/>
                <w:szCs w:val="20"/>
                <w:color w:val="auto"/>
              </w:rPr>
            </w:pPr>
            <w:r>
              <w:rPr>
                <w:rFonts w:ascii="Arial" w:cs="Arial" w:eastAsia="Arial" w:hAnsi="Arial"/>
                <w:sz w:val="14"/>
                <w:szCs w:val="14"/>
                <w:color w:val="auto"/>
              </w:rPr>
              <w:t>1.52</w:t>
            </w:r>
          </w:p>
        </w:tc>
        <w:tc>
          <w:tcPr>
            <w:tcW w:w="760" w:type="dxa"/>
            <w:vAlign w:val="bottom"/>
          </w:tcPr>
          <w:p>
            <w:pPr>
              <w:jc w:val="right"/>
              <w:ind w:right="308"/>
              <w:spacing w:after="0"/>
              <w:rPr>
                <w:sz w:val="20"/>
                <w:szCs w:val="20"/>
                <w:color w:val="auto"/>
              </w:rPr>
            </w:pPr>
            <w:r>
              <w:rPr>
                <w:rFonts w:ascii="Arial" w:cs="Arial" w:eastAsia="Arial" w:hAnsi="Arial"/>
                <w:sz w:val="14"/>
                <w:szCs w:val="14"/>
                <w:color w:val="auto"/>
              </w:rPr>
              <w:t>$</w:t>
            </w:r>
          </w:p>
        </w:tc>
        <w:tc>
          <w:tcPr>
            <w:tcW w:w="440" w:type="dxa"/>
            <w:vAlign w:val="bottom"/>
          </w:tcPr>
          <w:p>
            <w:pPr>
              <w:spacing w:after="0"/>
              <w:rPr>
                <w:sz w:val="15"/>
                <w:szCs w:val="15"/>
                <w:color w:val="auto"/>
              </w:rPr>
            </w:pPr>
          </w:p>
        </w:tc>
        <w:tc>
          <w:tcPr>
            <w:tcW w:w="1120" w:type="dxa"/>
            <w:vAlign w:val="bottom"/>
          </w:tcPr>
          <w:p>
            <w:pPr>
              <w:jc w:val="right"/>
              <w:ind w:right="648"/>
              <w:spacing w:after="0"/>
              <w:rPr>
                <w:sz w:val="20"/>
                <w:szCs w:val="20"/>
                <w:color w:val="auto"/>
              </w:rPr>
            </w:pPr>
            <w:r>
              <w:rPr>
                <w:rFonts w:ascii="Arial" w:cs="Arial" w:eastAsia="Arial" w:hAnsi="Arial"/>
                <w:sz w:val="14"/>
                <w:szCs w:val="14"/>
                <w:color w:val="auto"/>
              </w:rPr>
              <w:t>1.40</w:t>
            </w:r>
          </w:p>
        </w:tc>
        <w:tc>
          <w:tcPr>
            <w:tcW w:w="1040" w:type="dxa"/>
            <w:vAlign w:val="bottom"/>
          </w:tcPr>
          <w:p>
            <w:pPr>
              <w:jc w:val="right"/>
              <w:ind w:right="248"/>
              <w:spacing w:after="0"/>
              <w:rPr>
                <w:sz w:val="20"/>
                <w:szCs w:val="20"/>
                <w:color w:val="auto"/>
              </w:rPr>
            </w:pPr>
            <w:r>
              <w:rPr>
                <w:rFonts w:ascii="Arial" w:cs="Arial" w:eastAsia="Arial" w:hAnsi="Arial"/>
                <w:sz w:val="14"/>
                <w:szCs w:val="14"/>
                <w:color w:val="auto"/>
              </w:rPr>
              <w:t>9%</w:t>
            </w:r>
          </w:p>
        </w:tc>
      </w:tr>
    </w:tbl>
    <w:p>
      <w:pPr>
        <w:spacing w:after="0" w:line="193" w:lineRule="exact"/>
        <w:rPr>
          <w:sz w:val="20"/>
          <w:szCs w:val="20"/>
          <w:color w:val="auto"/>
        </w:rPr>
      </w:pPr>
    </w:p>
    <w:p>
      <w:pPr>
        <w:spacing w:after="0"/>
        <w:rPr>
          <w:sz w:val="20"/>
          <w:szCs w:val="20"/>
          <w:color w:val="auto"/>
        </w:rPr>
      </w:pPr>
      <w:r>
        <w:rPr>
          <w:rFonts w:ascii="Arial" w:cs="Arial" w:eastAsia="Arial" w:hAnsi="Arial"/>
          <w:sz w:val="22"/>
          <w:szCs w:val="22"/>
          <w:color w:val="auto"/>
        </w:rPr>
        <w:t>* See Tables A and B at the end of this release for reconciliation of adjusted amounts to GAAP.</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color w:val="auto"/>
        </w:rPr>
        <w:t>** Includes additional week of operations due to fiscal year ending on closest Friday to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120650</wp:posOffset>
            </wp:positionV>
            <wp:extent cx="7272020" cy="596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5" w:name="page6"/>
    <w:bookmarkEnd w:id="5"/>
    <w:p>
      <w:pPr>
        <w:spacing w:after="0"/>
        <w:rPr>
          <w:sz w:val="20"/>
          <w:szCs w:val="20"/>
          <w:color w:val="auto"/>
        </w:rPr>
      </w:pPr>
      <w:r>
        <w:rPr>
          <w:rFonts w:ascii="Arial" w:cs="Arial" w:eastAsia="Arial" w:hAnsi="Arial"/>
          <w:sz w:val="22"/>
          <w:szCs w:val="22"/>
          <w:b w:val="1"/>
          <w:bCs w:val="1"/>
          <w:color w:val="auto"/>
        </w:rPr>
        <w:t>CEO Comments</w:t>
      </w:r>
    </w:p>
    <w:p>
      <w:pPr>
        <w:spacing w:after="0" w:line="213" w:lineRule="exact"/>
        <w:rPr>
          <w:sz w:val="20"/>
          <w:szCs w:val="20"/>
          <w:color w:val="auto"/>
        </w:rPr>
      </w:pPr>
    </w:p>
    <w:p>
      <w:pPr>
        <w:spacing w:after="0" w:line="247" w:lineRule="auto"/>
        <w:rPr>
          <w:sz w:val="20"/>
          <w:szCs w:val="20"/>
          <w:color w:val="auto"/>
        </w:rPr>
      </w:pPr>
      <w:r>
        <w:rPr>
          <w:rFonts w:ascii="Arial" w:cs="Arial" w:eastAsia="Arial" w:hAnsi="Arial"/>
          <w:sz w:val="21"/>
          <w:szCs w:val="21"/>
          <w:color w:val="auto"/>
        </w:rPr>
        <w:t>“We are proud of the progress we made in 2009 towards both our short-term operational goals as well as our long-term strategic initiatives despite a turbulent global economy and uncertain healthcare markets,” stated Thomas J. Hook, Greatbatch’s President &amp; Chief Executive Officer. “In 2009, a great deal of progress was made by staying connected, committed and focused on all aspects of our strategic plan. This included deepening customer relationships across our business segments, streamlining our operations and continuing to invest in the development of new technologies to drive future growth. Now more than ever, we are certain that our dedication to improving our business and closely following our strategic priorities has positioned us to benefit as the economy and healthcare industry improves.”</w:t>
      </w:r>
    </w:p>
    <w:p>
      <w:pPr>
        <w:spacing w:after="0" w:line="17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Fourth Quarter Results</w:t>
      </w:r>
    </w:p>
    <w:p>
      <w:pPr>
        <w:spacing w:after="0" w:line="212" w:lineRule="exact"/>
        <w:rPr>
          <w:sz w:val="20"/>
          <w:szCs w:val="20"/>
          <w:color w:val="auto"/>
        </w:rPr>
      </w:pPr>
    </w:p>
    <w:p>
      <w:pPr>
        <w:ind w:right="20"/>
        <w:spacing w:after="0" w:line="246" w:lineRule="auto"/>
        <w:rPr>
          <w:sz w:val="20"/>
          <w:szCs w:val="20"/>
          <w:color w:val="auto"/>
        </w:rPr>
      </w:pPr>
      <w:r>
        <w:rPr>
          <w:rFonts w:ascii="Arial" w:cs="Arial" w:eastAsia="Arial" w:hAnsi="Arial"/>
          <w:sz w:val="21"/>
          <w:szCs w:val="21"/>
          <w:color w:val="auto"/>
        </w:rPr>
        <w:t>Consolidated revenues in the fourth quarter of 2009, were $125.8 million compared to $146.6 million in the comparable 2008 period and $121.5 million for the third quarter of 2009. For the year, revenue totaled $521.8 million compared to $546.6 million in 2008. Fourth quarter 2008 results include the benefit of an additional week of operations (due to the Company’s fiscal year ending on the closest Friday to December 31), which added approximately $10 million to sales. Excluding this additional week of operations, 2009 revenue was 3% below the 2008 period as CRM/Neuromodulation revenue growth was offset by decreases in Orthopaedic, Vascular and Electrochem revenue amidst the uncertain health care and economic environment. Compared to the third quarter of 2009, revenue increased 4% due to moderate CRM/Neuromodulation growth, seasonally higher Orthopaedic sales, and a pick-up in Electrochem’s energy markets.</w:t>
      </w:r>
    </w:p>
    <w:p>
      <w:pPr>
        <w:spacing w:after="0" w:line="181" w:lineRule="exact"/>
        <w:rPr>
          <w:sz w:val="20"/>
          <w:szCs w:val="20"/>
          <w:color w:val="auto"/>
        </w:rPr>
      </w:pPr>
    </w:p>
    <w:p>
      <w:pPr>
        <w:spacing w:after="0" w:line="236" w:lineRule="auto"/>
        <w:rPr>
          <w:sz w:val="20"/>
          <w:szCs w:val="20"/>
          <w:color w:val="auto"/>
        </w:rPr>
      </w:pPr>
      <w:r>
        <w:rPr>
          <w:rFonts w:ascii="Arial" w:cs="Arial" w:eastAsia="Arial" w:hAnsi="Arial"/>
          <w:sz w:val="22"/>
          <w:szCs w:val="22"/>
          <w:color w:val="auto"/>
        </w:rPr>
        <w:t>Gross profit as a percentage of revenue for the 2009 fourth quarter improved to 33.1% compared to 31.9% for the 2008 period. This improvement is attributable to the consolidation and integration initiatives completed over the past year. Additionally, Management continued to take cost-cutting measures to help mitigate the impact of the lower revenue levels on operating income. This included adjusting 2009 related performance based compensation, which benefited Cost of Sales, by approximately $2.5 million versus the fourth quarter 2008.</w:t>
      </w:r>
    </w:p>
    <w:p>
      <w:pPr>
        <w:spacing w:after="0" w:line="188" w:lineRule="exact"/>
        <w:rPr>
          <w:sz w:val="20"/>
          <w:szCs w:val="20"/>
          <w:color w:val="auto"/>
        </w:rPr>
      </w:pPr>
    </w:p>
    <w:p>
      <w:pPr>
        <w:ind w:right="140"/>
        <w:spacing w:after="0" w:line="238" w:lineRule="auto"/>
        <w:rPr>
          <w:sz w:val="20"/>
          <w:szCs w:val="20"/>
          <w:color w:val="auto"/>
        </w:rPr>
      </w:pPr>
      <w:r>
        <w:rPr>
          <w:rFonts w:ascii="Arial" w:cs="Arial" w:eastAsia="Arial" w:hAnsi="Arial"/>
          <w:sz w:val="22"/>
          <w:szCs w:val="22"/>
          <w:color w:val="auto"/>
        </w:rPr>
        <w:t>Selling, general and administrative expenses of $17.9 million for the fourth quarter of 2009 were $2.0 million lower than the same period of 2008 as normal business growth was more than offset by savings from our various consolidation and cost cutting initiatives including reduced 2009 performance based compensation of approximately $1.5 million for the quarter compared to 2008.</w:t>
      </w:r>
    </w:p>
    <w:p>
      <w:pPr>
        <w:spacing w:after="0" w:line="185" w:lineRule="exact"/>
        <w:rPr>
          <w:sz w:val="20"/>
          <w:szCs w:val="20"/>
          <w:color w:val="auto"/>
        </w:rPr>
      </w:pPr>
    </w:p>
    <w:p>
      <w:pPr>
        <w:ind w:right="240"/>
        <w:spacing w:after="0" w:line="279" w:lineRule="auto"/>
        <w:rPr>
          <w:sz w:val="20"/>
          <w:szCs w:val="20"/>
          <w:color w:val="auto"/>
        </w:rPr>
      </w:pPr>
      <w:r>
        <w:rPr>
          <w:rFonts w:ascii="Arial" w:cs="Arial" w:eastAsia="Arial" w:hAnsi="Arial"/>
          <w:sz w:val="19"/>
          <w:szCs w:val="19"/>
          <w:color w:val="auto"/>
        </w:rPr>
        <w:t>Net research, development and engineering (“RD&amp;E”) costs for the 2009 fourth quarter of $7.3 million were consistent with the 2008 fourth quarter as increased RD&amp;E costs were offset by an increase in customer reimbursements attributable to the timing of achievements of milestones on development projects. Excluding these reimbursements, RD&amp;E was 9% of sales or $1.0 million higher than the fourth quarter of 2008 due to the strategic decision in 2009 to further invest resources in the development of new technologies in order to provide solutions for our customers and ultimately create long-term growth opportunities. Management anticipates that these investments will continue to increase in 2010.</w:t>
      </w:r>
    </w:p>
    <w:p>
      <w:pPr>
        <w:spacing w:after="0" w:line="151" w:lineRule="exact"/>
        <w:rPr>
          <w:sz w:val="20"/>
          <w:szCs w:val="20"/>
          <w:color w:val="auto"/>
        </w:rPr>
      </w:pPr>
    </w:p>
    <w:p>
      <w:pPr>
        <w:ind w:right="40"/>
        <w:spacing w:after="0" w:line="279" w:lineRule="auto"/>
        <w:rPr>
          <w:sz w:val="20"/>
          <w:szCs w:val="20"/>
          <w:color w:val="auto"/>
        </w:rPr>
      </w:pPr>
      <w:r>
        <w:rPr>
          <w:rFonts w:ascii="Arial" w:cs="Arial" w:eastAsia="Arial" w:hAnsi="Arial"/>
          <w:sz w:val="19"/>
          <w:szCs w:val="19"/>
          <w:color w:val="auto"/>
        </w:rPr>
        <w:t>The GAAP operating loss for the fourth quarter of 2009 was $2.3 million, compared to income of $12.0 million in the fourth quarter of 2008 and a loss of $23.9 million in the third quarter 2009. GAAP operating results for the current quarter include a $16 million non-cash tradename write-down related to the Company’s decision to discontinue use of its non-Greatbatch tradenames due to the successful rebranding campaign of the Company’s medical segment in 2009. For the year, GAAP operating income was $1.0 million compared to $34.9 million in 2008. GAAP operating results for the third quarter 2009 included a $34.5 million litigation accrual related to the previously disclosed Electrochem litigation, which did not change in the fourth quarter.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96520</wp:posOffset>
            </wp:positionV>
            <wp:extent cx="7272020" cy="596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6" w:name="page7"/>
    <w:bookmarkEnd w:id="6"/>
    <w:p>
      <w:pPr>
        <w:ind w:right="80"/>
        <w:spacing w:after="0" w:line="246" w:lineRule="auto"/>
        <w:rPr>
          <w:sz w:val="20"/>
          <w:szCs w:val="20"/>
          <w:color w:val="auto"/>
        </w:rPr>
      </w:pPr>
      <w:r>
        <w:rPr>
          <w:rFonts w:ascii="Arial" w:cs="Arial" w:eastAsia="Arial" w:hAnsi="Arial"/>
          <w:sz w:val="21"/>
          <w:szCs w:val="21"/>
          <w:color w:val="auto"/>
        </w:rPr>
        <w:t>Adjusted operating income was $16.4 million, or 13.1% of sales, in the fourth quarter 2009, compared to $19.1 million, or 13.0% of sales, for the comparable 2008 period and $13.6 million or 11.2% of sales in the third quarter 2009. For the year, adjusted operating income was $62.6 million or 12.0% of sales compared to $58.1 million or 10.6% of sales for 2008. This increase was primarily due to the Company’s consolidation, integration and cost cutting initiatives which helped further leverage the Company’s operations. Adjusted amounts presented in this release exclude the impact of (i) acquisition-related charges, (ii) facility consolidation, manufacturing transfer and system integration charges, (iii) asset write-down and disposition charges, (iv) litigation charges and (v) the income tax (benefit) related to these adjustments. See Table A at the end of this release for reconciliation of adjusted operating income amounts to GAAP.</w:t>
      </w:r>
    </w:p>
    <w:p>
      <w:pPr>
        <w:spacing w:after="0" w:line="181" w:lineRule="exact"/>
        <w:rPr>
          <w:sz w:val="20"/>
          <w:szCs w:val="20"/>
          <w:color w:val="auto"/>
        </w:rPr>
      </w:pPr>
    </w:p>
    <w:p>
      <w:pPr>
        <w:ind w:right="120"/>
        <w:spacing w:after="0" w:line="287" w:lineRule="auto"/>
        <w:rPr>
          <w:sz w:val="20"/>
          <w:szCs w:val="20"/>
          <w:color w:val="auto"/>
        </w:rPr>
      </w:pPr>
      <w:r>
        <w:rPr>
          <w:rFonts w:ascii="Arial" w:cs="Arial" w:eastAsia="Arial" w:hAnsi="Arial"/>
          <w:sz w:val="19"/>
          <w:szCs w:val="19"/>
          <w:color w:val="auto"/>
        </w:rPr>
        <w:t>The 2009 GAAP and adjusted effective tax rates (benefit) include the favorable impact of the resolution of tax audits and the lapse of statutes of limitation on certain tax items. The fourth quarter 2008 GAAP and adjusted effective tax rates (benefit) include the benefit of the enactment of the research and development tax credit in October 2008. For 2010, the Company currently expects the GAAP effective tax rate to approximate the 35% statutory rate due to the expiration of the R&amp;D tax credit at the end of 2009.</w:t>
      </w:r>
    </w:p>
    <w:p>
      <w:pPr>
        <w:spacing w:after="0" w:line="143" w:lineRule="exact"/>
        <w:rPr>
          <w:sz w:val="20"/>
          <w:szCs w:val="20"/>
          <w:color w:val="auto"/>
        </w:rPr>
      </w:pPr>
    </w:p>
    <w:p>
      <w:pPr>
        <w:ind w:right="160"/>
        <w:spacing w:after="0" w:line="277" w:lineRule="auto"/>
        <w:rPr>
          <w:sz w:val="20"/>
          <w:szCs w:val="20"/>
          <w:color w:val="auto"/>
        </w:rPr>
      </w:pPr>
      <w:r>
        <w:rPr>
          <w:rFonts w:ascii="Arial" w:cs="Arial" w:eastAsia="Arial" w:hAnsi="Arial"/>
          <w:sz w:val="19"/>
          <w:szCs w:val="19"/>
          <w:color w:val="auto"/>
        </w:rPr>
        <w:t>GAAP diluted EPS for the fourth quarter 2009 were a $0.07 loss per share compared to income of $0.31 per share for the fourth quarter 2008 and loss of $0.90 per share for the third quarter 2009. GAAP diluted EPS for 2009 were a loss of $0.39 per share compared to income of $0.62 per share in fiscal year 2008. Adjusted EPS decreased to $0.40 per share in the fourth quarter 2009 from $0.50 per share in the fourth quarter 2008, but increased in comparison to the $0.32 per share for the third quarter of 2009. For the year, adjusted EPS increased to $1.52 per share from $1.40 per share for 2008. Prior year amounts have been retroactively adjusted, as required by GAAP, to reflect the change in accounting for convertible debt adopted in 2009. See Table B at the end of this release for reconciliation of adjusted EPS amounts to GAAP.</w:t>
      </w:r>
    </w:p>
    <w:p>
      <w:pPr>
        <w:spacing w:after="0" w:line="153" w:lineRule="exact"/>
        <w:rPr>
          <w:sz w:val="20"/>
          <w:szCs w:val="20"/>
          <w:color w:val="auto"/>
        </w:rPr>
      </w:pPr>
    </w:p>
    <w:p>
      <w:pPr>
        <w:spacing w:after="0" w:line="236" w:lineRule="auto"/>
        <w:rPr>
          <w:sz w:val="20"/>
          <w:szCs w:val="20"/>
          <w:color w:val="auto"/>
        </w:rPr>
      </w:pPr>
      <w:r>
        <w:rPr>
          <w:rFonts w:ascii="Arial" w:cs="Arial" w:eastAsia="Arial" w:hAnsi="Arial"/>
          <w:sz w:val="22"/>
          <w:szCs w:val="22"/>
          <w:color w:val="auto"/>
        </w:rPr>
        <w:t>Cash flows from operations for the fourth quarter of 2009 of approximately $22 million were used to support capital expenditures and to pay down our line of credit by $9 million, or 8% of the outstanding balance. For fiscal year 2009, cash flows from operations increased 26% to $72 million and the Company repaid $34 million, or 26% of its line of credit balance. As of January 1, 2010, the Company had $38 million of cash and cash equivalents and approximately $114 million of availability under its revolving line of credit.</w:t>
      </w:r>
    </w:p>
    <w:p>
      <w:pPr>
        <w:spacing w:after="0" w:line="1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CFO Comments</w:t>
      </w:r>
    </w:p>
    <w:p>
      <w:pPr>
        <w:spacing w:after="0" w:line="212" w:lineRule="exact"/>
        <w:rPr>
          <w:sz w:val="20"/>
          <w:szCs w:val="20"/>
          <w:color w:val="auto"/>
        </w:rPr>
      </w:pPr>
    </w:p>
    <w:p>
      <w:pPr>
        <w:ind w:right="20"/>
        <w:spacing w:after="0" w:line="275" w:lineRule="auto"/>
        <w:rPr>
          <w:sz w:val="20"/>
          <w:szCs w:val="20"/>
          <w:color w:val="auto"/>
        </w:rPr>
      </w:pPr>
      <w:r>
        <w:rPr>
          <w:rFonts w:ascii="Arial" w:cs="Arial" w:eastAsia="Arial" w:hAnsi="Arial"/>
          <w:sz w:val="19"/>
          <w:szCs w:val="19"/>
          <w:color w:val="auto"/>
        </w:rPr>
        <w:t>“Driving operating performance is a critical part of our long-term plan to drive shareholder value,” commented Thomas J. Mazza, Senior Vice President &amp; Chief Financial Officer. “During 2009, we completed a number of strategic initiatives designed to improve operational efficiency, including the consolidation of five facilities, the completion of four ERP system and back office integrations, and the streamlining of our Orthopaedic operations to improve on-time delivery and lead-time. The benefit of these initiatives can be seen in our financial results, which included the achievement of our 12% adjusted operating margin goal for 2009, 26% growth in cash flow from operations to $72 million as well as the expansion of our gross margin to 31.9%. We are proud of these accomplishments despite the difficult economic environment and remain confident that our continued focus on diversification, operational excellence and innovation will provide significant growth opportunities once the markets recover.”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100965</wp:posOffset>
            </wp:positionV>
            <wp:extent cx="7272020" cy="596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7" w:name="page8"/>
    <w:bookmarkEnd w:id="7"/>
    <w:p>
      <w:pPr>
        <w:spacing w:after="0"/>
        <w:rPr>
          <w:sz w:val="20"/>
          <w:szCs w:val="20"/>
          <w:color w:val="auto"/>
        </w:rPr>
      </w:pPr>
      <w:r>
        <w:rPr>
          <w:rFonts w:ascii="Arial" w:cs="Arial" w:eastAsia="Arial" w:hAnsi="Arial"/>
          <w:sz w:val="22"/>
          <w:szCs w:val="22"/>
          <w:b w:val="1"/>
          <w:bCs w:val="1"/>
          <w:color w:val="auto"/>
        </w:rPr>
        <w:t>Product Lines</w:t>
      </w:r>
    </w:p>
    <w:p>
      <w:pPr>
        <w:spacing w:after="0" w:line="15" w:lineRule="exact"/>
        <w:rPr>
          <w:sz w:val="20"/>
          <w:szCs w:val="20"/>
          <w:color w:val="auto"/>
        </w:rPr>
      </w:pPr>
    </w:p>
    <w:p>
      <w:pPr>
        <w:spacing w:after="0"/>
        <w:rPr>
          <w:sz w:val="20"/>
          <w:szCs w:val="20"/>
          <w:color w:val="auto"/>
        </w:rPr>
      </w:pPr>
      <w:r>
        <w:rPr>
          <w:rFonts w:ascii="Arial" w:cs="Arial" w:eastAsia="Arial" w:hAnsi="Arial"/>
          <w:sz w:val="22"/>
          <w:szCs w:val="22"/>
          <w:color w:val="auto"/>
        </w:rPr>
        <w:t>The following table summarizes the Company’s sales by major product lines (in thousands):</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0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Pr>
          <w:p>
            <w:pPr>
              <w:jc w:val="right"/>
              <w:ind w:right="348"/>
              <w:spacing w:after="0"/>
              <w:rPr>
                <w:sz w:val="20"/>
                <w:szCs w:val="20"/>
                <w:color w:val="auto"/>
              </w:rPr>
            </w:pPr>
            <w:r>
              <w:rPr>
                <w:rFonts w:ascii="Arial" w:cs="Arial" w:eastAsia="Arial" w:hAnsi="Arial"/>
                <w:sz w:val="14"/>
                <w:szCs w:val="14"/>
                <w:b w:val="1"/>
                <w:bCs w:val="1"/>
                <w:color w:val="auto"/>
              </w:rPr>
              <w:t>2009</w:t>
            </w:r>
          </w:p>
        </w:tc>
        <w:tc>
          <w:tcPr>
            <w:tcW w:w="200" w:type="dxa"/>
            <w:vAlign w:val="bottom"/>
          </w:tcPr>
          <w:p>
            <w:pPr>
              <w:spacing w:after="0"/>
              <w:rPr>
                <w:sz w:val="16"/>
                <w:szCs w:val="16"/>
                <w:color w:val="auto"/>
              </w:rPr>
            </w:pPr>
          </w:p>
        </w:tc>
        <w:tc>
          <w:tcPr>
            <w:tcW w:w="840" w:type="dxa"/>
            <w:vAlign w:val="bottom"/>
          </w:tcPr>
          <w:p>
            <w:pPr>
              <w:jc w:val="right"/>
              <w:ind w:right="288"/>
              <w:spacing w:after="0"/>
              <w:rPr>
                <w:sz w:val="20"/>
                <w:szCs w:val="20"/>
                <w:color w:val="auto"/>
              </w:rPr>
            </w:pPr>
            <w:r>
              <w:rPr>
                <w:rFonts w:ascii="Arial" w:cs="Arial" w:eastAsia="Arial" w:hAnsi="Arial"/>
                <w:sz w:val="14"/>
                <w:szCs w:val="14"/>
                <w:b w:val="1"/>
                <w:bCs w:val="1"/>
                <w:color w:val="auto"/>
              </w:rPr>
              <w:t>2008</w:t>
            </w:r>
          </w:p>
        </w:tc>
        <w:tc>
          <w:tcPr>
            <w:tcW w:w="1080" w:type="dxa"/>
            <w:vAlign w:val="bottom"/>
          </w:tcPr>
          <w:p>
            <w:pPr>
              <w:jc w:val="right"/>
              <w:ind w:right="388"/>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6"/>
                <w:szCs w:val="16"/>
                <w:color w:val="auto"/>
              </w:rPr>
            </w:pPr>
          </w:p>
        </w:tc>
        <w:tc>
          <w:tcPr>
            <w:tcW w:w="800" w:type="dxa"/>
            <w:vAlign w:val="bottom"/>
          </w:tcPr>
          <w:p>
            <w:pPr>
              <w:jc w:val="right"/>
              <w:ind w:right="268"/>
              <w:spacing w:after="0"/>
              <w:rPr>
                <w:sz w:val="20"/>
                <w:szCs w:val="20"/>
                <w:color w:val="auto"/>
              </w:rPr>
            </w:pPr>
            <w:r>
              <w:rPr>
                <w:rFonts w:ascii="Arial" w:cs="Arial" w:eastAsia="Arial" w:hAnsi="Arial"/>
                <w:sz w:val="14"/>
                <w:szCs w:val="14"/>
                <w:b w:val="1"/>
                <w:bCs w:val="1"/>
                <w:color w:val="auto"/>
              </w:rPr>
              <w:t>2009</w:t>
            </w:r>
          </w:p>
        </w:tc>
        <w:tc>
          <w:tcPr>
            <w:tcW w:w="140" w:type="dxa"/>
            <w:vAlign w:val="bottom"/>
          </w:tcPr>
          <w:p>
            <w:pPr>
              <w:spacing w:after="0"/>
              <w:rPr>
                <w:sz w:val="16"/>
                <w:szCs w:val="16"/>
                <w:color w:val="auto"/>
              </w:rPr>
            </w:pPr>
          </w:p>
        </w:tc>
        <w:tc>
          <w:tcPr>
            <w:tcW w:w="940" w:type="dxa"/>
            <w:vAlign w:val="bottom"/>
          </w:tcPr>
          <w:p>
            <w:pPr>
              <w:jc w:val="right"/>
              <w:ind w:right="408"/>
              <w:spacing w:after="0"/>
              <w:rPr>
                <w:sz w:val="20"/>
                <w:szCs w:val="20"/>
                <w:color w:val="auto"/>
              </w:rPr>
            </w:pPr>
            <w:r>
              <w:rPr>
                <w:rFonts w:ascii="Arial" w:cs="Arial" w:eastAsia="Arial" w:hAnsi="Arial"/>
                <w:sz w:val="14"/>
                <w:szCs w:val="14"/>
                <w:b w:val="1"/>
                <w:bCs w:val="1"/>
                <w:color w:val="auto"/>
              </w:rPr>
              <w:t>%</w:t>
            </w:r>
          </w:p>
        </w:tc>
        <w:tc>
          <w:tcPr>
            <w:tcW w:w="240" w:type="dxa"/>
            <w:vAlign w:val="bottom"/>
          </w:tcPr>
          <w:p>
            <w:pPr>
              <w:spacing w:after="0"/>
              <w:rPr>
                <w:sz w:val="16"/>
                <w:szCs w:val="16"/>
                <w:color w:val="auto"/>
              </w:rPr>
            </w:pPr>
          </w:p>
        </w:tc>
        <w:tc>
          <w:tcPr>
            <w:tcW w:w="840" w:type="dxa"/>
            <w:vAlign w:val="bottom"/>
          </w:tcPr>
          <w:p>
            <w:pPr>
              <w:jc w:val="right"/>
              <w:ind w:right="368"/>
              <w:spacing w:after="0"/>
              <w:rPr>
                <w:sz w:val="20"/>
                <w:szCs w:val="20"/>
                <w:color w:val="auto"/>
              </w:rPr>
            </w:pPr>
            <w:r>
              <w:rPr>
                <w:rFonts w:ascii="Arial" w:cs="Arial" w:eastAsia="Arial" w:hAnsi="Arial"/>
                <w:sz w:val="14"/>
                <w:szCs w:val="14"/>
                <w:b w:val="1"/>
                <w:bCs w:val="1"/>
                <w:color w:val="auto"/>
              </w:rPr>
              <w:t>2009</w:t>
            </w:r>
          </w:p>
        </w:tc>
        <w:tc>
          <w:tcPr>
            <w:tcW w:w="260" w:type="dxa"/>
            <w:vAlign w:val="bottom"/>
          </w:tcPr>
          <w:p>
            <w:pPr>
              <w:spacing w:after="0"/>
              <w:rPr>
                <w:sz w:val="16"/>
                <w:szCs w:val="16"/>
                <w:color w:val="auto"/>
              </w:rPr>
            </w:pPr>
          </w:p>
        </w:tc>
        <w:tc>
          <w:tcPr>
            <w:tcW w:w="780" w:type="dxa"/>
            <w:vAlign w:val="bottom"/>
          </w:tcPr>
          <w:p>
            <w:pPr>
              <w:jc w:val="right"/>
              <w:ind w:right="288"/>
              <w:spacing w:after="0"/>
              <w:rPr>
                <w:sz w:val="20"/>
                <w:szCs w:val="20"/>
                <w:color w:val="auto"/>
              </w:rPr>
            </w:pPr>
            <w:r>
              <w:rPr>
                <w:rFonts w:ascii="Arial" w:cs="Arial" w:eastAsia="Arial" w:hAnsi="Arial"/>
                <w:sz w:val="14"/>
                <w:szCs w:val="14"/>
                <w:b w:val="1"/>
                <w:bCs w:val="1"/>
                <w:color w:val="auto"/>
              </w:rPr>
              <w:t>2008</w:t>
            </w:r>
          </w:p>
        </w:tc>
        <w:tc>
          <w:tcPr>
            <w:tcW w:w="160" w:type="dxa"/>
            <w:vAlign w:val="bottom"/>
          </w:tcPr>
          <w:p>
            <w:pPr>
              <w:spacing w:after="0"/>
              <w:rPr>
                <w:sz w:val="16"/>
                <w:szCs w:val="16"/>
                <w:color w:val="auto"/>
              </w:rPr>
            </w:pPr>
          </w:p>
        </w:tc>
        <w:tc>
          <w:tcPr>
            <w:tcW w:w="860" w:type="dxa"/>
            <w:vAlign w:val="bottom"/>
          </w:tcPr>
          <w:p>
            <w:pPr>
              <w:jc w:val="right"/>
              <w:ind w:right="308"/>
              <w:spacing w:after="0"/>
              <w:rPr>
                <w:sz w:val="20"/>
                <w:szCs w:val="20"/>
                <w:color w:val="auto"/>
              </w:rPr>
            </w:pPr>
            <w:r>
              <w:rPr>
                <w:rFonts w:ascii="Arial" w:cs="Arial" w:eastAsia="Arial" w:hAnsi="Arial"/>
                <w:sz w:val="14"/>
                <w:szCs w:val="14"/>
                <w:b w:val="1"/>
                <w:bCs w:val="1"/>
                <w:color w:val="auto"/>
              </w:rPr>
              <w:t>%</w:t>
            </w:r>
          </w:p>
        </w:tc>
      </w:tr>
      <w:tr>
        <w:trPr>
          <w:trHeight w:val="188"/>
        </w:trPr>
        <w:tc>
          <w:tcPr>
            <w:tcW w:w="30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Product Lines</w:t>
            </w:r>
          </w:p>
        </w:tc>
        <w:tc>
          <w:tcPr>
            <w:tcW w:w="2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4th Qtr.</w:t>
            </w:r>
          </w:p>
        </w:tc>
        <w:tc>
          <w:tcPr>
            <w:tcW w:w="2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4th Qtr.*</w:t>
            </w:r>
          </w:p>
        </w:tc>
        <w:tc>
          <w:tcPr>
            <w:tcW w:w="108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Change</w:t>
            </w: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gridSpan w:val="2"/>
          </w:tcPr>
          <w:p>
            <w:pPr>
              <w:ind w:left="60"/>
              <w:spacing w:after="0"/>
              <w:rPr>
                <w:sz w:val="20"/>
                <w:szCs w:val="20"/>
                <w:color w:val="auto"/>
              </w:rPr>
            </w:pPr>
            <w:r>
              <w:rPr>
                <w:rFonts w:ascii="Arial" w:cs="Arial" w:eastAsia="Arial" w:hAnsi="Arial"/>
                <w:sz w:val="14"/>
                <w:szCs w:val="14"/>
                <w:b w:val="1"/>
                <w:bCs w:val="1"/>
                <w:color w:val="auto"/>
              </w:rPr>
              <w:t>3rd Qtr.</w:t>
            </w:r>
          </w:p>
        </w:tc>
        <w:tc>
          <w:tcPr>
            <w:tcW w:w="94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Change</w:t>
            </w:r>
          </w:p>
        </w:tc>
        <w:tc>
          <w:tcPr>
            <w:tcW w:w="24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Year</w:t>
            </w:r>
          </w:p>
        </w:tc>
        <w:tc>
          <w:tcPr>
            <w:tcW w:w="2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gridSpan w:val="2"/>
          </w:tcPr>
          <w:p>
            <w:pPr>
              <w:ind w:left="80"/>
              <w:spacing w:after="0"/>
              <w:rPr>
                <w:sz w:val="20"/>
                <w:szCs w:val="20"/>
                <w:color w:val="auto"/>
              </w:rPr>
            </w:pPr>
            <w:r>
              <w:rPr>
                <w:rFonts w:ascii="Arial" w:cs="Arial" w:eastAsia="Arial" w:hAnsi="Arial"/>
                <w:sz w:val="14"/>
                <w:szCs w:val="14"/>
                <w:b w:val="1"/>
                <w:bCs w:val="1"/>
                <w:color w:val="auto"/>
              </w:rPr>
              <w:t>Year*</w:t>
            </w:r>
          </w:p>
        </w:tc>
        <w:tc>
          <w:tcPr>
            <w:tcW w:w="86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Change</w:t>
            </w:r>
          </w:p>
        </w:tc>
      </w:tr>
      <w:tr>
        <w:trPr>
          <w:trHeight w:val="164"/>
        </w:trPr>
        <w:tc>
          <w:tcPr>
            <w:tcW w:w="3040" w:type="dxa"/>
            <w:vAlign w:val="bottom"/>
          </w:tcPr>
          <w:p>
            <w:pPr>
              <w:spacing w:after="0"/>
              <w:rPr>
                <w:sz w:val="20"/>
                <w:szCs w:val="20"/>
                <w:color w:val="auto"/>
              </w:rPr>
            </w:pPr>
            <w:r>
              <w:rPr>
                <w:rFonts w:ascii="Arial" w:cs="Arial" w:eastAsia="Arial" w:hAnsi="Arial"/>
                <w:sz w:val="14"/>
                <w:szCs w:val="14"/>
                <w:color w:val="auto"/>
              </w:rPr>
              <w:t>Greatbatch Medical</w:t>
            </w: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Pr>
          <w:p>
            <w:pPr>
              <w:spacing w:after="0"/>
              <w:rPr>
                <w:sz w:val="14"/>
                <w:szCs w:val="14"/>
                <w:color w:val="auto"/>
              </w:rPr>
            </w:pPr>
          </w:p>
        </w:tc>
      </w:tr>
      <w:tr>
        <w:trPr>
          <w:trHeight w:val="176"/>
        </w:trPr>
        <w:tc>
          <w:tcPr>
            <w:tcW w:w="3040" w:type="dxa"/>
            <w:vAlign w:val="bottom"/>
          </w:tcPr>
          <w:p>
            <w:pPr>
              <w:ind w:left="280"/>
              <w:spacing w:after="0"/>
              <w:rPr>
                <w:sz w:val="20"/>
                <w:szCs w:val="20"/>
                <w:color w:val="auto"/>
              </w:rPr>
            </w:pPr>
            <w:r>
              <w:rPr>
                <w:rFonts w:ascii="Arial" w:cs="Arial" w:eastAsia="Arial" w:hAnsi="Arial"/>
                <w:sz w:val="14"/>
                <w:szCs w:val="14"/>
                <w:color w:val="auto"/>
              </w:rPr>
              <w:t>CRM/Neuromodulation</w:t>
            </w:r>
          </w:p>
        </w:tc>
        <w:tc>
          <w:tcPr>
            <w:tcW w:w="200" w:type="dxa"/>
            <w:vAlign w:val="bottom"/>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75,969</w:t>
            </w:r>
          </w:p>
        </w:tc>
        <w:tc>
          <w:tcPr>
            <w:tcW w:w="20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79,828</w:t>
            </w:r>
          </w:p>
        </w:tc>
        <w:tc>
          <w:tcPr>
            <w:tcW w:w="1080" w:type="dxa"/>
            <w:vAlign w:val="bottom"/>
          </w:tcPr>
          <w:p>
            <w:pPr>
              <w:jc w:val="right"/>
              <w:ind w:right="248"/>
              <w:spacing w:after="0"/>
              <w:rPr>
                <w:sz w:val="20"/>
                <w:szCs w:val="20"/>
                <w:color w:val="auto"/>
              </w:rPr>
            </w:pPr>
            <w:r>
              <w:rPr>
                <w:rFonts w:ascii="Arial" w:cs="Arial" w:eastAsia="Arial" w:hAnsi="Arial"/>
                <w:sz w:val="14"/>
                <w:szCs w:val="14"/>
                <w:color w:val="auto"/>
              </w:rPr>
              <w:t>-5%</w:t>
            </w: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40"/>
              <w:spacing w:after="0"/>
              <w:rPr>
                <w:sz w:val="20"/>
                <w:szCs w:val="20"/>
                <w:color w:val="auto"/>
              </w:rPr>
            </w:pPr>
            <w:r>
              <w:rPr>
                <w:rFonts w:ascii="Arial" w:cs="Arial" w:eastAsia="Arial" w:hAnsi="Arial"/>
                <w:sz w:val="14"/>
                <w:szCs w:val="14"/>
                <w:color w:val="auto"/>
              </w:rPr>
              <w:t>74,094</w:t>
            </w:r>
          </w:p>
        </w:tc>
        <w:tc>
          <w:tcPr>
            <w:tcW w:w="940" w:type="dxa"/>
            <w:vAlign w:val="bottom"/>
          </w:tcPr>
          <w:p>
            <w:pPr>
              <w:jc w:val="right"/>
              <w:ind w:right="268"/>
              <w:spacing w:after="0"/>
              <w:rPr>
                <w:sz w:val="20"/>
                <w:szCs w:val="20"/>
                <w:color w:val="auto"/>
              </w:rPr>
            </w:pPr>
            <w:r>
              <w:rPr>
                <w:rFonts w:ascii="Arial" w:cs="Arial" w:eastAsia="Arial" w:hAnsi="Arial"/>
                <w:sz w:val="14"/>
                <w:szCs w:val="14"/>
                <w:color w:val="auto"/>
              </w:rPr>
              <w:t>3%</w:t>
            </w:r>
          </w:p>
        </w:tc>
        <w:tc>
          <w:tcPr>
            <w:tcW w:w="24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8"/>
              <w:spacing w:after="0"/>
              <w:rPr>
                <w:sz w:val="20"/>
                <w:szCs w:val="20"/>
                <w:color w:val="auto"/>
              </w:rPr>
            </w:pPr>
            <w:r>
              <w:rPr>
                <w:rFonts w:ascii="Arial" w:cs="Arial" w:eastAsia="Arial" w:hAnsi="Arial"/>
                <w:sz w:val="14"/>
                <w:szCs w:val="14"/>
                <w:color w:val="auto"/>
              </w:rPr>
              <w:t>305,354</w:t>
            </w:r>
          </w:p>
        </w:tc>
        <w:tc>
          <w:tcPr>
            <w:tcW w:w="260" w:type="dxa"/>
            <w:vAlign w:val="bottom"/>
          </w:tcPr>
          <w:p>
            <w:pPr>
              <w:spacing w:after="0"/>
              <w:rPr>
                <w:sz w:val="15"/>
                <w:szCs w:val="15"/>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4"/>
                <w:szCs w:val="14"/>
                <w:color w:val="auto"/>
              </w:rPr>
              <w:t>286,251</w:t>
            </w:r>
          </w:p>
        </w:tc>
        <w:tc>
          <w:tcPr>
            <w:tcW w:w="860" w:type="dxa"/>
            <w:vAlign w:val="bottom"/>
          </w:tcPr>
          <w:p>
            <w:pPr>
              <w:jc w:val="right"/>
              <w:ind w:right="168"/>
              <w:spacing w:after="0"/>
              <w:rPr>
                <w:sz w:val="20"/>
                <w:szCs w:val="20"/>
                <w:color w:val="auto"/>
              </w:rPr>
            </w:pPr>
            <w:r>
              <w:rPr>
                <w:rFonts w:ascii="Arial" w:cs="Arial" w:eastAsia="Arial" w:hAnsi="Arial"/>
                <w:sz w:val="14"/>
                <w:szCs w:val="14"/>
                <w:color w:val="auto"/>
              </w:rPr>
              <w:t>7%</w:t>
            </w:r>
          </w:p>
        </w:tc>
      </w:tr>
      <w:tr>
        <w:trPr>
          <w:trHeight w:val="176"/>
        </w:trPr>
        <w:tc>
          <w:tcPr>
            <w:tcW w:w="3040" w:type="dxa"/>
            <w:vAlign w:val="bottom"/>
          </w:tcPr>
          <w:p>
            <w:pPr>
              <w:ind w:left="280"/>
              <w:spacing w:after="0"/>
              <w:rPr>
                <w:sz w:val="20"/>
                <w:szCs w:val="20"/>
                <w:color w:val="auto"/>
              </w:rPr>
            </w:pPr>
            <w:r>
              <w:rPr>
                <w:rFonts w:ascii="Arial" w:cs="Arial" w:eastAsia="Arial" w:hAnsi="Arial"/>
                <w:sz w:val="14"/>
                <w:szCs w:val="14"/>
                <w:color w:val="auto"/>
              </w:rPr>
              <w:t>Vascular Access</w:t>
            </w:r>
          </w:p>
        </w:tc>
        <w:tc>
          <w:tcPr>
            <w:tcW w:w="200" w:type="dxa"/>
            <w:vAlign w:val="bottom"/>
          </w:tcPr>
          <w:p>
            <w:pPr>
              <w:spacing w:after="0"/>
              <w:rPr>
                <w:sz w:val="15"/>
                <w:szCs w:val="15"/>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7,556</w:t>
            </w:r>
          </w:p>
        </w:tc>
        <w:tc>
          <w:tcPr>
            <w:tcW w:w="20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11,194</w:t>
            </w:r>
          </w:p>
        </w:tc>
        <w:tc>
          <w:tcPr>
            <w:tcW w:w="1080" w:type="dxa"/>
            <w:vAlign w:val="bottom"/>
          </w:tcPr>
          <w:p>
            <w:pPr>
              <w:jc w:val="right"/>
              <w:ind w:right="248"/>
              <w:spacing w:after="0"/>
              <w:rPr>
                <w:sz w:val="20"/>
                <w:szCs w:val="20"/>
                <w:color w:val="auto"/>
              </w:rPr>
            </w:pPr>
            <w:r>
              <w:rPr>
                <w:rFonts w:ascii="Arial" w:cs="Arial" w:eastAsia="Arial" w:hAnsi="Arial"/>
                <w:sz w:val="14"/>
                <w:szCs w:val="14"/>
                <w:color w:val="auto"/>
              </w:rPr>
              <w:t>-32%</w:t>
            </w:r>
          </w:p>
        </w:tc>
        <w:tc>
          <w:tcPr>
            <w:tcW w:w="180" w:type="dxa"/>
            <w:vAlign w:val="bottom"/>
          </w:tcPr>
          <w:p>
            <w:pPr>
              <w:spacing w:after="0"/>
              <w:rPr>
                <w:sz w:val="15"/>
                <w:szCs w:val="15"/>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4"/>
                <w:szCs w:val="14"/>
                <w:color w:val="auto"/>
              </w:rPr>
              <w:t>8,375</w:t>
            </w:r>
          </w:p>
        </w:tc>
        <w:tc>
          <w:tcPr>
            <w:tcW w:w="940" w:type="dxa"/>
            <w:vAlign w:val="bottom"/>
          </w:tcPr>
          <w:p>
            <w:pPr>
              <w:jc w:val="right"/>
              <w:ind w:right="268"/>
              <w:spacing w:after="0"/>
              <w:rPr>
                <w:sz w:val="20"/>
                <w:szCs w:val="20"/>
                <w:color w:val="auto"/>
              </w:rPr>
            </w:pPr>
            <w:r>
              <w:rPr>
                <w:rFonts w:ascii="Arial" w:cs="Arial" w:eastAsia="Arial" w:hAnsi="Arial"/>
                <w:sz w:val="14"/>
                <w:szCs w:val="14"/>
                <w:color w:val="auto"/>
              </w:rPr>
              <w:t>-10%</w:t>
            </w:r>
          </w:p>
        </w:tc>
        <w:tc>
          <w:tcPr>
            <w:tcW w:w="240" w:type="dxa"/>
            <w:vAlign w:val="bottom"/>
          </w:tcPr>
          <w:p>
            <w:pPr>
              <w:spacing w:after="0"/>
              <w:rPr>
                <w:sz w:val="15"/>
                <w:szCs w:val="15"/>
                <w:color w:val="auto"/>
              </w:rPr>
            </w:pPr>
          </w:p>
        </w:tc>
        <w:tc>
          <w:tcPr>
            <w:tcW w:w="840" w:type="dxa"/>
            <w:vAlign w:val="bottom"/>
          </w:tcPr>
          <w:p>
            <w:pPr>
              <w:jc w:val="right"/>
              <w:ind w:right="8"/>
              <w:spacing w:after="0"/>
              <w:rPr>
                <w:sz w:val="20"/>
                <w:szCs w:val="20"/>
                <w:color w:val="auto"/>
              </w:rPr>
            </w:pPr>
            <w:r>
              <w:rPr>
                <w:rFonts w:ascii="Arial" w:cs="Arial" w:eastAsia="Arial" w:hAnsi="Arial"/>
                <w:sz w:val="14"/>
                <w:szCs w:val="14"/>
                <w:color w:val="auto"/>
              </w:rPr>
              <w:t>35,816</w:t>
            </w:r>
          </w:p>
        </w:tc>
        <w:tc>
          <w:tcPr>
            <w:tcW w:w="260" w:type="dxa"/>
            <w:vAlign w:val="bottom"/>
          </w:tcPr>
          <w:p>
            <w:pPr>
              <w:spacing w:after="0"/>
              <w:rPr>
                <w:sz w:val="15"/>
                <w:szCs w:val="15"/>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4"/>
                <w:szCs w:val="14"/>
                <w:color w:val="auto"/>
              </w:rPr>
              <w:t>39,443</w:t>
            </w:r>
          </w:p>
        </w:tc>
        <w:tc>
          <w:tcPr>
            <w:tcW w:w="860" w:type="dxa"/>
            <w:vAlign w:val="bottom"/>
          </w:tcPr>
          <w:p>
            <w:pPr>
              <w:jc w:val="right"/>
              <w:ind w:right="168"/>
              <w:spacing w:after="0"/>
              <w:rPr>
                <w:sz w:val="20"/>
                <w:szCs w:val="20"/>
                <w:color w:val="auto"/>
              </w:rPr>
            </w:pPr>
            <w:r>
              <w:rPr>
                <w:rFonts w:ascii="Arial" w:cs="Arial" w:eastAsia="Arial" w:hAnsi="Arial"/>
                <w:sz w:val="14"/>
                <w:szCs w:val="14"/>
                <w:color w:val="auto"/>
              </w:rPr>
              <w:t>-9%</w:t>
            </w:r>
          </w:p>
        </w:tc>
      </w:tr>
      <w:tr>
        <w:trPr>
          <w:trHeight w:val="181"/>
        </w:trPr>
        <w:tc>
          <w:tcPr>
            <w:tcW w:w="3040" w:type="dxa"/>
            <w:vAlign w:val="bottom"/>
          </w:tcPr>
          <w:p>
            <w:pPr>
              <w:ind w:left="280"/>
              <w:spacing w:after="0"/>
              <w:rPr>
                <w:sz w:val="20"/>
                <w:szCs w:val="20"/>
                <w:color w:val="auto"/>
              </w:rPr>
            </w:pPr>
            <w:r>
              <w:rPr>
                <w:rFonts w:ascii="Arial" w:cs="Arial" w:eastAsia="Arial" w:hAnsi="Arial"/>
                <w:sz w:val="14"/>
                <w:szCs w:val="14"/>
                <w:color w:val="auto"/>
              </w:rPr>
              <w:t>Orthopaedic</w:t>
            </w:r>
          </w:p>
        </w:tc>
        <w:tc>
          <w:tcPr>
            <w:tcW w:w="200" w:type="dxa"/>
            <w:vAlign w:val="bottom"/>
          </w:tcPr>
          <w:p>
            <w:pPr>
              <w:spacing w:after="0"/>
              <w:rPr>
                <w:sz w:val="15"/>
                <w:szCs w:val="15"/>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25,233</w:t>
            </w:r>
          </w:p>
        </w:tc>
        <w:tc>
          <w:tcPr>
            <w:tcW w:w="20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35,746</w:t>
            </w:r>
          </w:p>
        </w:tc>
        <w:tc>
          <w:tcPr>
            <w:tcW w:w="1080" w:type="dxa"/>
            <w:vAlign w:val="bottom"/>
          </w:tcPr>
          <w:p>
            <w:pPr>
              <w:jc w:val="right"/>
              <w:ind w:right="248"/>
              <w:spacing w:after="0"/>
              <w:rPr>
                <w:sz w:val="20"/>
                <w:szCs w:val="20"/>
                <w:color w:val="auto"/>
              </w:rPr>
            </w:pPr>
            <w:r>
              <w:rPr>
                <w:rFonts w:ascii="Arial" w:cs="Arial" w:eastAsia="Arial" w:hAnsi="Arial"/>
                <w:sz w:val="14"/>
                <w:szCs w:val="14"/>
                <w:color w:val="auto"/>
              </w:rPr>
              <w:t>-29%</w:t>
            </w:r>
          </w:p>
        </w:tc>
        <w:tc>
          <w:tcPr>
            <w:tcW w:w="180" w:type="dxa"/>
            <w:vAlign w:val="bottom"/>
          </w:tcPr>
          <w:p>
            <w:pPr>
              <w:spacing w:after="0"/>
              <w:rPr>
                <w:sz w:val="15"/>
                <w:szCs w:val="15"/>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4"/>
                <w:szCs w:val="14"/>
                <w:color w:val="auto"/>
              </w:rPr>
              <w:t>23,190</w:t>
            </w:r>
          </w:p>
        </w:tc>
        <w:tc>
          <w:tcPr>
            <w:tcW w:w="940" w:type="dxa"/>
            <w:vAlign w:val="bottom"/>
          </w:tcPr>
          <w:p>
            <w:pPr>
              <w:jc w:val="right"/>
              <w:ind w:right="268"/>
              <w:spacing w:after="0"/>
              <w:rPr>
                <w:sz w:val="20"/>
                <w:szCs w:val="20"/>
                <w:color w:val="auto"/>
              </w:rPr>
            </w:pPr>
            <w:r>
              <w:rPr>
                <w:rFonts w:ascii="Arial" w:cs="Arial" w:eastAsia="Arial" w:hAnsi="Arial"/>
                <w:sz w:val="14"/>
                <w:szCs w:val="14"/>
                <w:color w:val="auto"/>
              </w:rPr>
              <w:t>9%</w:t>
            </w:r>
          </w:p>
        </w:tc>
        <w:tc>
          <w:tcPr>
            <w:tcW w:w="240" w:type="dxa"/>
            <w:vAlign w:val="bottom"/>
          </w:tcPr>
          <w:p>
            <w:pPr>
              <w:spacing w:after="0"/>
              <w:rPr>
                <w:sz w:val="15"/>
                <w:szCs w:val="15"/>
                <w:color w:val="auto"/>
              </w:rPr>
            </w:pPr>
          </w:p>
        </w:tc>
        <w:tc>
          <w:tcPr>
            <w:tcW w:w="840" w:type="dxa"/>
            <w:vAlign w:val="bottom"/>
          </w:tcPr>
          <w:p>
            <w:pPr>
              <w:jc w:val="right"/>
              <w:ind w:right="8"/>
              <w:spacing w:after="0"/>
              <w:rPr>
                <w:sz w:val="20"/>
                <w:szCs w:val="20"/>
                <w:color w:val="auto"/>
              </w:rPr>
            </w:pPr>
            <w:r>
              <w:rPr>
                <w:rFonts w:ascii="Arial" w:cs="Arial" w:eastAsia="Arial" w:hAnsi="Arial"/>
                <w:sz w:val="14"/>
                <w:szCs w:val="14"/>
                <w:color w:val="auto"/>
              </w:rPr>
              <w:t>113,897</w:t>
            </w:r>
          </w:p>
        </w:tc>
        <w:tc>
          <w:tcPr>
            <w:tcW w:w="260" w:type="dxa"/>
            <w:vAlign w:val="bottom"/>
          </w:tcPr>
          <w:p>
            <w:pPr>
              <w:spacing w:after="0"/>
              <w:rPr>
                <w:sz w:val="15"/>
                <w:szCs w:val="15"/>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4"/>
                <w:szCs w:val="14"/>
                <w:color w:val="auto"/>
              </w:rPr>
              <w:t>142,446</w:t>
            </w:r>
          </w:p>
        </w:tc>
        <w:tc>
          <w:tcPr>
            <w:tcW w:w="860" w:type="dxa"/>
            <w:vAlign w:val="bottom"/>
          </w:tcPr>
          <w:p>
            <w:pPr>
              <w:jc w:val="right"/>
              <w:ind w:right="168"/>
              <w:spacing w:after="0"/>
              <w:rPr>
                <w:sz w:val="20"/>
                <w:szCs w:val="20"/>
                <w:color w:val="auto"/>
              </w:rPr>
            </w:pPr>
            <w:r>
              <w:rPr>
                <w:rFonts w:ascii="Arial" w:cs="Arial" w:eastAsia="Arial" w:hAnsi="Arial"/>
                <w:sz w:val="14"/>
                <w:szCs w:val="14"/>
                <w:color w:val="auto"/>
              </w:rPr>
              <w:t>-20%</w:t>
            </w:r>
          </w:p>
        </w:tc>
      </w:tr>
      <w:tr>
        <w:trPr>
          <w:trHeight w:val="164"/>
        </w:trPr>
        <w:tc>
          <w:tcPr>
            <w:tcW w:w="3040" w:type="dxa"/>
            <w:vAlign w:val="bottom"/>
          </w:tcPr>
          <w:p>
            <w:pPr>
              <w:spacing w:after="0"/>
              <w:rPr>
                <w:sz w:val="20"/>
                <w:szCs w:val="20"/>
                <w:color w:val="auto"/>
              </w:rPr>
            </w:pPr>
            <w:r>
              <w:rPr>
                <w:rFonts w:ascii="Arial" w:cs="Arial" w:eastAsia="Arial" w:hAnsi="Arial"/>
                <w:sz w:val="14"/>
                <w:szCs w:val="14"/>
                <w:color w:val="auto"/>
              </w:rPr>
              <w:t>Total Greatbatch Medical</w:t>
            </w:r>
          </w:p>
        </w:tc>
        <w:tc>
          <w:tcPr>
            <w:tcW w:w="200" w:type="dxa"/>
            <w:vAlign w:val="bottom"/>
            <w:tcBorders>
              <w:top w:val="single" w:sz="8" w:color="auto"/>
            </w:tcBorders>
          </w:tcPr>
          <w:p>
            <w:pPr>
              <w:spacing w:after="0"/>
              <w:rPr>
                <w:sz w:val="14"/>
                <w:szCs w:val="14"/>
                <w:color w:val="auto"/>
              </w:rPr>
            </w:pPr>
          </w:p>
        </w:tc>
        <w:tc>
          <w:tcPr>
            <w:tcW w:w="860" w:type="dxa"/>
            <w:vAlign w:val="bottom"/>
            <w:tcBorders>
              <w:top w:val="single" w:sz="8" w:color="auto"/>
            </w:tcBorders>
          </w:tcPr>
          <w:p>
            <w:pPr>
              <w:jc w:val="right"/>
              <w:ind w:right="8"/>
              <w:spacing w:after="0"/>
              <w:rPr>
                <w:sz w:val="20"/>
                <w:szCs w:val="20"/>
                <w:color w:val="auto"/>
              </w:rPr>
            </w:pPr>
            <w:r>
              <w:rPr>
                <w:rFonts w:ascii="Arial" w:cs="Arial" w:eastAsia="Arial" w:hAnsi="Arial"/>
                <w:sz w:val="14"/>
                <w:szCs w:val="14"/>
                <w:color w:val="auto"/>
              </w:rPr>
              <w:t>108,758</w:t>
            </w:r>
          </w:p>
        </w:tc>
        <w:tc>
          <w:tcPr>
            <w:tcW w:w="200" w:type="dxa"/>
            <w:vAlign w:val="bottom"/>
            <w:tcBorders>
              <w:top w:val="single" w:sz="8" w:color="auto"/>
            </w:tcBorders>
          </w:tcPr>
          <w:p>
            <w:pPr>
              <w:spacing w:after="0"/>
              <w:rPr>
                <w:sz w:val="14"/>
                <w:szCs w:val="14"/>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126,768</w:t>
            </w:r>
          </w:p>
        </w:tc>
        <w:tc>
          <w:tcPr>
            <w:tcW w:w="1080" w:type="dxa"/>
            <w:vAlign w:val="bottom"/>
          </w:tcPr>
          <w:p>
            <w:pPr>
              <w:jc w:val="right"/>
              <w:ind w:right="248"/>
              <w:spacing w:after="0"/>
              <w:rPr>
                <w:sz w:val="20"/>
                <w:szCs w:val="20"/>
                <w:color w:val="auto"/>
              </w:rPr>
            </w:pPr>
            <w:r>
              <w:rPr>
                <w:rFonts w:ascii="Arial" w:cs="Arial" w:eastAsia="Arial" w:hAnsi="Arial"/>
                <w:sz w:val="14"/>
                <w:szCs w:val="14"/>
                <w:color w:val="auto"/>
              </w:rPr>
              <w:t>-14%</w:t>
            </w:r>
          </w:p>
        </w:tc>
        <w:tc>
          <w:tcPr>
            <w:tcW w:w="18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105,659</w:t>
            </w:r>
          </w:p>
        </w:tc>
        <w:tc>
          <w:tcPr>
            <w:tcW w:w="140" w:type="dxa"/>
            <w:vAlign w:val="bottom"/>
          </w:tcPr>
          <w:p>
            <w:pPr>
              <w:spacing w:after="0"/>
              <w:rPr>
                <w:sz w:val="14"/>
                <w:szCs w:val="14"/>
                <w:color w:val="auto"/>
              </w:rPr>
            </w:pPr>
          </w:p>
        </w:tc>
        <w:tc>
          <w:tcPr>
            <w:tcW w:w="940" w:type="dxa"/>
            <w:vAlign w:val="bottom"/>
          </w:tcPr>
          <w:p>
            <w:pPr>
              <w:jc w:val="right"/>
              <w:ind w:right="268"/>
              <w:spacing w:after="0"/>
              <w:rPr>
                <w:sz w:val="20"/>
                <w:szCs w:val="20"/>
                <w:color w:val="auto"/>
              </w:rPr>
            </w:pPr>
            <w:r>
              <w:rPr>
                <w:rFonts w:ascii="Arial" w:cs="Arial" w:eastAsia="Arial" w:hAnsi="Arial"/>
                <w:sz w:val="14"/>
                <w:szCs w:val="14"/>
                <w:color w:val="auto"/>
              </w:rPr>
              <w:t>3%</w:t>
            </w:r>
          </w:p>
        </w:tc>
        <w:tc>
          <w:tcPr>
            <w:tcW w:w="240" w:type="dxa"/>
            <w:vAlign w:val="bottom"/>
            <w:tcBorders>
              <w:top w:val="single" w:sz="8" w:color="auto"/>
            </w:tcBorders>
          </w:tcPr>
          <w:p>
            <w:pPr>
              <w:spacing w:after="0"/>
              <w:rPr>
                <w:sz w:val="14"/>
                <w:szCs w:val="14"/>
                <w:color w:val="auto"/>
              </w:rPr>
            </w:pPr>
          </w:p>
        </w:tc>
        <w:tc>
          <w:tcPr>
            <w:tcW w:w="840" w:type="dxa"/>
            <w:vAlign w:val="bottom"/>
            <w:tcBorders>
              <w:top w:val="single" w:sz="8" w:color="auto"/>
            </w:tcBorders>
          </w:tcPr>
          <w:p>
            <w:pPr>
              <w:jc w:val="right"/>
              <w:ind w:right="8"/>
              <w:spacing w:after="0"/>
              <w:rPr>
                <w:sz w:val="20"/>
                <w:szCs w:val="20"/>
                <w:color w:val="auto"/>
              </w:rPr>
            </w:pPr>
            <w:r>
              <w:rPr>
                <w:rFonts w:ascii="Arial" w:cs="Arial" w:eastAsia="Arial" w:hAnsi="Arial"/>
                <w:sz w:val="14"/>
                <w:szCs w:val="14"/>
                <w:color w:val="auto"/>
              </w:rPr>
              <w:t>455,067</w:t>
            </w:r>
          </w:p>
        </w:tc>
        <w:tc>
          <w:tcPr>
            <w:tcW w:w="260" w:type="dxa"/>
            <w:vAlign w:val="bottom"/>
            <w:tcBorders>
              <w:top w:val="single" w:sz="8" w:color="auto"/>
            </w:tcBorders>
          </w:tcPr>
          <w:p>
            <w:pPr>
              <w:spacing w:after="0"/>
              <w:rPr>
                <w:sz w:val="14"/>
                <w:szCs w:val="14"/>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468,140</w:t>
            </w:r>
          </w:p>
        </w:tc>
        <w:tc>
          <w:tcPr>
            <w:tcW w:w="160" w:type="dxa"/>
            <w:vAlign w:val="bottom"/>
          </w:tcPr>
          <w:p>
            <w:pPr>
              <w:spacing w:after="0"/>
              <w:rPr>
                <w:sz w:val="14"/>
                <w:szCs w:val="14"/>
                <w:color w:val="auto"/>
              </w:rPr>
            </w:pPr>
          </w:p>
        </w:tc>
        <w:tc>
          <w:tcPr>
            <w:tcW w:w="860" w:type="dxa"/>
            <w:vAlign w:val="bottom"/>
          </w:tcPr>
          <w:p>
            <w:pPr>
              <w:jc w:val="right"/>
              <w:ind w:right="168"/>
              <w:spacing w:after="0"/>
              <w:rPr>
                <w:sz w:val="20"/>
                <w:szCs w:val="20"/>
                <w:color w:val="auto"/>
              </w:rPr>
            </w:pPr>
            <w:r>
              <w:rPr>
                <w:rFonts w:ascii="Arial" w:cs="Arial" w:eastAsia="Arial" w:hAnsi="Arial"/>
                <w:sz w:val="14"/>
                <w:szCs w:val="14"/>
                <w:color w:val="auto"/>
              </w:rPr>
              <w:t>-3%</w:t>
            </w:r>
          </w:p>
        </w:tc>
      </w:tr>
      <w:tr>
        <w:trPr>
          <w:trHeight w:val="181"/>
        </w:trPr>
        <w:tc>
          <w:tcPr>
            <w:tcW w:w="3040" w:type="dxa"/>
            <w:vAlign w:val="bottom"/>
          </w:tcPr>
          <w:p>
            <w:pPr>
              <w:spacing w:after="0"/>
              <w:rPr>
                <w:sz w:val="20"/>
                <w:szCs w:val="20"/>
                <w:color w:val="auto"/>
              </w:rPr>
            </w:pPr>
            <w:r>
              <w:rPr>
                <w:rFonts w:ascii="Arial" w:cs="Arial" w:eastAsia="Arial" w:hAnsi="Arial"/>
                <w:sz w:val="14"/>
                <w:szCs w:val="14"/>
                <w:color w:val="auto"/>
              </w:rPr>
              <w:t>Electrochem</w:t>
            </w:r>
          </w:p>
        </w:tc>
        <w:tc>
          <w:tcPr>
            <w:tcW w:w="200" w:type="dxa"/>
            <w:vAlign w:val="bottom"/>
          </w:tcPr>
          <w:p>
            <w:pPr>
              <w:spacing w:after="0"/>
              <w:rPr>
                <w:sz w:val="15"/>
                <w:szCs w:val="15"/>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17,050</w:t>
            </w:r>
          </w:p>
        </w:tc>
        <w:tc>
          <w:tcPr>
            <w:tcW w:w="20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19,832</w:t>
            </w:r>
          </w:p>
        </w:tc>
        <w:tc>
          <w:tcPr>
            <w:tcW w:w="1080" w:type="dxa"/>
            <w:vAlign w:val="bottom"/>
          </w:tcPr>
          <w:p>
            <w:pPr>
              <w:jc w:val="right"/>
              <w:ind w:right="248"/>
              <w:spacing w:after="0"/>
              <w:rPr>
                <w:sz w:val="20"/>
                <w:szCs w:val="20"/>
                <w:color w:val="auto"/>
              </w:rPr>
            </w:pPr>
            <w:r>
              <w:rPr>
                <w:rFonts w:ascii="Arial" w:cs="Arial" w:eastAsia="Arial" w:hAnsi="Arial"/>
                <w:sz w:val="14"/>
                <w:szCs w:val="14"/>
                <w:color w:val="auto"/>
              </w:rPr>
              <w:t>-14%</w:t>
            </w:r>
          </w:p>
        </w:tc>
        <w:tc>
          <w:tcPr>
            <w:tcW w:w="1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15,811</w:t>
            </w:r>
          </w:p>
        </w:tc>
        <w:tc>
          <w:tcPr>
            <w:tcW w:w="140" w:type="dxa"/>
            <w:vAlign w:val="bottom"/>
          </w:tcPr>
          <w:p>
            <w:pPr>
              <w:spacing w:after="0"/>
              <w:rPr>
                <w:sz w:val="15"/>
                <w:szCs w:val="15"/>
                <w:color w:val="auto"/>
              </w:rPr>
            </w:pPr>
          </w:p>
        </w:tc>
        <w:tc>
          <w:tcPr>
            <w:tcW w:w="940" w:type="dxa"/>
            <w:vAlign w:val="bottom"/>
          </w:tcPr>
          <w:p>
            <w:pPr>
              <w:jc w:val="right"/>
              <w:ind w:right="268"/>
              <w:spacing w:after="0"/>
              <w:rPr>
                <w:sz w:val="20"/>
                <w:szCs w:val="20"/>
                <w:color w:val="auto"/>
              </w:rPr>
            </w:pPr>
            <w:r>
              <w:rPr>
                <w:rFonts w:ascii="Arial" w:cs="Arial" w:eastAsia="Arial" w:hAnsi="Arial"/>
                <w:sz w:val="14"/>
                <w:szCs w:val="14"/>
                <w:color w:val="auto"/>
              </w:rPr>
              <w:t>8%</w:t>
            </w:r>
          </w:p>
        </w:tc>
        <w:tc>
          <w:tcPr>
            <w:tcW w:w="240" w:type="dxa"/>
            <w:vAlign w:val="bottom"/>
          </w:tcPr>
          <w:p>
            <w:pPr>
              <w:spacing w:after="0"/>
              <w:rPr>
                <w:sz w:val="15"/>
                <w:szCs w:val="15"/>
                <w:color w:val="auto"/>
              </w:rPr>
            </w:pPr>
          </w:p>
        </w:tc>
        <w:tc>
          <w:tcPr>
            <w:tcW w:w="840" w:type="dxa"/>
            <w:vAlign w:val="bottom"/>
          </w:tcPr>
          <w:p>
            <w:pPr>
              <w:jc w:val="right"/>
              <w:ind w:right="8"/>
              <w:spacing w:after="0"/>
              <w:rPr>
                <w:sz w:val="20"/>
                <w:szCs w:val="20"/>
                <w:color w:val="auto"/>
              </w:rPr>
            </w:pPr>
            <w:r>
              <w:rPr>
                <w:rFonts w:ascii="Arial" w:cs="Arial" w:eastAsia="Arial" w:hAnsi="Arial"/>
                <w:sz w:val="14"/>
                <w:szCs w:val="14"/>
                <w:color w:val="auto"/>
              </w:rPr>
              <w:t>66,754</w:t>
            </w:r>
          </w:p>
        </w:tc>
        <w:tc>
          <w:tcPr>
            <w:tcW w:w="260" w:type="dxa"/>
            <w:vAlign w:val="bottom"/>
          </w:tcPr>
          <w:p>
            <w:pPr>
              <w:spacing w:after="0"/>
              <w:rPr>
                <w:sz w:val="15"/>
                <w:szCs w:val="15"/>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4"/>
                <w:szCs w:val="14"/>
                <w:color w:val="auto"/>
              </w:rPr>
              <w:t>78,504</w:t>
            </w:r>
          </w:p>
        </w:tc>
        <w:tc>
          <w:tcPr>
            <w:tcW w:w="860" w:type="dxa"/>
            <w:vAlign w:val="bottom"/>
          </w:tcPr>
          <w:p>
            <w:pPr>
              <w:jc w:val="right"/>
              <w:ind w:right="168"/>
              <w:spacing w:after="0"/>
              <w:rPr>
                <w:sz w:val="20"/>
                <w:szCs w:val="20"/>
                <w:color w:val="auto"/>
              </w:rPr>
            </w:pPr>
            <w:r>
              <w:rPr>
                <w:rFonts w:ascii="Arial" w:cs="Arial" w:eastAsia="Arial" w:hAnsi="Arial"/>
                <w:sz w:val="14"/>
                <w:szCs w:val="14"/>
                <w:color w:val="auto"/>
              </w:rPr>
              <w:t>-15%</w:t>
            </w:r>
          </w:p>
        </w:tc>
      </w:tr>
      <w:tr>
        <w:trPr>
          <w:trHeight w:val="169"/>
        </w:trPr>
        <w:tc>
          <w:tcPr>
            <w:tcW w:w="3040" w:type="dxa"/>
            <w:vAlign w:val="bottom"/>
          </w:tcPr>
          <w:p>
            <w:pPr>
              <w:ind w:left="280"/>
              <w:spacing w:after="0"/>
              <w:rPr>
                <w:sz w:val="20"/>
                <w:szCs w:val="20"/>
                <w:color w:val="auto"/>
              </w:rPr>
            </w:pPr>
            <w:r>
              <w:rPr>
                <w:rFonts w:ascii="Arial" w:cs="Arial" w:eastAsia="Arial" w:hAnsi="Arial"/>
                <w:sz w:val="14"/>
                <w:szCs w:val="14"/>
                <w:color w:val="auto"/>
              </w:rPr>
              <w:t>Total Sales</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125,808</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146,600</w:t>
            </w:r>
          </w:p>
        </w:tc>
        <w:tc>
          <w:tcPr>
            <w:tcW w:w="1080" w:type="dxa"/>
            <w:vAlign w:val="bottom"/>
          </w:tcPr>
          <w:p>
            <w:pPr>
              <w:jc w:val="right"/>
              <w:ind w:right="248"/>
              <w:spacing w:after="0"/>
              <w:rPr>
                <w:sz w:val="20"/>
                <w:szCs w:val="20"/>
                <w:color w:val="auto"/>
              </w:rPr>
            </w:pPr>
            <w:r>
              <w:rPr>
                <w:rFonts w:ascii="Arial" w:cs="Arial" w:eastAsia="Arial" w:hAnsi="Arial"/>
                <w:sz w:val="14"/>
                <w:szCs w:val="14"/>
                <w:color w:val="auto"/>
              </w:rPr>
              <w:t>-14%</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121,470</w:t>
            </w:r>
          </w:p>
        </w:tc>
        <w:tc>
          <w:tcPr>
            <w:tcW w:w="140" w:type="dxa"/>
            <w:vAlign w:val="bottom"/>
          </w:tcPr>
          <w:p>
            <w:pPr>
              <w:spacing w:after="0"/>
              <w:rPr>
                <w:sz w:val="14"/>
                <w:szCs w:val="14"/>
                <w:color w:val="auto"/>
              </w:rPr>
            </w:pPr>
          </w:p>
        </w:tc>
        <w:tc>
          <w:tcPr>
            <w:tcW w:w="940" w:type="dxa"/>
            <w:vAlign w:val="bottom"/>
          </w:tcPr>
          <w:p>
            <w:pPr>
              <w:jc w:val="right"/>
              <w:ind w:right="268"/>
              <w:spacing w:after="0"/>
              <w:rPr>
                <w:sz w:val="20"/>
                <w:szCs w:val="20"/>
                <w:color w:val="auto"/>
              </w:rPr>
            </w:pPr>
            <w:r>
              <w:rPr>
                <w:rFonts w:ascii="Arial" w:cs="Arial" w:eastAsia="Arial" w:hAnsi="Arial"/>
                <w:sz w:val="14"/>
                <w:szCs w:val="14"/>
                <w:color w:val="auto"/>
              </w:rPr>
              <w:t>4%</w:t>
            </w:r>
          </w:p>
        </w:tc>
        <w:tc>
          <w:tcPr>
            <w:tcW w:w="24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521,821</w:t>
            </w:r>
          </w:p>
        </w:tc>
        <w:tc>
          <w:tcPr>
            <w:tcW w:w="26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546,644</w:t>
            </w:r>
          </w:p>
        </w:tc>
        <w:tc>
          <w:tcPr>
            <w:tcW w:w="160" w:type="dxa"/>
            <w:vAlign w:val="bottom"/>
          </w:tcPr>
          <w:p>
            <w:pPr>
              <w:spacing w:after="0"/>
              <w:rPr>
                <w:sz w:val="14"/>
                <w:szCs w:val="14"/>
                <w:color w:val="auto"/>
              </w:rPr>
            </w:pPr>
          </w:p>
        </w:tc>
        <w:tc>
          <w:tcPr>
            <w:tcW w:w="860" w:type="dxa"/>
            <w:vAlign w:val="bottom"/>
          </w:tcPr>
          <w:p>
            <w:pPr>
              <w:jc w:val="right"/>
              <w:ind w:right="168"/>
              <w:spacing w:after="0"/>
              <w:rPr>
                <w:sz w:val="20"/>
                <w:szCs w:val="20"/>
                <w:color w:val="auto"/>
              </w:rPr>
            </w:pPr>
            <w:r>
              <w:rPr>
                <w:rFonts w:ascii="Arial" w:cs="Arial" w:eastAsia="Arial" w:hAnsi="Arial"/>
                <w:sz w:val="14"/>
                <w:szCs w:val="14"/>
                <w:color w:val="auto"/>
              </w:rPr>
              <w:t>-5%</w:t>
            </w:r>
          </w:p>
        </w:tc>
      </w:tr>
      <w:tr>
        <w:trPr>
          <w:trHeight w:val="20"/>
        </w:trPr>
        <w:tc>
          <w:tcPr>
            <w:tcW w:w="30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r>
    </w:tbl>
    <w:p>
      <w:pPr>
        <w:spacing w:after="0" w:line="195" w:lineRule="exact"/>
        <w:rPr>
          <w:sz w:val="20"/>
          <w:szCs w:val="20"/>
          <w:color w:val="auto"/>
        </w:rPr>
      </w:pPr>
    </w:p>
    <w:p>
      <w:pPr>
        <w:spacing w:after="0"/>
        <w:rPr>
          <w:sz w:val="20"/>
          <w:szCs w:val="20"/>
          <w:color w:val="auto"/>
        </w:rPr>
      </w:pPr>
      <w:r>
        <w:rPr>
          <w:rFonts w:ascii="Arial" w:cs="Arial" w:eastAsia="Arial" w:hAnsi="Arial"/>
          <w:sz w:val="22"/>
          <w:szCs w:val="22"/>
          <w:color w:val="auto"/>
        </w:rPr>
        <w:t>* Includes additional week of operations due to fiscal year ending on closest Friday to December 31.</w:t>
      </w:r>
    </w:p>
    <w:p>
      <w:pPr>
        <w:spacing w:after="0" w:line="20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Greatbatch Medical</w:t>
      </w:r>
    </w:p>
    <w:p>
      <w:pPr>
        <w:spacing w:after="0" w:line="212" w:lineRule="exact"/>
        <w:rPr>
          <w:sz w:val="20"/>
          <w:szCs w:val="20"/>
          <w:color w:val="auto"/>
        </w:rPr>
      </w:pPr>
    </w:p>
    <w:p>
      <w:pPr>
        <w:ind w:right="160"/>
        <w:spacing w:after="0" w:line="252" w:lineRule="auto"/>
        <w:rPr>
          <w:sz w:val="20"/>
          <w:szCs w:val="20"/>
          <w:color w:val="auto"/>
        </w:rPr>
      </w:pPr>
      <w:r>
        <w:rPr>
          <w:rFonts w:ascii="Arial" w:cs="Arial" w:eastAsia="Arial" w:hAnsi="Arial"/>
          <w:sz w:val="21"/>
          <w:szCs w:val="21"/>
          <w:color w:val="auto"/>
        </w:rPr>
        <w:t>Excluding the additional week of operations included in the 2008 period, 2009 fourth quarter CRM and Neuromodulation revenue remained consistent with the prior year fourth quarter as higher assembly revenue was offset by lower battery sales. For the year, CRM and Neuromodulation revenue increased 7% to $305.4 million as the Company continued to deepen relationships with its customers by providing exceptional innovation and quality technologies.</w:t>
      </w:r>
    </w:p>
    <w:p>
      <w:pPr>
        <w:spacing w:after="0" w:line="174" w:lineRule="exact"/>
        <w:rPr>
          <w:sz w:val="20"/>
          <w:szCs w:val="20"/>
          <w:color w:val="auto"/>
        </w:rPr>
      </w:pPr>
    </w:p>
    <w:p>
      <w:pPr>
        <w:ind w:right="120"/>
        <w:spacing w:after="0" w:line="249" w:lineRule="auto"/>
        <w:rPr>
          <w:sz w:val="20"/>
          <w:szCs w:val="20"/>
          <w:color w:val="auto"/>
        </w:rPr>
      </w:pPr>
      <w:r>
        <w:rPr>
          <w:rFonts w:ascii="Arial" w:cs="Arial" w:eastAsia="Arial" w:hAnsi="Arial"/>
          <w:sz w:val="21"/>
          <w:szCs w:val="21"/>
          <w:color w:val="auto"/>
        </w:rPr>
        <w:t>Fourth quarter 2009 revenues for the Vascular Access product line were $7.6 million, compared to prior year revenues of $11.2 million and sequential quarter revenue of $8.4 million. These decreases were primarily due to lower introducer sales as a result of customer inventory adjustments and one less week of operations in 2009 compared to 2008. For the year, Vascular Access revenue was $35.8 million versus $39.4 million in 2008. The Company anticipates that these inventory adjustments will continue to impact customer ordering patterns for the first half of 2010.</w:t>
      </w:r>
    </w:p>
    <w:p>
      <w:pPr>
        <w:spacing w:after="0" w:line="179" w:lineRule="exact"/>
        <w:rPr>
          <w:sz w:val="20"/>
          <w:szCs w:val="20"/>
          <w:color w:val="auto"/>
        </w:rPr>
      </w:pPr>
    </w:p>
    <w:p>
      <w:pPr>
        <w:spacing w:after="0" w:line="248" w:lineRule="auto"/>
        <w:rPr>
          <w:sz w:val="20"/>
          <w:szCs w:val="20"/>
          <w:color w:val="auto"/>
        </w:rPr>
      </w:pPr>
      <w:r>
        <w:rPr>
          <w:rFonts w:ascii="Arial" w:cs="Arial" w:eastAsia="Arial" w:hAnsi="Arial"/>
          <w:sz w:val="21"/>
          <w:szCs w:val="21"/>
          <w:color w:val="auto"/>
        </w:rPr>
        <w:t>In addition to having one less week of operations, the 29% decline in Orthopaedic product line revenues to $25.2 million for the fourth quarter 2009 was due to reduced spending on elective procedures and increased emphasis on inventory management programs from our customers as a result of the uncertain economic and regulatory environment. Fourth quarter revenue was 9% above the $23.2 million in the third quarter 2009 primarily due to seasonal fluctuations. During this industry downturn, we continue to streamline and invest in our orthopaedic operations, which we believe present significant opportunities. We anticipate that these difficult market conditions will persist through the first half of 2010.</w:t>
      </w:r>
    </w:p>
    <w:p>
      <w:pPr>
        <w:spacing w:after="0" w:line="17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Electrochem</w:t>
      </w:r>
    </w:p>
    <w:p>
      <w:pPr>
        <w:spacing w:after="0" w:line="212" w:lineRule="exact"/>
        <w:rPr>
          <w:sz w:val="20"/>
          <w:szCs w:val="20"/>
          <w:color w:val="auto"/>
        </w:rPr>
      </w:pPr>
    </w:p>
    <w:p>
      <w:pPr>
        <w:ind w:right="20"/>
        <w:spacing w:after="0" w:line="235" w:lineRule="auto"/>
        <w:rPr>
          <w:sz w:val="20"/>
          <w:szCs w:val="20"/>
          <w:color w:val="auto"/>
        </w:rPr>
      </w:pPr>
      <w:r>
        <w:rPr>
          <w:rFonts w:ascii="Arial" w:cs="Arial" w:eastAsia="Arial" w:hAnsi="Arial"/>
          <w:sz w:val="22"/>
          <w:szCs w:val="22"/>
          <w:color w:val="auto"/>
        </w:rPr>
        <w:t>Fourth quarter 2009 sales for the Electrochem business segment were $17.1 million, compared to $19.8 million in the fourth quarter 2008 and $15.8 million in the sequential quarter. The decrease from the prior year primarily related to the slowdown in the Energy and Portable Medical markets, which caused customers to reduce inventory levels and push back projects, and one less week of sales. These conditions began to ease in the fourth quarter of 2009 but still remain a challenge and are expected to continue into the first half of 2010. We continue to actively manage our business so that we will be better prepared to meet the needs of our customers once the markets recover.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120650</wp:posOffset>
            </wp:positionV>
            <wp:extent cx="7272020" cy="596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8" w:name="page9"/>
    <w:bookmarkEnd w:id="8"/>
    <w:p>
      <w:pPr>
        <w:spacing w:after="0"/>
        <w:rPr>
          <w:sz w:val="20"/>
          <w:szCs w:val="20"/>
          <w:color w:val="auto"/>
        </w:rPr>
      </w:pPr>
      <w:r>
        <w:rPr>
          <w:rFonts w:ascii="Arial" w:cs="Arial" w:eastAsia="Arial" w:hAnsi="Arial"/>
          <w:sz w:val="22"/>
          <w:szCs w:val="22"/>
          <w:b w:val="1"/>
          <w:bCs w:val="1"/>
          <w:color w:val="auto"/>
        </w:rPr>
        <w:t>Financial Guidance</w:t>
      </w:r>
    </w:p>
    <w:p>
      <w:pPr>
        <w:spacing w:after="0" w:line="213" w:lineRule="exact"/>
        <w:rPr>
          <w:sz w:val="20"/>
          <w:szCs w:val="20"/>
          <w:color w:val="auto"/>
        </w:rPr>
      </w:pPr>
    </w:p>
    <w:p>
      <w:pPr>
        <w:spacing w:after="0"/>
        <w:rPr>
          <w:sz w:val="20"/>
          <w:szCs w:val="20"/>
          <w:color w:val="auto"/>
        </w:rPr>
      </w:pPr>
      <w:r>
        <w:rPr>
          <w:rFonts w:ascii="Arial" w:cs="Arial" w:eastAsia="Arial" w:hAnsi="Arial"/>
          <w:sz w:val="22"/>
          <w:szCs w:val="22"/>
          <w:color w:val="auto"/>
        </w:rPr>
        <w:t>At this time, Greatbatch estimates 2010 annual revenue growth rates for its product lines as follows:</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CRM &amp; Neuromodulation: 2% to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spacing w:after="0"/>
        <w:rPr>
          <w:sz w:val="20"/>
          <w:szCs w:val="20"/>
          <w:color w:val="auto"/>
        </w:rPr>
      </w:pPr>
      <w:r>
        <w:rPr>
          <w:rFonts w:ascii="Arial" w:cs="Arial" w:eastAsia="Arial" w:hAnsi="Arial"/>
          <w:sz w:val="22"/>
          <w:szCs w:val="22"/>
          <w:color w:val="auto"/>
        </w:rPr>
        <w:t>Vascular Access: 3% to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spacing w:after="0"/>
        <w:rPr>
          <w:sz w:val="20"/>
          <w:szCs w:val="20"/>
          <w:color w:val="auto"/>
        </w:rPr>
      </w:pPr>
      <w:r>
        <w:rPr>
          <w:rFonts w:ascii="Arial" w:cs="Arial" w:eastAsia="Arial" w:hAnsi="Arial"/>
          <w:sz w:val="22"/>
          <w:szCs w:val="22"/>
          <w:color w:val="auto"/>
        </w:rPr>
        <w:t>Orthopaedic: 3% to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spacing w:after="0"/>
        <w:rPr>
          <w:sz w:val="20"/>
          <w:szCs w:val="20"/>
          <w:color w:val="auto"/>
        </w:rPr>
      </w:pPr>
      <w:r>
        <w:rPr>
          <w:rFonts w:ascii="Arial" w:cs="Arial" w:eastAsia="Arial" w:hAnsi="Arial"/>
          <w:sz w:val="22"/>
          <w:szCs w:val="22"/>
          <w:color w:val="auto"/>
        </w:rPr>
        <w:t>Electrochem: 0% to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86" w:lineRule="exact"/>
        <w:rPr>
          <w:sz w:val="20"/>
          <w:szCs w:val="20"/>
          <w:color w:val="auto"/>
        </w:rPr>
      </w:pPr>
    </w:p>
    <w:p>
      <w:pPr>
        <w:spacing w:after="0" w:line="274" w:lineRule="auto"/>
        <w:rPr>
          <w:sz w:val="20"/>
          <w:szCs w:val="20"/>
          <w:color w:val="auto"/>
        </w:rPr>
      </w:pPr>
      <w:r>
        <w:rPr>
          <w:rFonts w:ascii="Arial" w:cs="Arial" w:eastAsia="Arial" w:hAnsi="Arial"/>
          <w:sz w:val="19"/>
          <w:szCs w:val="19"/>
          <w:color w:val="auto"/>
        </w:rPr>
        <w:t>Additionally, adjusted operating income is projected to be between 12.0% and 13.5% of sales for the full year 2010, which includes a continued ramp up in R&amp;D investment to support future growth and the development of new technologies. Adjusted operating income is GAAP operating income excluding costs associated with plant consolidations and integration of acquisitions of approximately $4.0 million to $6.0 million. Although we are confident in our annual guidance, we recognize that the volatile economic and health care environments continue to create uncertainty around these estimates. It is important to note that beginning in the first quarter of 2010, the Company will no longer exclude the additional interest expense related to the change in accounting for convertible debt adopted in 2009 in the presentation of its adjusted financial results as year over year comparisons will now be consistent. For 2010, this change in accounting (adopted in 2009) is expected to be approximately $8 million of interest expense and decrease adjusted EPS by approximately $0.21 per share.</w:t>
      </w:r>
    </w:p>
    <w:p>
      <w:pPr>
        <w:spacing w:after="0" w:line="15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Conference Call</w:t>
      </w:r>
    </w:p>
    <w:p>
      <w:pPr>
        <w:spacing w:after="0" w:line="212" w:lineRule="exact"/>
        <w:rPr>
          <w:sz w:val="20"/>
          <w:szCs w:val="20"/>
          <w:color w:val="auto"/>
        </w:rPr>
      </w:pPr>
    </w:p>
    <w:p>
      <w:pPr>
        <w:spacing w:after="0" w:line="252" w:lineRule="auto"/>
        <w:rPr>
          <w:sz w:val="20"/>
          <w:szCs w:val="20"/>
          <w:color w:val="auto"/>
        </w:rPr>
      </w:pPr>
      <w:r>
        <w:rPr>
          <w:rFonts w:ascii="Arial" w:cs="Arial" w:eastAsia="Arial" w:hAnsi="Arial"/>
          <w:sz w:val="21"/>
          <w:szCs w:val="21"/>
          <w:color w:val="auto"/>
        </w:rPr>
        <w:t xml:space="preserve">The Company will host a conference call on Tuesday February 23, 2010 at 5:00 p.m. E.S.T. to discuss these results. The scheduled conference call will be webcast live and is accessible through the Company’s website at </w:t>
      </w:r>
      <w:r>
        <w:rPr>
          <w:rFonts w:ascii="Arial" w:cs="Arial" w:eastAsia="Arial" w:hAnsi="Arial"/>
          <w:sz w:val="21"/>
          <w:szCs w:val="21"/>
          <w:u w:val="single" w:color="auto"/>
          <w:color w:val="auto"/>
        </w:rPr>
        <w:t>www.greatbatch.com</w:t>
      </w:r>
      <w:r>
        <w:rPr>
          <w:rFonts w:ascii="Arial" w:cs="Arial" w:eastAsia="Arial" w:hAnsi="Arial"/>
          <w:sz w:val="21"/>
          <w:szCs w:val="21"/>
          <w:color w:val="auto"/>
        </w:rPr>
        <w:t>. An audio replay will also be available beginning from 8:00 p.m. E.S.T. on February 23, 2010 until March 2, 2010. To access the replay, dial 888-286-8010 (U.S.) or 617-801-6888 (International) and enter the passcode 94359394.</w:t>
      </w:r>
    </w:p>
    <w:p>
      <w:pPr>
        <w:spacing w:after="0" w:line="16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Greatbatch, Inc.</w:t>
      </w:r>
    </w:p>
    <w:p>
      <w:pPr>
        <w:spacing w:after="0" w:line="212" w:lineRule="exact"/>
        <w:rPr>
          <w:sz w:val="20"/>
          <w:szCs w:val="20"/>
          <w:color w:val="auto"/>
        </w:rPr>
      </w:pPr>
    </w:p>
    <w:p>
      <w:pPr>
        <w:ind w:right="60"/>
        <w:spacing w:after="0" w:line="282" w:lineRule="auto"/>
        <w:rPr>
          <w:sz w:val="20"/>
          <w:szCs w:val="20"/>
          <w:color w:val="auto"/>
        </w:rPr>
      </w:pPr>
      <w:r>
        <w:rPr>
          <w:rFonts w:ascii="Arial" w:cs="Arial" w:eastAsia="Arial" w:hAnsi="Arial"/>
          <w:sz w:val="19"/>
          <w:szCs w:val="19"/>
          <w:color w:val="auto"/>
        </w:rPr>
        <w:t xml:space="preserve">Greatbatch, Inc. (NYSE: GB) provides top-quality technologies to industries that depend on reliable, long-lasting performance through its brands Greatbatch Medical and Electrochem. Greatbatch Medical develops and manufactures critical technologies used in medical devices for the cardiac rhythm management, neuromodulation, vascular access and orthopaedic markets. Electrochem designs and manufactures battery and wireless sensing technologies for high-end niche applications in the Energy, Military, Portable Medical, and other markets. Additional information about the Company is available at </w:t>
      </w:r>
      <w:r>
        <w:rPr>
          <w:rFonts w:ascii="Arial" w:cs="Arial" w:eastAsia="Arial" w:hAnsi="Arial"/>
          <w:sz w:val="19"/>
          <w:szCs w:val="19"/>
          <w:u w:val="single" w:color="auto"/>
          <w:color w:val="auto"/>
        </w:rPr>
        <w:t>www.greatbatch.com</w:t>
      </w:r>
      <w:r>
        <w:rPr>
          <w:rFonts w:ascii="Arial" w:cs="Arial" w:eastAsia="Arial" w:hAnsi="Arial"/>
          <w:sz w:val="19"/>
          <w:szCs w:val="19"/>
          <w:color w:val="auto"/>
        </w:rPr>
        <w:t>.</w:t>
      </w:r>
    </w:p>
    <w:p>
      <w:pPr>
        <w:spacing w:after="0" w:line="14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Use of Non-GAAP Financial Information</w:t>
      </w:r>
    </w:p>
    <w:p>
      <w:pPr>
        <w:spacing w:after="0" w:line="212" w:lineRule="exact"/>
        <w:rPr>
          <w:sz w:val="20"/>
          <w:szCs w:val="20"/>
          <w:color w:val="auto"/>
        </w:rPr>
      </w:pPr>
    </w:p>
    <w:p>
      <w:pPr>
        <w:ind w:right="40"/>
        <w:spacing w:after="0" w:line="246" w:lineRule="auto"/>
        <w:rPr>
          <w:sz w:val="20"/>
          <w:szCs w:val="20"/>
          <w:color w:val="auto"/>
        </w:rPr>
      </w:pPr>
      <w:r>
        <w:rPr>
          <w:rFonts w:ascii="Arial" w:cs="Arial" w:eastAsia="Arial" w:hAnsi="Arial"/>
          <w:sz w:val="21"/>
          <w:szCs w:val="21"/>
          <w:color w:val="auto"/>
        </w:rPr>
        <w:t>In addition to our results reported in accordance with GAAP, we provide adjusted operating income &amp; margin, adjusted net income and adjusted earnings per diluted share. These adjusted amounts consist of GAAP amounts excluding (i) acquisition-related charges, (ii) facility consolidation, manufacturing transfer and system integration charges, (iii) asset write-down and disposition charges, (iv) litigation charges and (v) the income tax (benefit) related to these adjustments. Adjusted earnings per diluted share is calculated by dividing adjusted net income for diluted earnings per share by diluted weighted average shares outstanding. We believe that the presentation of adjusted operating income &amp; margin, adjusted net income and adjusted earnings per share provides important supplemental information to management and investors seeking to understand the financial and business trends relating to our financial condition and results of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115570</wp:posOffset>
            </wp:positionV>
            <wp:extent cx="7272020" cy="596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80"/>
          </w:cols>
          <w:pgMar w:left="240" w:top="111" w:right="279" w:bottom="1440" w:gutter="0" w:footer="0" w:header="0"/>
        </w:sectPr>
      </w:pPr>
    </w:p>
    <w:bookmarkStart w:id="9" w:name="page10"/>
    <w:bookmarkEnd w:id="9"/>
    <w:p>
      <w:pPr>
        <w:spacing w:after="0"/>
        <w:rPr>
          <w:sz w:val="20"/>
          <w:szCs w:val="20"/>
          <w:color w:val="auto"/>
        </w:rPr>
      </w:pPr>
      <w:r>
        <w:rPr>
          <w:rFonts w:ascii="Arial" w:cs="Arial" w:eastAsia="Arial" w:hAnsi="Arial"/>
          <w:sz w:val="22"/>
          <w:szCs w:val="22"/>
          <w:b w:val="1"/>
          <w:bCs w:val="1"/>
          <w:color w:val="auto"/>
        </w:rPr>
        <w:t>Forward-Looking Statements</w:t>
      </w:r>
    </w:p>
    <w:p>
      <w:pPr>
        <w:spacing w:after="0" w:line="213" w:lineRule="exact"/>
        <w:rPr>
          <w:sz w:val="20"/>
          <w:szCs w:val="20"/>
          <w:color w:val="auto"/>
        </w:rPr>
      </w:pPr>
    </w:p>
    <w:p>
      <w:pPr>
        <w:ind w:right="20"/>
        <w:spacing w:after="0" w:line="270" w:lineRule="auto"/>
        <w:rPr>
          <w:sz w:val="20"/>
          <w:szCs w:val="20"/>
          <w:color w:val="auto"/>
        </w:rPr>
      </w:pPr>
      <w:r>
        <w:rPr>
          <w:rFonts w:ascii="Arial" w:cs="Arial" w:eastAsia="Arial" w:hAnsi="Arial"/>
          <w:sz w:val="19"/>
          <w:szCs w:val="19"/>
          <w:color w:val="auto"/>
        </w:rPr>
        <w:t>Some of the statements in this press release, including the information provided under the caption “Financial Guidance,” and other written and oral statements made from time to time by the Company and its representatives are “forward-looking statements” within the meaning of Section 27A of the Securities Act of 1933, as amended, and section 21E of the Securities Exchange Act of 1934, as amended, and involve a number of risks and uncertainties. These statements can be identified by terminology such as “may,” “will,” “should,” “could,” “expects,” “intends,” “plans,” “anticipates,” “believes,” “estimates,” “predicts,” “potential” or “continue,” or the negative of these terms or other comparable terminology. These statements are based on the Company’s current expectations. The Company’s actual results could differ materially from those stated or implied in such forward-looking statements. Risks and uncertainties that could cause actual results to differ materially from those stated or implied by such forward-looking statements include, among others, the following matters affecting the Company: our dependence upon a limited number of customers; customer ordering patterns; product obsolescence; our inability to market current or future products; pricing pressure from customers; our ability to timely and successfully implement our cost reduction and plant consolidation initiatives; our reliance on third party suppliers for raw materials, products and subcomponents; fluctuating operating results; our inability to maintain high quality standards for our products; challenges to our intellectual property rights; product liability claims; our inability to successfully consummate and integrate acquisitions and to realize synergies and to operate the acquired businesses in accordance with expectations; our unsuccessful expansion into new markets; our inability to obtain licenses to key technology; regulatory changes or consolidation in the healthcare industry; global economic factors including currency exchange rates and interest rates; the resolution of various legal actions brought against the Company and other risks and uncertainties described in the Company’s Annual Report on Form 10-K and in other periodic filings with the Securities and Exchange Commission. The Company assumes no obligation to update forward-looking information in this press release whether to reflect changed assumptions, the occurrence of unanticipated events or changes in future operating results, financial conditions or prospects, or otherwise.</w:t>
      </w:r>
    </w:p>
    <w:p>
      <w:pPr>
        <w:spacing w:after="0" w:line="15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Table A: Operating Income (Loss) Reconciliation (in thousands):</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54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60" w:type="dxa"/>
            <w:vAlign w:val="bottom"/>
          </w:tcPr>
          <w:p>
            <w:pPr>
              <w:jc w:val="right"/>
              <w:ind w:right="468"/>
              <w:spacing w:after="0"/>
              <w:rPr>
                <w:sz w:val="20"/>
                <w:szCs w:val="20"/>
                <w:color w:val="auto"/>
              </w:rPr>
            </w:pPr>
            <w:r>
              <w:rPr>
                <w:rFonts w:ascii="Arial" w:cs="Arial" w:eastAsia="Arial" w:hAnsi="Arial"/>
                <w:sz w:val="14"/>
                <w:szCs w:val="14"/>
                <w:b w:val="1"/>
                <w:bCs w:val="1"/>
                <w:color w:val="auto"/>
              </w:rPr>
              <w:t>2009</w:t>
            </w:r>
          </w:p>
        </w:tc>
        <w:tc>
          <w:tcPr>
            <w:tcW w:w="1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80" w:type="dxa"/>
            <w:vAlign w:val="bottom"/>
          </w:tcPr>
          <w:p>
            <w:pPr>
              <w:jc w:val="right"/>
              <w:ind w:right="468"/>
              <w:spacing w:after="0"/>
              <w:rPr>
                <w:sz w:val="20"/>
                <w:szCs w:val="20"/>
                <w:color w:val="auto"/>
              </w:rPr>
            </w:pPr>
            <w:r>
              <w:rPr>
                <w:rFonts w:ascii="Arial" w:cs="Arial" w:eastAsia="Arial" w:hAnsi="Arial"/>
                <w:sz w:val="14"/>
                <w:szCs w:val="14"/>
                <w:b w:val="1"/>
                <w:bCs w:val="1"/>
                <w:color w:val="auto"/>
              </w:rPr>
              <w:t>2008</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40" w:type="dxa"/>
            <w:vAlign w:val="bottom"/>
          </w:tcPr>
          <w:p>
            <w:pPr>
              <w:jc w:val="right"/>
              <w:ind w:right="488"/>
              <w:spacing w:after="0"/>
              <w:rPr>
                <w:sz w:val="20"/>
                <w:szCs w:val="20"/>
                <w:color w:val="auto"/>
              </w:rPr>
            </w:pPr>
            <w:r>
              <w:rPr>
                <w:rFonts w:ascii="Arial" w:cs="Arial" w:eastAsia="Arial" w:hAnsi="Arial"/>
                <w:sz w:val="14"/>
                <w:szCs w:val="14"/>
                <w:b w:val="1"/>
                <w:bCs w:val="1"/>
                <w:color w:val="auto"/>
              </w:rPr>
              <w:t>2009</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508"/>
              <w:spacing w:after="0"/>
              <w:rPr>
                <w:sz w:val="20"/>
                <w:szCs w:val="20"/>
                <w:color w:val="auto"/>
              </w:rPr>
            </w:pPr>
            <w:r>
              <w:rPr>
                <w:rFonts w:ascii="Arial" w:cs="Arial" w:eastAsia="Arial" w:hAnsi="Arial"/>
                <w:sz w:val="14"/>
                <w:szCs w:val="14"/>
                <w:b w:val="1"/>
                <w:bCs w:val="1"/>
                <w:color w:val="auto"/>
              </w:rPr>
              <w:t>2008</w:t>
            </w: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54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4th Qtr.</w:t>
            </w:r>
          </w:p>
        </w:tc>
        <w:tc>
          <w:tcPr>
            <w:tcW w:w="14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4th Qtr.*</w:t>
            </w:r>
          </w:p>
        </w:tc>
        <w:tc>
          <w:tcPr>
            <w:tcW w:w="14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Year</w:t>
            </w:r>
          </w:p>
        </w:tc>
        <w:tc>
          <w:tcPr>
            <w:tcW w:w="14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Year*</w:t>
            </w: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5400" w:type="dxa"/>
            <w:vAlign w:val="bottom"/>
          </w:tcPr>
          <w:p>
            <w:pPr>
              <w:spacing w:after="0"/>
              <w:rPr>
                <w:sz w:val="20"/>
                <w:szCs w:val="20"/>
                <w:color w:val="auto"/>
              </w:rPr>
            </w:pPr>
            <w:r>
              <w:rPr>
                <w:rFonts w:ascii="Arial" w:cs="Arial" w:eastAsia="Arial" w:hAnsi="Arial"/>
                <w:sz w:val="14"/>
                <w:szCs w:val="14"/>
                <w:color w:val="auto"/>
              </w:rPr>
              <w:t>Operating income (loss) as reported:</w:t>
            </w:r>
          </w:p>
        </w:tc>
        <w:tc>
          <w:tcPr>
            <w:tcW w:w="30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148"/>
              <w:spacing w:after="0"/>
              <w:rPr>
                <w:sz w:val="20"/>
                <w:szCs w:val="20"/>
                <w:color w:val="auto"/>
              </w:rPr>
            </w:pPr>
            <w:r>
              <w:rPr>
                <w:rFonts w:ascii="Arial" w:cs="Arial" w:eastAsia="Arial" w:hAnsi="Arial"/>
                <w:sz w:val="14"/>
                <w:szCs w:val="14"/>
                <w:color w:val="auto"/>
              </w:rPr>
              <w:t>(2,287)</w:t>
            </w:r>
          </w:p>
        </w:tc>
        <w:tc>
          <w:tcPr>
            <w:tcW w:w="440" w:type="dxa"/>
            <w:vAlign w:val="bottom"/>
            <w:gridSpan w:val="2"/>
          </w:tcPr>
          <w:p>
            <w:pPr>
              <w:jc w:val="right"/>
              <w:ind w:right="4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188"/>
              <w:spacing w:after="0"/>
              <w:rPr>
                <w:sz w:val="20"/>
                <w:szCs w:val="20"/>
                <w:color w:val="auto"/>
              </w:rPr>
            </w:pPr>
            <w:r>
              <w:rPr>
                <w:rFonts w:ascii="Arial" w:cs="Arial" w:eastAsia="Arial" w:hAnsi="Arial"/>
                <w:sz w:val="14"/>
                <w:szCs w:val="14"/>
                <w:color w:val="auto"/>
              </w:rPr>
              <w:t>11,968</w:t>
            </w:r>
          </w:p>
        </w:tc>
        <w:tc>
          <w:tcPr>
            <w:tcW w:w="500" w:type="dxa"/>
            <w:vAlign w:val="bottom"/>
            <w:gridSpan w:val="2"/>
          </w:tcPr>
          <w:p>
            <w:pPr>
              <w:jc w:val="right"/>
              <w:ind w:right="108"/>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208"/>
              <w:spacing w:after="0"/>
              <w:rPr>
                <w:sz w:val="20"/>
                <w:szCs w:val="20"/>
                <w:color w:val="auto"/>
              </w:rPr>
            </w:pPr>
            <w:r>
              <w:rPr>
                <w:rFonts w:ascii="Arial" w:cs="Arial" w:eastAsia="Arial" w:hAnsi="Arial"/>
                <w:sz w:val="14"/>
                <w:szCs w:val="14"/>
                <w:color w:val="auto"/>
              </w:rPr>
              <w:t>1,048</w:t>
            </w:r>
          </w:p>
        </w:tc>
        <w:tc>
          <w:tcPr>
            <w:tcW w:w="500" w:type="dxa"/>
            <w:vAlign w:val="bottom"/>
            <w:gridSpan w:val="2"/>
          </w:tcPr>
          <w:p>
            <w:pPr>
              <w:jc w:val="right"/>
              <w:ind w:right="8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228"/>
              <w:spacing w:after="0"/>
              <w:rPr>
                <w:sz w:val="20"/>
                <w:szCs w:val="20"/>
                <w:color w:val="auto"/>
              </w:rPr>
            </w:pPr>
            <w:r>
              <w:rPr>
                <w:rFonts w:ascii="Arial" w:cs="Arial" w:eastAsia="Arial" w:hAnsi="Arial"/>
                <w:sz w:val="14"/>
                <w:szCs w:val="14"/>
                <w:color w:val="auto"/>
              </w:rPr>
              <w:t>34,894</w:t>
            </w:r>
          </w:p>
        </w:tc>
        <w:tc>
          <w:tcPr>
            <w:tcW w:w="0" w:type="dxa"/>
            <w:vAlign w:val="bottom"/>
          </w:tcPr>
          <w:p>
            <w:pPr>
              <w:spacing w:after="0"/>
              <w:rPr>
                <w:sz w:val="1"/>
                <w:szCs w:val="1"/>
                <w:color w:val="auto"/>
              </w:rPr>
            </w:pPr>
          </w:p>
        </w:tc>
      </w:tr>
      <w:tr>
        <w:trPr>
          <w:trHeight w:val="176"/>
        </w:trPr>
        <w:tc>
          <w:tcPr>
            <w:tcW w:w="5420" w:type="dxa"/>
            <w:vAlign w:val="bottom"/>
            <w:gridSpan w:val="2"/>
          </w:tcPr>
          <w:p>
            <w:pPr>
              <w:spacing w:after="0"/>
              <w:rPr>
                <w:sz w:val="20"/>
                <w:szCs w:val="20"/>
                <w:color w:val="auto"/>
              </w:rPr>
            </w:pPr>
            <w:r>
              <w:rPr>
                <w:rFonts w:ascii="Arial" w:cs="Arial" w:eastAsia="Arial" w:hAnsi="Arial"/>
                <w:sz w:val="14"/>
                <w:szCs w:val="14"/>
                <w:color w:val="auto"/>
              </w:rPr>
              <w:t>In-process research and development</w:t>
            </w:r>
          </w:p>
        </w:tc>
        <w:tc>
          <w:tcPr>
            <w:tcW w:w="300" w:type="dxa"/>
            <w:vAlign w:val="bottom"/>
          </w:tcPr>
          <w:p>
            <w:pPr>
              <w:spacing w:after="0"/>
              <w:rPr>
                <w:sz w:val="15"/>
                <w:szCs w:val="15"/>
                <w:color w:val="auto"/>
              </w:rPr>
            </w:pPr>
          </w:p>
        </w:tc>
        <w:tc>
          <w:tcPr>
            <w:tcW w:w="106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8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4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228"/>
              <w:spacing w:after="0"/>
              <w:rPr>
                <w:sz w:val="20"/>
                <w:szCs w:val="20"/>
                <w:color w:val="auto"/>
              </w:rPr>
            </w:pPr>
            <w:r>
              <w:rPr>
                <w:rFonts w:ascii="Arial" w:cs="Arial" w:eastAsia="Arial" w:hAnsi="Arial"/>
                <w:sz w:val="14"/>
                <w:szCs w:val="14"/>
                <w:color w:val="auto"/>
              </w:rPr>
              <w:t>2,240</w:t>
            </w:r>
          </w:p>
        </w:tc>
        <w:tc>
          <w:tcPr>
            <w:tcW w:w="0" w:type="dxa"/>
            <w:vAlign w:val="bottom"/>
          </w:tcPr>
          <w:p>
            <w:pPr>
              <w:spacing w:after="0"/>
              <w:rPr>
                <w:sz w:val="1"/>
                <w:szCs w:val="1"/>
                <w:color w:val="auto"/>
              </w:rPr>
            </w:pPr>
          </w:p>
        </w:tc>
      </w:tr>
      <w:tr>
        <w:trPr>
          <w:trHeight w:val="181"/>
        </w:trPr>
        <w:tc>
          <w:tcPr>
            <w:tcW w:w="5420" w:type="dxa"/>
            <w:vAlign w:val="bottom"/>
            <w:gridSpan w:val="2"/>
          </w:tcPr>
          <w:p>
            <w:pPr>
              <w:spacing w:after="0"/>
              <w:rPr>
                <w:sz w:val="20"/>
                <w:szCs w:val="20"/>
                <w:color w:val="auto"/>
              </w:rPr>
            </w:pPr>
            <w:r>
              <w:rPr>
                <w:rFonts w:ascii="Arial" w:cs="Arial" w:eastAsia="Arial" w:hAnsi="Arial"/>
                <w:sz w:val="14"/>
                <w:szCs w:val="14"/>
                <w:color w:val="auto"/>
              </w:rPr>
              <w:t>Acquisition charges (inventory step-up)</w:t>
            </w:r>
          </w:p>
        </w:tc>
        <w:tc>
          <w:tcPr>
            <w:tcW w:w="30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6,422</w:t>
            </w:r>
          </w:p>
        </w:tc>
        <w:tc>
          <w:tcPr>
            <w:tcW w:w="0" w:type="dxa"/>
            <w:vAlign w:val="bottom"/>
          </w:tcPr>
          <w:p>
            <w:pPr>
              <w:spacing w:after="0"/>
              <w:rPr>
                <w:sz w:val="1"/>
                <w:szCs w:val="1"/>
                <w:color w:val="auto"/>
              </w:rPr>
            </w:pPr>
          </w:p>
        </w:tc>
      </w:tr>
      <w:tr>
        <w:trPr>
          <w:trHeight w:val="169"/>
        </w:trPr>
        <w:tc>
          <w:tcPr>
            <w:tcW w:w="5420" w:type="dxa"/>
            <w:vAlign w:val="bottom"/>
            <w:gridSpan w:val="2"/>
          </w:tcPr>
          <w:p>
            <w:pPr>
              <w:spacing w:after="0"/>
              <w:rPr>
                <w:sz w:val="20"/>
                <w:szCs w:val="20"/>
                <w:color w:val="auto"/>
              </w:rPr>
            </w:pPr>
            <w:r>
              <w:rPr>
                <w:rFonts w:ascii="Arial" w:cs="Arial" w:eastAsia="Arial" w:hAnsi="Arial"/>
                <w:sz w:val="14"/>
                <w:szCs w:val="14"/>
                <w:color w:val="auto"/>
              </w:rPr>
              <w:t>Sub-total</w:t>
            </w:r>
          </w:p>
        </w:tc>
        <w:tc>
          <w:tcPr>
            <w:tcW w:w="3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(2,287)</w:t>
            </w:r>
          </w:p>
        </w:tc>
        <w:tc>
          <w:tcPr>
            <w:tcW w:w="14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11,968</w:t>
            </w:r>
          </w:p>
        </w:tc>
        <w:tc>
          <w:tcPr>
            <w:tcW w:w="14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1,048</w:t>
            </w:r>
          </w:p>
        </w:tc>
        <w:tc>
          <w:tcPr>
            <w:tcW w:w="14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43,556</w:t>
            </w:r>
          </w:p>
        </w:tc>
        <w:tc>
          <w:tcPr>
            <w:tcW w:w="0" w:type="dxa"/>
            <w:vAlign w:val="bottom"/>
          </w:tcPr>
          <w:p>
            <w:pPr>
              <w:spacing w:after="0"/>
              <w:rPr>
                <w:sz w:val="1"/>
                <w:szCs w:val="1"/>
                <w:color w:val="auto"/>
              </w:rPr>
            </w:pPr>
          </w:p>
        </w:tc>
      </w:tr>
      <w:tr>
        <w:trPr>
          <w:trHeight w:val="164"/>
        </w:trPr>
        <w:tc>
          <w:tcPr>
            <w:tcW w:w="5420" w:type="dxa"/>
            <w:vAlign w:val="bottom"/>
            <w:gridSpan w:val="2"/>
          </w:tcPr>
          <w:p>
            <w:pPr>
              <w:spacing w:after="0"/>
              <w:rPr>
                <w:sz w:val="20"/>
                <w:szCs w:val="20"/>
                <w:color w:val="auto"/>
              </w:rPr>
            </w:pPr>
            <w:r>
              <w:rPr>
                <w:rFonts w:ascii="Arial" w:cs="Arial" w:eastAsia="Arial" w:hAnsi="Arial"/>
                <w:sz w:val="14"/>
                <w:szCs w:val="14"/>
                <w:color w:val="auto"/>
              </w:rPr>
              <w:t>Adjustments:</w:t>
            </w:r>
          </w:p>
        </w:tc>
        <w:tc>
          <w:tcPr>
            <w:tcW w:w="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5420" w:type="dxa"/>
            <w:vAlign w:val="bottom"/>
            <w:gridSpan w:val="2"/>
          </w:tcPr>
          <w:p>
            <w:pPr>
              <w:spacing w:after="0"/>
              <w:rPr>
                <w:sz w:val="20"/>
                <w:szCs w:val="20"/>
                <w:color w:val="auto"/>
              </w:rPr>
            </w:pPr>
            <w:r>
              <w:rPr>
                <w:rFonts w:ascii="Arial" w:cs="Arial" w:eastAsia="Arial" w:hAnsi="Arial"/>
                <w:sz w:val="14"/>
                <w:szCs w:val="14"/>
                <w:color w:val="auto"/>
              </w:rPr>
              <w:t>Litigation charge</w:t>
            </w:r>
          </w:p>
        </w:tc>
        <w:tc>
          <w:tcPr>
            <w:tcW w:w="300" w:type="dxa"/>
            <w:vAlign w:val="bottom"/>
          </w:tcPr>
          <w:p>
            <w:pPr>
              <w:spacing w:after="0"/>
              <w:rPr>
                <w:sz w:val="15"/>
                <w:szCs w:val="15"/>
                <w:color w:val="auto"/>
              </w:rPr>
            </w:pPr>
          </w:p>
        </w:tc>
        <w:tc>
          <w:tcPr>
            <w:tcW w:w="106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8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40" w:type="dxa"/>
            <w:vAlign w:val="bottom"/>
          </w:tcPr>
          <w:p>
            <w:pPr>
              <w:jc w:val="right"/>
              <w:ind w:right="208"/>
              <w:spacing w:after="0"/>
              <w:rPr>
                <w:sz w:val="20"/>
                <w:szCs w:val="20"/>
                <w:color w:val="auto"/>
              </w:rPr>
            </w:pPr>
            <w:r>
              <w:rPr>
                <w:rFonts w:ascii="Arial" w:cs="Arial" w:eastAsia="Arial" w:hAnsi="Arial"/>
                <w:sz w:val="14"/>
                <w:szCs w:val="14"/>
                <w:color w:val="auto"/>
              </w:rPr>
              <w:t>34,500</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6"/>
        </w:trPr>
        <w:tc>
          <w:tcPr>
            <w:tcW w:w="5420" w:type="dxa"/>
            <w:vAlign w:val="bottom"/>
            <w:gridSpan w:val="2"/>
          </w:tcPr>
          <w:p>
            <w:pPr>
              <w:spacing w:after="0"/>
              <w:rPr>
                <w:sz w:val="20"/>
                <w:szCs w:val="20"/>
                <w:color w:val="auto"/>
              </w:rPr>
            </w:pPr>
            <w:r>
              <w:rPr>
                <w:rFonts w:ascii="Arial" w:cs="Arial" w:eastAsia="Arial" w:hAnsi="Arial"/>
                <w:sz w:val="14"/>
                <w:szCs w:val="14"/>
                <w:color w:val="auto"/>
              </w:rPr>
              <w:t>Write-down of intangible assets</w:t>
            </w:r>
          </w:p>
        </w:tc>
        <w:tc>
          <w:tcPr>
            <w:tcW w:w="300" w:type="dxa"/>
            <w:vAlign w:val="bottom"/>
          </w:tcPr>
          <w:p>
            <w:pPr>
              <w:spacing w:after="0"/>
              <w:rPr>
                <w:sz w:val="15"/>
                <w:szCs w:val="15"/>
                <w:color w:val="auto"/>
              </w:rPr>
            </w:pPr>
          </w:p>
        </w:tc>
        <w:tc>
          <w:tcPr>
            <w:tcW w:w="1060" w:type="dxa"/>
            <w:vAlign w:val="bottom"/>
          </w:tcPr>
          <w:p>
            <w:pPr>
              <w:jc w:val="right"/>
              <w:ind w:right="208"/>
              <w:spacing w:after="0"/>
              <w:rPr>
                <w:sz w:val="20"/>
                <w:szCs w:val="20"/>
                <w:color w:val="auto"/>
              </w:rPr>
            </w:pPr>
            <w:r>
              <w:rPr>
                <w:rFonts w:ascii="Arial" w:cs="Arial" w:eastAsia="Arial" w:hAnsi="Arial"/>
                <w:sz w:val="14"/>
                <w:szCs w:val="14"/>
                <w:color w:val="auto"/>
              </w:rPr>
              <w:t>15,921</w:t>
            </w:r>
          </w:p>
        </w:tc>
        <w:tc>
          <w:tcPr>
            <w:tcW w:w="1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8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40" w:type="dxa"/>
            <w:vAlign w:val="bottom"/>
          </w:tcPr>
          <w:p>
            <w:pPr>
              <w:jc w:val="right"/>
              <w:ind w:right="208"/>
              <w:spacing w:after="0"/>
              <w:rPr>
                <w:sz w:val="20"/>
                <w:szCs w:val="20"/>
                <w:color w:val="auto"/>
              </w:rPr>
            </w:pPr>
            <w:r>
              <w:rPr>
                <w:rFonts w:ascii="Arial" w:cs="Arial" w:eastAsia="Arial" w:hAnsi="Arial"/>
                <w:sz w:val="14"/>
                <w:szCs w:val="14"/>
                <w:color w:val="auto"/>
              </w:rPr>
              <w:t>15,921</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6"/>
        </w:trPr>
        <w:tc>
          <w:tcPr>
            <w:tcW w:w="5420" w:type="dxa"/>
            <w:vAlign w:val="bottom"/>
            <w:gridSpan w:val="2"/>
          </w:tcPr>
          <w:p>
            <w:pPr>
              <w:spacing w:after="0"/>
              <w:rPr>
                <w:sz w:val="20"/>
                <w:szCs w:val="20"/>
                <w:color w:val="auto"/>
              </w:rPr>
            </w:pPr>
            <w:r>
              <w:rPr>
                <w:rFonts w:ascii="Arial" w:cs="Arial" w:eastAsia="Arial" w:hAnsi="Arial"/>
                <w:sz w:val="14"/>
                <w:szCs w:val="14"/>
                <w:color w:val="auto"/>
              </w:rPr>
              <w:t>Consolidation costs</w:t>
            </w:r>
          </w:p>
        </w:tc>
        <w:tc>
          <w:tcPr>
            <w:tcW w:w="300" w:type="dxa"/>
            <w:vAlign w:val="bottom"/>
          </w:tcPr>
          <w:p>
            <w:pPr>
              <w:spacing w:after="0"/>
              <w:rPr>
                <w:sz w:val="15"/>
                <w:szCs w:val="15"/>
                <w:color w:val="auto"/>
              </w:rPr>
            </w:pPr>
          </w:p>
        </w:tc>
        <w:tc>
          <w:tcPr>
            <w:tcW w:w="1060" w:type="dxa"/>
            <w:vAlign w:val="bottom"/>
          </w:tcPr>
          <w:p>
            <w:pPr>
              <w:jc w:val="right"/>
              <w:ind w:right="208"/>
              <w:spacing w:after="0"/>
              <w:rPr>
                <w:sz w:val="20"/>
                <w:szCs w:val="20"/>
                <w:color w:val="auto"/>
              </w:rPr>
            </w:pPr>
            <w:r>
              <w:rPr>
                <w:rFonts w:ascii="Arial" w:cs="Arial" w:eastAsia="Arial" w:hAnsi="Arial"/>
                <w:sz w:val="14"/>
                <w:szCs w:val="14"/>
                <w:color w:val="auto"/>
              </w:rPr>
              <w:t>2,143</w:t>
            </w:r>
          </w:p>
        </w:tc>
        <w:tc>
          <w:tcPr>
            <w:tcW w:w="1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80" w:type="dxa"/>
            <w:vAlign w:val="bottom"/>
          </w:tcPr>
          <w:p>
            <w:pPr>
              <w:jc w:val="right"/>
              <w:ind w:right="188"/>
              <w:spacing w:after="0"/>
              <w:rPr>
                <w:sz w:val="20"/>
                <w:szCs w:val="20"/>
                <w:color w:val="auto"/>
              </w:rPr>
            </w:pPr>
            <w:r>
              <w:rPr>
                <w:rFonts w:ascii="Arial" w:cs="Arial" w:eastAsia="Arial" w:hAnsi="Arial"/>
                <w:sz w:val="14"/>
                <w:szCs w:val="14"/>
                <w:color w:val="auto"/>
              </w:rPr>
              <w:t>5,384</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40" w:type="dxa"/>
            <w:vAlign w:val="bottom"/>
          </w:tcPr>
          <w:p>
            <w:pPr>
              <w:jc w:val="right"/>
              <w:ind w:right="208"/>
              <w:spacing w:after="0"/>
              <w:rPr>
                <w:sz w:val="20"/>
                <w:szCs w:val="20"/>
                <w:color w:val="auto"/>
              </w:rPr>
            </w:pPr>
            <w:r>
              <w:rPr>
                <w:rFonts w:ascii="Arial" w:cs="Arial" w:eastAsia="Arial" w:hAnsi="Arial"/>
                <w:sz w:val="14"/>
                <w:szCs w:val="14"/>
                <w:color w:val="auto"/>
              </w:rPr>
              <w:t>7,069</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228"/>
              <w:spacing w:after="0"/>
              <w:rPr>
                <w:sz w:val="20"/>
                <w:szCs w:val="20"/>
                <w:color w:val="auto"/>
              </w:rPr>
            </w:pPr>
            <w:r>
              <w:rPr>
                <w:rFonts w:ascii="Arial" w:cs="Arial" w:eastAsia="Arial" w:hAnsi="Arial"/>
                <w:sz w:val="14"/>
                <w:szCs w:val="14"/>
                <w:color w:val="auto"/>
              </w:rPr>
              <w:t>9,010</w:t>
            </w:r>
          </w:p>
        </w:tc>
        <w:tc>
          <w:tcPr>
            <w:tcW w:w="0" w:type="dxa"/>
            <w:vAlign w:val="bottom"/>
          </w:tcPr>
          <w:p>
            <w:pPr>
              <w:spacing w:after="0"/>
              <w:rPr>
                <w:sz w:val="1"/>
                <w:szCs w:val="1"/>
                <w:color w:val="auto"/>
              </w:rPr>
            </w:pPr>
          </w:p>
        </w:tc>
      </w:tr>
      <w:tr>
        <w:trPr>
          <w:trHeight w:val="176"/>
        </w:trPr>
        <w:tc>
          <w:tcPr>
            <w:tcW w:w="5420" w:type="dxa"/>
            <w:vAlign w:val="bottom"/>
            <w:gridSpan w:val="2"/>
          </w:tcPr>
          <w:p>
            <w:pPr>
              <w:spacing w:after="0"/>
              <w:rPr>
                <w:sz w:val="20"/>
                <w:szCs w:val="20"/>
                <w:color w:val="auto"/>
              </w:rPr>
            </w:pPr>
            <w:r>
              <w:rPr>
                <w:rFonts w:ascii="Arial" w:cs="Arial" w:eastAsia="Arial" w:hAnsi="Arial"/>
                <w:sz w:val="14"/>
                <w:szCs w:val="14"/>
                <w:color w:val="auto"/>
              </w:rPr>
              <w:t>Integration expenses</w:t>
            </w:r>
          </w:p>
        </w:tc>
        <w:tc>
          <w:tcPr>
            <w:tcW w:w="300" w:type="dxa"/>
            <w:vAlign w:val="bottom"/>
          </w:tcPr>
          <w:p>
            <w:pPr>
              <w:spacing w:after="0"/>
              <w:rPr>
                <w:sz w:val="15"/>
                <w:szCs w:val="15"/>
                <w:color w:val="auto"/>
              </w:rPr>
            </w:pPr>
          </w:p>
        </w:tc>
        <w:tc>
          <w:tcPr>
            <w:tcW w:w="1060" w:type="dxa"/>
            <w:vAlign w:val="bottom"/>
          </w:tcPr>
          <w:p>
            <w:pPr>
              <w:jc w:val="right"/>
              <w:ind w:right="208"/>
              <w:spacing w:after="0"/>
              <w:rPr>
                <w:sz w:val="20"/>
                <w:szCs w:val="20"/>
                <w:color w:val="auto"/>
              </w:rPr>
            </w:pPr>
            <w:r>
              <w:rPr>
                <w:rFonts w:ascii="Arial" w:cs="Arial" w:eastAsia="Arial" w:hAnsi="Arial"/>
                <w:sz w:val="14"/>
                <w:szCs w:val="14"/>
                <w:color w:val="auto"/>
              </w:rPr>
              <w:t>301</w:t>
            </w:r>
          </w:p>
        </w:tc>
        <w:tc>
          <w:tcPr>
            <w:tcW w:w="1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80" w:type="dxa"/>
            <w:vAlign w:val="bottom"/>
          </w:tcPr>
          <w:p>
            <w:pPr>
              <w:jc w:val="right"/>
              <w:ind w:right="188"/>
              <w:spacing w:after="0"/>
              <w:rPr>
                <w:sz w:val="20"/>
                <w:szCs w:val="20"/>
                <w:color w:val="auto"/>
              </w:rPr>
            </w:pPr>
            <w:r>
              <w:rPr>
                <w:rFonts w:ascii="Arial" w:cs="Arial" w:eastAsia="Arial" w:hAnsi="Arial"/>
                <w:sz w:val="14"/>
                <w:szCs w:val="14"/>
                <w:color w:val="auto"/>
              </w:rPr>
              <w:t>1,493</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40" w:type="dxa"/>
            <w:vAlign w:val="bottom"/>
          </w:tcPr>
          <w:p>
            <w:pPr>
              <w:jc w:val="right"/>
              <w:ind w:right="208"/>
              <w:spacing w:after="0"/>
              <w:rPr>
                <w:sz w:val="20"/>
                <w:szCs w:val="20"/>
                <w:color w:val="auto"/>
              </w:rPr>
            </w:pPr>
            <w:r>
              <w:rPr>
                <w:rFonts w:ascii="Arial" w:cs="Arial" w:eastAsia="Arial" w:hAnsi="Arial"/>
                <w:sz w:val="14"/>
                <w:szCs w:val="14"/>
                <w:color w:val="auto"/>
              </w:rPr>
              <w:t>3,077</w:t>
            </w: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jc w:val="right"/>
              <w:ind w:right="228"/>
              <w:spacing w:after="0"/>
              <w:rPr>
                <w:sz w:val="20"/>
                <w:szCs w:val="20"/>
                <w:color w:val="auto"/>
              </w:rPr>
            </w:pPr>
            <w:r>
              <w:rPr>
                <w:rFonts w:ascii="Arial" w:cs="Arial" w:eastAsia="Arial" w:hAnsi="Arial"/>
                <w:sz w:val="14"/>
                <w:szCs w:val="14"/>
                <w:color w:val="auto"/>
              </w:rPr>
              <w:t>5,369</w:t>
            </w:r>
          </w:p>
        </w:tc>
        <w:tc>
          <w:tcPr>
            <w:tcW w:w="0" w:type="dxa"/>
            <w:vAlign w:val="bottom"/>
          </w:tcPr>
          <w:p>
            <w:pPr>
              <w:spacing w:after="0"/>
              <w:rPr>
                <w:sz w:val="1"/>
                <w:szCs w:val="1"/>
                <w:color w:val="auto"/>
              </w:rPr>
            </w:pPr>
          </w:p>
        </w:tc>
      </w:tr>
      <w:tr>
        <w:trPr>
          <w:trHeight w:val="181"/>
        </w:trPr>
        <w:tc>
          <w:tcPr>
            <w:tcW w:w="5420" w:type="dxa"/>
            <w:vAlign w:val="bottom"/>
            <w:gridSpan w:val="2"/>
          </w:tcPr>
          <w:p>
            <w:pPr>
              <w:spacing w:after="0"/>
              <w:rPr>
                <w:sz w:val="20"/>
                <w:szCs w:val="20"/>
                <w:color w:val="auto"/>
              </w:rPr>
            </w:pPr>
            <w:r>
              <w:rPr>
                <w:rFonts w:ascii="Arial" w:cs="Arial" w:eastAsia="Arial" w:hAnsi="Arial"/>
                <w:sz w:val="14"/>
                <w:szCs w:val="14"/>
                <w:color w:val="auto"/>
              </w:rPr>
              <w:t>Asset dispositions &amp; other</w:t>
            </w:r>
          </w:p>
        </w:tc>
        <w:tc>
          <w:tcPr>
            <w:tcW w:w="30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344</w:t>
            </w:r>
          </w:p>
        </w:tc>
        <w:tc>
          <w:tcPr>
            <w:tcW w:w="14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227</w:t>
            </w:r>
          </w:p>
        </w:tc>
        <w:tc>
          <w:tcPr>
            <w:tcW w:w="14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948</w:t>
            </w:r>
          </w:p>
        </w:tc>
        <w:tc>
          <w:tcPr>
            <w:tcW w:w="14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199</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5400" w:type="dxa"/>
            <w:vAlign w:val="bottom"/>
          </w:tcPr>
          <w:p>
            <w:pPr>
              <w:ind w:left="200"/>
              <w:spacing w:after="0"/>
              <w:rPr>
                <w:sz w:val="20"/>
                <w:szCs w:val="20"/>
                <w:color w:val="auto"/>
              </w:rPr>
            </w:pPr>
            <w:r>
              <w:rPr>
                <w:rFonts w:ascii="Arial" w:cs="Arial" w:eastAsia="Arial" w:hAnsi="Arial"/>
                <w:sz w:val="14"/>
                <w:szCs w:val="14"/>
                <w:color w:val="auto"/>
              </w:rPr>
              <w:t>Operating income – adjusted</w:t>
            </w:r>
          </w:p>
        </w:tc>
        <w:tc>
          <w:tcPr>
            <w:tcW w:w="3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16,422</w:t>
            </w:r>
          </w:p>
        </w:tc>
        <w:tc>
          <w:tcPr>
            <w:tcW w:w="140" w:type="dxa"/>
            <w:vAlign w:val="bottom"/>
          </w:tcPr>
          <w:p>
            <w:pPr>
              <w:spacing w:after="0"/>
              <w:rPr>
                <w:sz w:val="14"/>
                <w:szCs w:val="14"/>
                <w:color w:val="auto"/>
              </w:rPr>
            </w:pPr>
          </w:p>
        </w:tc>
        <w:tc>
          <w:tcPr>
            <w:tcW w:w="3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19,072</w:t>
            </w:r>
          </w:p>
        </w:tc>
        <w:tc>
          <w:tcPr>
            <w:tcW w:w="140" w:type="dxa"/>
            <w:vAlign w:val="bottom"/>
          </w:tcPr>
          <w:p>
            <w:pPr>
              <w:spacing w:after="0"/>
              <w:rPr>
                <w:sz w:val="14"/>
                <w:szCs w:val="14"/>
                <w:color w:val="auto"/>
              </w:rPr>
            </w:pPr>
          </w:p>
        </w:tc>
        <w:tc>
          <w:tcPr>
            <w:tcW w:w="36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62,563</w:t>
            </w:r>
          </w:p>
        </w:tc>
        <w:tc>
          <w:tcPr>
            <w:tcW w:w="140" w:type="dxa"/>
            <w:vAlign w:val="bottom"/>
          </w:tcPr>
          <w:p>
            <w:pPr>
              <w:spacing w:after="0"/>
              <w:rPr>
                <w:sz w:val="14"/>
                <w:szCs w:val="14"/>
                <w:color w:val="auto"/>
              </w:rPr>
            </w:pPr>
          </w:p>
        </w:tc>
        <w:tc>
          <w:tcPr>
            <w:tcW w:w="3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58,134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400" w:type="dxa"/>
            <w:vAlign w:val="bottom"/>
            <w:vMerge w:val="restart"/>
          </w:tcPr>
          <w:p>
            <w:pPr>
              <w:ind w:left="200"/>
              <w:spacing w:after="0"/>
              <w:rPr>
                <w:sz w:val="20"/>
                <w:szCs w:val="20"/>
                <w:color w:val="auto"/>
              </w:rPr>
            </w:pPr>
            <w:r>
              <w:rPr>
                <w:rFonts w:ascii="Arial" w:cs="Arial" w:eastAsia="Arial" w:hAnsi="Arial"/>
                <w:sz w:val="14"/>
                <w:szCs w:val="14"/>
                <w:color w:val="auto"/>
              </w:rPr>
              <w:t>Operating margin – adjusted</w:t>
            </w: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20" w:type="dxa"/>
            <w:vAlign w:val="bottom"/>
          </w:tcPr>
          <w:p>
            <w:pPr>
              <w:spacing w:after="0"/>
              <w:rPr>
                <w:sz w:val="13"/>
                <w:szCs w:val="13"/>
                <w:color w:val="auto"/>
              </w:rPr>
            </w:pPr>
          </w:p>
        </w:tc>
        <w:tc>
          <w:tcPr>
            <w:tcW w:w="5400" w:type="dxa"/>
            <w:vAlign w:val="bottom"/>
            <w:vMerge w:val="continue"/>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1060" w:type="dxa"/>
            <w:vAlign w:val="bottom"/>
            <w:tcBorders>
              <w:bottom w:val="single" w:sz="8" w:color="auto"/>
            </w:tcBorders>
          </w:tcPr>
          <w:p>
            <w:pPr>
              <w:jc w:val="right"/>
              <w:ind w:right="88"/>
              <w:spacing w:after="0" w:line="156" w:lineRule="exact"/>
              <w:rPr>
                <w:sz w:val="20"/>
                <w:szCs w:val="20"/>
                <w:color w:val="auto"/>
              </w:rPr>
            </w:pPr>
            <w:r>
              <w:rPr>
                <w:rFonts w:ascii="Arial" w:cs="Arial" w:eastAsia="Arial" w:hAnsi="Arial"/>
                <w:sz w:val="14"/>
                <w:szCs w:val="14"/>
                <w:color w:val="auto"/>
              </w:rPr>
              <w:t>13.1%</w:t>
            </w:r>
          </w:p>
        </w:tc>
        <w:tc>
          <w:tcPr>
            <w:tcW w:w="140" w:type="dxa"/>
            <w:vAlign w:val="bottom"/>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1080" w:type="dxa"/>
            <w:vAlign w:val="bottom"/>
            <w:tcBorders>
              <w:bottom w:val="single" w:sz="8" w:color="auto"/>
            </w:tcBorders>
          </w:tcPr>
          <w:p>
            <w:pPr>
              <w:jc w:val="right"/>
              <w:ind w:right="68"/>
              <w:spacing w:after="0" w:line="156" w:lineRule="exact"/>
              <w:rPr>
                <w:sz w:val="20"/>
                <w:szCs w:val="20"/>
                <w:color w:val="auto"/>
              </w:rPr>
            </w:pPr>
            <w:r>
              <w:rPr>
                <w:rFonts w:ascii="Arial" w:cs="Arial" w:eastAsia="Arial" w:hAnsi="Arial"/>
                <w:sz w:val="14"/>
                <w:szCs w:val="14"/>
                <w:color w:val="auto"/>
              </w:rPr>
              <w:t>13.0%</w:t>
            </w:r>
          </w:p>
        </w:tc>
        <w:tc>
          <w:tcPr>
            <w:tcW w:w="140" w:type="dxa"/>
            <w:vAlign w:val="bottom"/>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040" w:type="dxa"/>
            <w:vAlign w:val="bottom"/>
            <w:tcBorders>
              <w:bottom w:val="single" w:sz="8" w:color="auto"/>
            </w:tcBorders>
          </w:tcPr>
          <w:p>
            <w:pPr>
              <w:jc w:val="right"/>
              <w:ind w:right="88"/>
              <w:spacing w:after="0" w:line="156" w:lineRule="exact"/>
              <w:rPr>
                <w:sz w:val="20"/>
                <w:szCs w:val="20"/>
                <w:color w:val="auto"/>
              </w:rPr>
            </w:pPr>
            <w:r>
              <w:rPr>
                <w:rFonts w:ascii="Arial" w:cs="Arial" w:eastAsia="Arial" w:hAnsi="Arial"/>
                <w:sz w:val="14"/>
                <w:szCs w:val="14"/>
                <w:color w:val="auto"/>
              </w:rPr>
              <w:t>12.0%</w:t>
            </w:r>
          </w:p>
        </w:tc>
        <w:tc>
          <w:tcPr>
            <w:tcW w:w="140" w:type="dxa"/>
            <w:vAlign w:val="bottom"/>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080" w:type="dxa"/>
            <w:vAlign w:val="bottom"/>
            <w:tcBorders>
              <w:bottom w:val="single" w:sz="8" w:color="auto"/>
            </w:tcBorders>
          </w:tcPr>
          <w:p>
            <w:pPr>
              <w:jc w:val="right"/>
              <w:ind w:right="108"/>
              <w:spacing w:after="0" w:line="156" w:lineRule="exact"/>
              <w:rPr>
                <w:sz w:val="20"/>
                <w:szCs w:val="20"/>
                <w:color w:val="auto"/>
              </w:rPr>
            </w:pPr>
            <w:r>
              <w:rPr>
                <w:rFonts w:ascii="Arial" w:cs="Arial" w:eastAsia="Arial" w:hAnsi="Arial"/>
                <w:sz w:val="14"/>
                <w:szCs w:val="14"/>
                <w:color w:val="auto"/>
              </w:rPr>
              <w:t>10.6%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4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5" w:lineRule="exact"/>
        <w:rPr>
          <w:sz w:val="20"/>
          <w:szCs w:val="20"/>
          <w:color w:val="auto"/>
        </w:rPr>
      </w:pPr>
    </w:p>
    <w:p>
      <w:pPr>
        <w:spacing w:after="0"/>
        <w:rPr>
          <w:sz w:val="20"/>
          <w:szCs w:val="20"/>
          <w:color w:val="auto"/>
        </w:rPr>
      </w:pPr>
      <w:r>
        <w:rPr>
          <w:rFonts w:ascii="Arial" w:cs="Arial" w:eastAsia="Arial" w:hAnsi="Arial"/>
          <w:sz w:val="22"/>
          <w:szCs w:val="22"/>
          <w:color w:val="auto"/>
        </w:rPr>
        <w:t>* Includes additional week of operations due to fiscal year ending on closest Friday to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596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10" w:name="page11"/>
    <w:bookmarkEnd w:id="10"/>
    <w:p>
      <w:pPr>
        <w:spacing w:after="0"/>
        <w:rPr>
          <w:sz w:val="20"/>
          <w:szCs w:val="20"/>
          <w:color w:val="auto"/>
        </w:rPr>
      </w:pPr>
      <w:r>
        <w:rPr>
          <w:rFonts w:ascii="Arial" w:cs="Arial" w:eastAsia="Arial" w:hAnsi="Arial"/>
          <w:sz w:val="22"/>
          <w:szCs w:val="22"/>
          <w:b w:val="1"/>
          <w:bCs w:val="1"/>
          <w:color w:val="auto"/>
        </w:rPr>
        <w:t>Table B: Net Income (Loss) &amp; EPS Reconciliation (in thousands, except per share amounts):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55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ind w:right="428"/>
              <w:spacing w:after="0"/>
              <w:rPr>
                <w:sz w:val="20"/>
                <w:szCs w:val="20"/>
                <w:color w:val="auto"/>
              </w:rPr>
            </w:pPr>
            <w:r>
              <w:rPr>
                <w:rFonts w:ascii="Arial" w:cs="Arial" w:eastAsia="Arial" w:hAnsi="Arial"/>
                <w:sz w:val="14"/>
                <w:szCs w:val="14"/>
                <w:b w:val="1"/>
                <w:bCs w:val="1"/>
                <w:color w:val="auto"/>
              </w:rPr>
              <w:t>2009</w:t>
            </w:r>
          </w:p>
        </w:tc>
        <w:tc>
          <w:tcPr>
            <w:tcW w:w="1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ind w:right="428"/>
              <w:spacing w:after="0"/>
              <w:rPr>
                <w:sz w:val="20"/>
                <w:szCs w:val="20"/>
                <w:color w:val="auto"/>
              </w:rPr>
            </w:pPr>
            <w:r>
              <w:rPr>
                <w:rFonts w:ascii="Arial" w:cs="Arial" w:eastAsia="Arial" w:hAnsi="Arial"/>
                <w:sz w:val="14"/>
                <w:szCs w:val="14"/>
                <w:b w:val="1"/>
                <w:bCs w:val="1"/>
                <w:color w:val="auto"/>
              </w:rPr>
              <w:t>2008</w:t>
            </w:r>
          </w:p>
        </w:tc>
        <w:tc>
          <w:tcPr>
            <w:tcW w:w="1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040" w:type="dxa"/>
            <w:vAlign w:val="bottom"/>
          </w:tcPr>
          <w:p>
            <w:pPr>
              <w:jc w:val="right"/>
              <w:ind w:right="488"/>
              <w:spacing w:after="0"/>
              <w:rPr>
                <w:sz w:val="20"/>
                <w:szCs w:val="20"/>
                <w:color w:val="auto"/>
              </w:rPr>
            </w:pPr>
            <w:r>
              <w:rPr>
                <w:rFonts w:ascii="Arial" w:cs="Arial" w:eastAsia="Arial" w:hAnsi="Arial"/>
                <w:sz w:val="14"/>
                <w:szCs w:val="14"/>
                <w:b w:val="1"/>
                <w:bCs w:val="1"/>
                <w:color w:val="auto"/>
              </w:rPr>
              <w:t>2009</w:t>
            </w:r>
          </w:p>
        </w:tc>
        <w:tc>
          <w:tcPr>
            <w:tcW w:w="1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980" w:type="dxa"/>
            <w:vAlign w:val="bottom"/>
          </w:tcPr>
          <w:p>
            <w:pPr>
              <w:jc w:val="right"/>
              <w:ind w:right="448"/>
              <w:spacing w:after="0"/>
              <w:rPr>
                <w:sz w:val="20"/>
                <w:szCs w:val="20"/>
                <w:color w:val="auto"/>
              </w:rPr>
            </w:pPr>
            <w:r>
              <w:rPr>
                <w:rFonts w:ascii="Arial" w:cs="Arial" w:eastAsia="Arial" w:hAnsi="Arial"/>
                <w:sz w:val="14"/>
                <w:szCs w:val="14"/>
                <w:b w:val="1"/>
                <w:bCs w:val="1"/>
                <w:color w:val="auto"/>
              </w:rPr>
              <w:t>2008</w:t>
            </w: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558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4th Qtr.</w:t>
            </w:r>
          </w:p>
        </w:tc>
        <w:tc>
          <w:tcPr>
            <w:tcW w:w="14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4th Qtr.</w:t>
            </w:r>
          </w:p>
        </w:tc>
        <w:tc>
          <w:tcPr>
            <w:tcW w:w="16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Year</w:t>
            </w:r>
          </w:p>
        </w:tc>
        <w:tc>
          <w:tcPr>
            <w:tcW w:w="16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Year</w:t>
            </w: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5580" w:type="dxa"/>
            <w:vAlign w:val="bottom"/>
          </w:tcPr>
          <w:p>
            <w:pPr>
              <w:spacing w:after="0"/>
              <w:rPr>
                <w:sz w:val="20"/>
                <w:szCs w:val="20"/>
                <w:color w:val="auto"/>
              </w:rPr>
            </w:pPr>
            <w:r>
              <w:rPr>
                <w:rFonts w:ascii="Arial" w:cs="Arial" w:eastAsia="Arial" w:hAnsi="Arial"/>
                <w:sz w:val="14"/>
                <w:szCs w:val="14"/>
                <w:color w:val="auto"/>
              </w:rPr>
              <w:t>Income (loss) before taxes as reported:</w:t>
            </w:r>
          </w:p>
        </w:tc>
        <w:tc>
          <w:tcPr>
            <w:tcW w:w="3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(7,356)</w:t>
            </w:r>
          </w:p>
        </w:tc>
        <w:tc>
          <w:tcPr>
            <w:tcW w:w="440" w:type="dxa"/>
            <w:vAlign w:val="bottom"/>
            <w:gridSpan w:val="2"/>
          </w:tcPr>
          <w:p>
            <w:pPr>
              <w:jc w:val="right"/>
              <w:ind w:right="2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10,279</w:t>
            </w:r>
          </w:p>
        </w:tc>
        <w:tc>
          <w:tcPr>
            <w:tcW w:w="540" w:type="dxa"/>
            <w:vAlign w:val="bottom"/>
            <w:gridSpan w:val="2"/>
          </w:tcPr>
          <w:p>
            <w:pPr>
              <w:jc w:val="right"/>
              <w:ind w:right="108"/>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(18,177)</w:t>
            </w:r>
          </w:p>
        </w:tc>
        <w:tc>
          <w:tcPr>
            <w:tcW w:w="520" w:type="dxa"/>
            <w:vAlign w:val="bottom"/>
            <w:gridSpan w:val="2"/>
          </w:tcPr>
          <w:p>
            <w:pPr>
              <w:jc w:val="right"/>
              <w:ind w:right="8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108"/>
              <w:spacing w:after="0"/>
              <w:rPr>
                <w:sz w:val="20"/>
                <w:szCs w:val="20"/>
                <w:color w:val="auto"/>
              </w:rPr>
            </w:pPr>
            <w:r>
              <w:rPr>
                <w:rFonts w:ascii="Arial" w:cs="Arial" w:eastAsia="Arial" w:hAnsi="Arial"/>
                <w:sz w:val="14"/>
                <w:szCs w:val="14"/>
                <w:color w:val="auto"/>
              </w:rPr>
              <w:t>20,517</w:t>
            </w:r>
          </w:p>
        </w:tc>
        <w:tc>
          <w:tcPr>
            <w:tcW w:w="0" w:type="dxa"/>
            <w:vAlign w:val="bottom"/>
          </w:tcPr>
          <w:p>
            <w:pPr>
              <w:spacing w:after="0"/>
              <w:rPr>
                <w:sz w:val="1"/>
                <w:szCs w:val="1"/>
                <w:color w:val="auto"/>
              </w:rPr>
            </w:pPr>
          </w:p>
        </w:tc>
      </w:tr>
      <w:tr>
        <w:trPr>
          <w:trHeight w:val="176"/>
        </w:trPr>
        <w:tc>
          <w:tcPr>
            <w:tcW w:w="5600" w:type="dxa"/>
            <w:vAlign w:val="bottom"/>
            <w:gridSpan w:val="2"/>
          </w:tcPr>
          <w:p>
            <w:pPr>
              <w:spacing w:after="0"/>
              <w:rPr>
                <w:sz w:val="20"/>
                <w:szCs w:val="20"/>
                <w:color w:val="auto"/>
              </w:rPr>
            </w:pPr>
            <w:r>
              <w:rPr>
                <w:rFonts w:ascii="Arial" w:cs="Arial" w:eastAsia="Arial" w:hAnsi="Arial"/>
                <w:sz w:val="14"/>
                <w:szCs w:val="14"/>
                <w:color w:val="auto"/>
              </w:rPr>
              <w:t>In-process research and development</w:t>
            </w:r>
          </w:p>
        </w:tc>
        <w:tc>
          <w:tcPr>
            <w:tcW w:w="300" w:type="dxa"/>
            <w:vAlign w:val="bottom"/>
          </w:tcPr>
          <w:p>
            <w:pPr>
              <w:spacing w:after="0"/>
              <w:rPr>
                <w:sz w:val="15"/>
                <w:szCs w:val="15"/>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04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980" w:type="dxa"/>
            <w:vAlign w:val="bottom"/>
          </w:tcPr>
          <w:p>
            <w:pPr>
              <w:jc w:val="right"/>
              <w:ind w:right="108"/>
              <w:spacing w:after="0"/>
              <w:rPr>
                <w:sz w:val="20"/>
                <w:szCs w:val="20"/>
                <w:color w:val="auto"/>
              </w:rPr>
            </w:pPr>
            <w:r>
              <w:rPr>
                <w:rFonts w:ascii="Arial" w:cs="Arial" w:eastAsia="Arial" w:hAnsi="Arial"/>
                <w:sz w:val="14"/>
                <w:szCs w:val="14"/>
                <w:color w:val="auto"/>
              </w:rPr>
              <w:t>2,240</w:t>
            </w:r>
          </w:p>
        </w:tc>
        <w:tc>
          <w:tcPr>
            <w:tcW w:w="0" w:type="dxa"/>
            <w:vAlign w:val="bottom"/>
          </w:tcPr>
          <w:p>
            <w:pPr>
              <w:spacing w:after="0"/>
              <w:rPr>
                <w:sz w:val="1"/>
                <w:szCs w:val="1"/>
                <w:color w:val="auto"/>
              </w:rPr>
            </w:pPr>
          </w:p>
        </w:tc>
      </w:tr>
      <w:tr>
        <w:trPr>
          <w:trHeight w:val="181"/>
        </w:trPr>
        <w:tc>
          <w:tcPr>
            <w:tcW w:w="5600" w:type="dxa"/>
            <w:vAlign w:val="bottom"/>
            <w:gridSpan w:val="2"/>
          </w:tcPr>
          <w:p>
            <w:pPr>
              <w:spacing w:after="0"/>
              <w:rPr>
                <w:sz w:val="20"/>
                <w:szCs w:val="20"/>
                <w:color w:val="auto"/>
              </w:rPr>
            </w:pPr>
            <w:r>
              <w:rPr>
                <w:rFonts w:ascii="Arial" w:cs="Arial" w:eastAsia="Arial" w:hAnsi="Arial"/>
                <w:sz w:val="14"/>
                <w:szCs w:val="14"/>
                <w:color w:val="auto"/>
              </w:rPr>
              <w:t>Acquisition charges (inventory step-up)</w:t>
            </w:r>
          </w:p>
        </w:tc>
        <w:tc>
          <w:tcPr>
            <w:tcW w:w="3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6,422</w:t>
            </w:r>
          </w:p>
        </w:tc>
        <w:tc>
          <w:tcPr>
            <w:tcW w:w="0" w:type="dxa"/>
            <w:vAlign w:val="bottom"/>
          </w:tcPr>
          <w:p>
            <w:pPr>
              <w:spacing w:after="0"/>
              <w:rPr>
                <w:sz w:val="1"/>
                <w:szCs w:val="1"/>
                <w:color w:val="auto"/>
              </w:rPr>
            </w:pPr>
          </w:p>
        </w:tc>
      </w:tr>
      <w:tr>
        <w:trPr>
          <w:trHeight w:val="169"/>
        </w:trPr>
        <w:tc>
          <w:tcPr>
            <w:tcW w:w="5600" w:type="dxa"/>
            <w:vAlign w:val="bottom"/>
            <w:gridSpan w:val="2"/>
          </w:tcPr>
          <w:p>
            <w:pPr>
              <w:spacing w:after="0"/>
              <w:rPr>
                <w:sz w:val="20"/>
                <w:szCs w:val="20"/>
                <w:color w:val="auto"/>
              </w:rPr>
            </w:pPr>
            <w:r>
              <w:rPr>
                <w:rFonts w:ascii="Arial" w:cs="Arial" w:eastAsia="Arial" w:hAnsi="Arial"/>
                <w:sz w:val="14"/>
                <w:szCs w:val="14"/>
                <w:color w:val="auto"/>
              </w:rPr>
              <w:t>Sub-total</w:t>
            </w:r>
          </w:p>
        </w:tc>
        <w:tc>
          <w:tcPr>
            <w:tcW w:w="30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(7,356)</w:t>
            </w:r>
          </w:p>
        </w:tc>
        <w:tc>
          <w:tcPr>
            <w:tcW w:w="14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10,279</w:t>
            </w:r>
          </w:p>
        </w:tc>
        <w:tc>
          <w:tcPr>
            <w:tcW w:w="16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(18,177)</w:t>
            </w:r>
          </w:p>
        </w:tc>
        <w:tc>
          <w:tcPr>
            <w:tcW w:w="16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29,179</w:t>
            </w:r>
          </w:p>
        </w:tc>
        <w:tc>
          <w:tcPr>
            <w:tcW w:w="0" w:type="dxa"/>
            <w:vAlign w:val="bottom"/>
          </w:tcPr>
          <w:p>
            <w:pPr>
              <w:spacing w:after="0"/>
              <w:rPr>
                <w:sz w:val="1"/>
                <w:szCs w:val="1"/>
                <w:color w:val="auto"/>
              </w:rPr>
            </w:pPr>
          </w:p>
        </w:tc>
      </w:tr>
      <w:tr>
        <w:trPr>
          <w:trHeight w:val="164"/>
        </w:trPr>
        <w:tc>
          <w:tcPr>
            <w:tcW w:w="5600" w:type="dxa"/>
            <w:vAlign w:val="bottom"/>
            <w:gridSpan w:val="2"/>
          </w:tcPr>
          <w:p>
            <w:pPr>
              <w:spacing w:after="0"/>
              <w:rPr>
                <w:sz w:val="20"/>
                <w:szCs w:val="20"/>
                <w:color w:val="auto"/>
              </w:rPr>
            </w:pPr>
            <w:r>
              <w:rPr>
                <w:rFonts w:ascii="Arial" w:cs="Arial" w:eastAsia="Arial" w:hAnsi="Arial"/>
                <w:sz w:val="14"/>
                <w:szCs w:val="14"/>
                <w:color w:val="auto"/>
              </w:rPr>
              <w:t>Adjustments:</w:t>
            </w: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5600" w:type="dxa"/>
            <w:vAlign w:val="bottom"/>
            <w:gridSpan w:val="2"/>
          </w:tcPr>
          <w:p>
            <w:pPr>
              <w:spacing w:after="0"/>
              <w:rPr>
                <w:sz w:val="20"/>
                <w:szCs w:val="20"/>
                <w:color w:val="auto"/>
              </w:rPr>
            </w:pPr>
            <w:r>
              <w:rPr>
                <w:rFonts w:ascii="Arial" w:cs="Arial" w:eastAsia="Arial" w:hAnsi="Arial"/>
                <w:sz w:val="14"/>
                <w:szCs w:val="14"/>
                <w:color w:val="auto"/>
              </w:rPr>
              <w:t>Litigation charge</w:t>
            </w:r>
          </w:p>
        </w:tc>
        <w:tc>
          <w:tcPr>
            <w:tcW w:w="300" w:type="dxa"/>
            <w:vAlign w:val="bottom"/>
          </w:tcPr>
          <w:p>
            <w:pPr>
              <w:spacing w:after="0"/>
              <w:rPr>
                <w:sz w:val="15"/>
                <w:szCs w:val="15"/>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040" w:type="dxa"/>
            <w:vAlign w:val="bottom"/>
          </w:tcPr>
          <w:p>
            <w:pPr>
              <w:jc w:val="right"/>
              <w:ind w:right="88"/>
              <w:spacing w:after="0"/>
              <w:rPr>
                <w:sz w:val="20"/>
                <w:szCs w:val="20"/>
                <w:color w:val="auto"/>
              </w:rPr>
            </w:pPr>
            <w:r>
              <w:rPr>
                <w:rFonts w:ascii="Arial" w:cs="Arial" w:eastAsia="Arial" w:hAnsi="Arial"/>
                <w:sz w:val="14"/>
                <w:szCs w:val="14"/>
                <w:color w:val="auto"/>
              </w:rPr>
              <w:t>34,500</w:t>
            </w:r>
          </w:p>
        </w:tc>
        <w:tc>
          <w:tcPr>
            <w:tcW w:w="1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9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6"/>
        </w:trPr>
        <w:tc>
          <w:tcPr>
            <w:tcW w:w="5600" w:type="dxa"/>
            <w:vAlign w:val="bottom"/>
            <w:gridSpan w:val="2"/>
          </w:tcPr>
          <w:p>
            <w:pPr>
              <w:spacing w:after="0"/>
              <w:rPr>
                <w:sz w:val="20"/>
                <w:szCs w:val="20"/>
                <w:color w:val="auto"/>
              </w:rPr>
            </w:pPr>
            <w:r>
              <w:rPr>
                <w:rFonts w:ascii="Arial" w:cs="Arial" w:eastAsia="Arial" w:hAnsi="Arial"/>
                <w:sz w:val="14"/>
                <w:szCs w:val="14"/>
                <w:color w:val="auto"/>
              </w:rPr>
              <w:t>Write-down of intangible assets</w:t>
            </w:r>
          </w:p>
        </w:tc>
        <w:tc>
          <w:tcPr>
            <w:tcW w:w="300" w:type="dxa"/>
            <w:vAlign w:val="bottom"/>
          </w:tcPr>
          <w:p>
            <w:pPr>
              <w:spacing w:after="0"/>
              <w:rPr>
                <w:sz w:val="15"/>
                <w:szCs w:val="15"/>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15,921</w:t>
            </w:r>
          </w:p>
        </w:tc>
        <w:tc>
          <w:tcPr>
            <w:tcW w:w="1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040" w:type="dxa"/>
            <w:vAlign w:val="bottom"/>
          </w:tcPr>
          <w:p>
            <w:pPr>
              <w:jc w:val="right"/>
              <w:ind w:right="88"/>
              <w:spacing w:after="0"/>
              <w:rPr>
                <w:sz w:val="20"/>
                <w:szCs w:val="20"/>
                <w:color w:val="auto"/>
              </w:rPr>
            </w:pPr>
            <w:r>
              <w:rPr>
                <w:rFonts w:ascii="Arial" w:cs="Arial" w:eastAsia="Arial" w:hAnsi="Arial"/>
                <w:sz w:val="14"/>
                <w:szCs w:val="14"/>
                <w:color w:val="auto"/>
              </w:rPr>
              <w:t>15,921</w:t>
            </w:r>
          </w:p>
        </w:tc>
        <w:tc>
          <w:tcPr>
            <w:tcW w:w="1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9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6"/>
        </w:trPr>
        <w:tc>
          <w:tcPr>
            <w:tcW w:w="5600" w:type="dxa"/>
            <w:vAlign w:val="bottom"/>
            <w:gridSpan w:val="2"/>
          </w:tcPr>
          <w:p>
            <w:pPr>
              <w:spacing w:after="0"/>
              <w:rPr>
                <w:sz w:val="20"/>
                <w:szCs w:val="20"/>
                <w:color w:val="auto"/>
              </w:rPr>
            </w:pPr>
            <w:r>
              <w:rPr>
                <w:rFonts w:ascii="Arial" w:cs="Arial" w:eastAsia="Arial" w:hAnsi="Arial"/>
                <w:sz w:val="14"/>
                <w:szCs w:val="14"/>
                <w:color w:val="auto"/>
              </w:rPr>
              <w:t>Consolidation costs</w:t>
            </w:r>
          </w:p>
        </w:tc>
        <w:tc>
          <w:tcPr>
            <w:tcW w:w="300" w:type="dxa"/>
            <w:vAlign w:val="bottom"/>
          </w:tcPr>
          <w:p>
            <w:pPr>
              <w:spacing w:after="0"/>
              <w:rPr>
                <w:sz w:val="15"/>
                <w:szCs w:val="15"/>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2,143</w:t>
            </w:r>
          </w:p>
        </w:tc>
        <w:tc>
          <w:tcPr>
            <w:tcW w:w="1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5,384</w:t>
            </w:r>
          </w:p>
        </w:tc>
        <w:tc>
          <w:tcPr>
            <w:tcW w:w="1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040" w:type="dxa"/>
            <w:vAlign w:val="bottom"/>
          </w:tcPr>
          <w:p>
            <w:pPr>
              <w:jc w:val="right"/>
              <w:ind w:right="88"/>
              <w:spacing w:after="0"/>
              <w:rPr>
                <w:sz w:val="20"/>
                <w:szCs w:val="20"/>
                <w:color w:val="auto"/>
              </w:rPr>
            </w:pPr>
            <w:r>
              <w:rPr>
                <w:rFonts w:ascii="Arial" w:cs="Arial" w:eastAsia="Arial" w:hAnsi="Arial"/>
                <w:sz w:val="14"/>
                <w:szCs w:val="14"/>
                <w:color w:val="auto"/>
              </w:rPr>
              <w:t>7,069</w:t>
            </w:r>
          </w:p>
        </w:tc>
        <w:tc>
          <w:tcPr>
            <w:tcW w:w="1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980" w:type="dxa"/>
            <w:vAlign w:val="bottom"/>
          </w:tcPr>
          <w:p>
            <w:pPr>
              <w:jc w:val="right"/>
              <w:ind w:right="108"/>
              <w:spacing w:after="0"/>
              <w:rPr>
                <w:sz w:val="20"/>
                <w:szCs w:val="20"/>
                <w:color w:val="auto"/>
              </w:rPr>
            </w:pPr>
            <w:r>
              <w:rPr>
                <w:rFonts w:ascii="Arial" w:cs="Arial" w:eastAsia="Arial" w:hAnsi="Arial"/>
                <w:sz w:val="14"/>
                <w:szCs w:val="14"/>
                <w:color w:val="auto"/>
              </w:rPr>
              <w:t>9,010</w:t>
            </w:r>
          </w:p>
        </w:tc>
        <w:tc>
          <w:tcPr>
            <w:tcW w:w="0" w:type="dxa"/>
            <w:vAlign w:val="bottom"/>
          </w:tcPr>
          <w:p>
            <w:pPr>
              <w:spacing w:after="0"/>
              <w:rPr>
                <w:sz w:val="1"/>
                <w:szCs w:val="1"/>
                <w:color w:val="auto"/>
              </w:rPr>
            </w:pPr>
          </w:p>
        </w:tc>
      </w:tr>
      <w:tr>
        <w:trPr>
          <w:trHeight w:val="176"/>
        </w:trPr>
        <w:tc>
          <w:tcPr>
            <w:tcW w:w="5600" w:type="dxa"/>
            <w:vAlign w:val="bottom"/>
            <w:gridSpan w:val="2"/>
          </w:tcPr>
          <w:p>
            <w:pPr>
              <w:spacing w:after="0"/>
              <w:rPr>
                <w:sz w:val="20"/>
                <w:szCs w:val="20"/>
                <w:color w:val="auto"/>
              </w:rPr>
            </w:pPr>
            <w:r>
              <w:rPr>
                <w:rFonts w:ascii="Arial" w:cs="Arial" w:eastAsia="Arial" w:hAnsi="Arial"/>
                <w:sz w:val="14"/>
                <w:szCs w:val="14"/>
                <w:color w:val="auto"/>
              </w:rPr>
              <w:t>Integration expenses</w:t>
            </w:r>
          </w:p>
        </w:tc>
        <w:tc>
          <w:tcPr>
            <w:tcW w:w="300" w:type="dxa"/>
            <w:vAlign w:val="bottom"/>
          </w:tcPr>
          <w:p>
            <w:pPr>
              <w:spacing w:after="0"/>
              <w:rPr>
                <w:sz w:val="15"/>
                <w:szCs w:val="15"/>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301</w:t>
            </w:r>
          </w:p>
        </w:tc>
        <w:tc>
          <w:tcPr>
            <w:tcW w:w="1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1,493</w:t>
            </w:r>
          </w:p>
        </w:tc>
        <w:tc>
          <w:tcPr>
            <w:tcW w:w="1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040" w:type="dxa"/>
            <w:vAlign w:val="bottom"/>
          </w:tcPr>
          <w:p>
            <w:pPr>
              <w:jc w:val="right"/>
              <w:ind w:right="88"/>
              <w:spacing w:after="0"/>
              <w:rPr>
                <w:sz w:val="20"/>
                <w:szCs w:val="20"/>
                <w:color w:val="auto"/>
              </w:rPr>
            </w:pPr>
            <w:r>
              <w:rPr>
                <w:rFonts w:ascii="Arial" w:cs="Arial" w:eastAsia="Arial" w:hAnsi="Arial"/>
                <w:sz w:val="14"/>
                <w:szCs w:val="14"/>
                <w:color w:val="auto"/>
              </w:rPr>
              <w:t>3,077</w:t>
            </w:r>
          </w:p>
        </w:tc>
        <w:tc>
          <w:tcPr>
            <w:tcW w:w="1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980" w:type="dxa"/>
            <w:vAlign w:val="bottom"/>
          </w:tcPr>
          <w:p>
            <w:pPr>
              <w:jc w:val="right"/>
              <w:ind w:right="108"/>
              <w:spacing w:after="0"/>
              <w:rPr>
                <w:sz w:val="20"/>
                <w:szCs w:val="20"/>
                <w:color w:val="auto"/>
              </w:rPr>
            </w:pPr>
            <w:r>
              <w:rPr>
                <w:rFonts w:ascii="Arial" w:cs="Arial" w:eastAsia="Arial" w:hAnsi="Arial"/>
                <w:sz w:val="14"/>
                <w:szCs w:val="14"/>
                <w:color w:val="auto"/>
              </w:rPr>
              <w:t>5,369</w:t>
            </w:r>
          </w:p>
        </w:tc>
        <w:tc>
          <w:tcPr>
            <w:tcW w:w="0" w:type="dxa"/>
            <w:vAlign w:val="bottom"/>
          </w:tcPr>
          <w:p>
            <w:pPr>
              <w:spacing w:after="0"/>
              <w:rPr>
                <w:sz w:val="1"/>
                <w:szCs w:val="1"/>
                <w:color w:val="auto"/>
              </w:rPr>
            </w:pPr>
          </w:p>
        </w:tc>
      </w:tr>
      <w:tr>
        <w:trPr>
          <w:trHeight w:val="181"/>
        </w:trPr>
        <w:tc>
          <w:tcPr>
            <w:tcW w:w="5600" w:type="dxa"/>
            <w:vAlign w:val="bottom"/>
            <w:gridSpan w:val="2"/>
          </w:tcPr>
          <w:p>
            <w:pPr>
              <w:spacing w:after="0"/>
              <w:rPr>
                <w:sz w:val="20"/>
                <w:szCs w:val="20"/>
                <w:color w:val="auto"/>
              </w:rPr>
            </w:pPr>
            <w:r>
              <w:rPr>
                <w:rFonts w:ascii="Arial" w:cs="Arial" w:eastAsia="Arial" w:hAnsi="Arial"/>
                <w:sz w:val="14"/>
                <w:szCs w:val="14"/>
                <w:color w:val="auto"/>
              </w:rPr>
              <w:t>Asset dispositions &amp; other</w:t>
            </w:r>
          </w:p>
        </w:tc>
        <w:tc>
          <w:tcPr>
            <w:tcW w:w="3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344</w:t>
            </w:r>
          </w:p>
        </w:tc>
        <w:tc>
          <w:tcPr>
            <w:tcW w:w="14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227</w:t>
            </w:r>
          </w:p>
        </w:tc>
        <w:tc>
          <w:tcPr>
            <w:tcW w:w="160" w:type="dxa"/>
            <w:vAlign w:val="bottom"/>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948</w:t>
            </w:r>
          </w:p>
        </w:tc>
        <w:tc>
          <w:tcPr>
            <w:tcW w:w="16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199</w:t>
            </w: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5580" w:type="dxa"/>
            <w:vAlign w:val="bottom"/>
          </w:tcPr>
          <w:p>
            <w:pPr>
              <w:ind w:left="320"/>
              <w:spacing w:after="0"/>
              <w:rPr>
                <w:sz w:val="20"/>
                <w:szCs w:val="20"/>
                <w:color w:val="auto"/>
              </w:rPr>
            </w:pPr>
            <w:r>
              <w:rPr>
                <w:rFonts w:ascii="Arial" w:cs="Arial" w:eastAsia="Arial" w:hAnsi="Arial"/>
                <w:sz w:val="14"/>
                <w:szCs w:val="14"/>
                <w:color w:val="auto"/>
              </w:rPr>
              <w:t>Sub-total</w:t>
            </w:r>
          </w:p>
        </w:tc>
        <w:tc>
          <w:tcPr>
            <w:tcW w:w="300" w:type="dxa"/>
            <w:vAlign w:val="bottom"/>
          </w:tcPr>
          <w:p>
            <w:pPr>
              <w:spacing w:after="0"/>
              <w:rPr>
                <w:sz w:val="14"/>
                <w:szCs w:val="14"/>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11,353</w:t>
            </w:r>
          </w:p>
        </w:tc>
        <w:tc>
          <w:tcPr>
            <w:tcW w:w="1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17,383</w:t>
            </w: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040" w:type="dxa"/>
            <w:vAlign w:val="bottom"/>
          </w:tcPr>
          <w:p>
            <w:pPr>
              <w:jc w:val="right"/>
              <w:ind w:right="88"/>
              <w:spacing w:after="0"/>
              <w:rPr>
                <w:sz w:val="20"/>
                <w:szCs w:val="20"/>
                <w:color w:val="auto"/>
              </w:rPr>
            </w:pPr>
            <w:r>
              <w:rPr>
                <w:rFonts w:ascii="Arial" w:cs="Arial" w:eastAsia="Arial" w:hAnsi="Arial"/>
                <w:sz w:val="14"/>
                <w:szCs w:val="14"/>
                <w:color w:val="auto"/>
              </w:rPr>
              <w:t>43,338</w:t>
            </w:r>
          </w:p>
        </w:tc>
        <w:tc>
          <w:tcPr>
            <w:tcW w:w="1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jc w:val="right"/>
              <w:ind w:right="108"/>
              <w:spacing w:after="0"/>
              <w:rPr>
                <w:sz w:val="20"/>
                <w:szCs w:val="20"/>
                <w:color w:val="auto"/>
              </w:rPr>
            </w:pPr>
            <w:r>
              <w:rPr>
                <w:rFonts w:ascii="Arial" w:cs="Arial" w:eastAsia="Arial" w:hAnsi="Arial"/>
                <w:sz w:val="14"/>
                <w:szCs w:val="14"/>
                <w:color w:val="auto"/>
              </w:rPr>
              <w:t>43,757</w:t>
            </w:r>
          </w:p>
        </w:tc>
        <w:tc>
          <w:tcPr>
            <w:tcW w:w="0" w:type="dxa"/>
            <w:vAlign w:val="bottom"/>
          </w:tcPr>
          <w:p>
            <w:pPr>
              <w:spacing w:after="0"/>
              <w:rPr>
                <w:sz w:val="1"/>
                <w:szCs w:val="1"/>
                <w:color w:val="auto"/>
              </w:rPr>
            </w:pPr>
          </w:p>
        </w:tc>
      </w:tr>
      <w:tr>
        <w:trPr>
          <w:trHeight w:val="176"/>
        </w:trPr>
        <w:tc>
          <w:tcPr>
            <w:tcW w:w="5600" w:type="dxa"/>
            <w:vAlign w:val="bottom"/>
            <w:gridSpan w:val="2"/>
          </w:tcPr>
          <w:p>
            <w:pPr>
              <w:spacing w:after="0"/>
              <w:rPr>
                <w:sz w:val="20"/>
                <w:szCs w:val="20"/>
                <w:color w:val="auto"/>
              </w:rPr>
            </w:pPr>
            <w:r>
              <w:rPr>
                <w:rFonts w:ascii="Arial" w:cs="Arial" w:eastAsia="Arial" w:hAnsi="Arial"/>
                <w:sz w:val="14"/>
                <w:szCs w:val="14"/>
                <w:color w:val="auto"/>
              </w:rPr>
              <w:t>Convertible debt accounting change</w:t>
            </w:r>
          </w:p>
        </w:tc>
        <w:tc>
          <w:tcPr>
            <w:tcW w:w="300" w:type="dxa"/>
            <w:vAlign w:val="bottom"/>
          </w:tcPr>
          <w:p>
            <w:pPr>
              <w:spacing w:after="0"/>
              <w:rPr>
                <w:sz w:val="15"/>
                <w:szCs w:val="15"/>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1,882</w:t>
            </w:r>
          </w:p>
        </w:tc>
        <w:tc>
          <w:tcPr>
            <w:tcW w:w="1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1,746</w:t>
            </w:r>
          </w:p>
        </w:tc>
        <w:tc>
          <w:tcPr>
            <w:tcW w:w="1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040" w:type="dxa"/>
            <w:vAlign w:val="bottom"/>
          </w:tcPr>
          <w:p>
            <w:pPr>
              <w:jc w:val="right"/>
              <w:ind w:right="88"/>
              <w:spacing w:after="0"/>
              <w:rPr>
                <w:sz w:val="20"/>
                <w:szCs w:val="20"/>
                <w:color w:val="auto"/>
              </w:rPr>
            </w:pPr>
            <w:r>
              <w:rPr>
                <w:rFonts w:ascii="Arial" w:cs="Arial" w:eastAsia="Arial" w:hAnsi="Arial"/>
                <w:sz w:val="14"/>
                <w:szCs w:val="14"/>
                <w:color w:val="auto"/>
              </w:rPr>
              <w:t>7,311</w:t>
            </w:r>
          </w:p>
        </w:tc>
        <w:tc>
          <w:tcPr>
            <w:tcW w:w="1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980" w:type="dxa"/>
            <w:vAlign w:val="bottom"/>
          </w:tcPr>
          <w:p>
            <w:pPr>
              <w:jc w:val="right"/>
              <w:ind w:right="108"/>
              <w:spacing w:after="0"/>
              <w:rPr>
                <w:sz w:val="20"/>
                <w:szCs w:val="20"/>
                <w:color w:val="auto"/>
              </w:rPr>
            </w:pPr>
            <w:r>
              <w:rPr>
                <w:rFonts w:ascii="Arial" w:cs="Arial" w:eastAsia="Arial" w:hAnsi="Arial"/>
                <w:sz w:val="14"/>
                <w:szCs w:val="14"/>
                <w:color w:val="auto"/>
              </w:rPr>
              <w:t>6,786</w:t>
            </w:r>
          </w:p>
        </w:tc>
        <w:tc>
          <w:tcPr>
            <w:tcW w:w="0" w:type="dxa"/>
            <w:vAlign w:val="bottom"/>
          </w:tcPr>
          <w:p>
            <w:pPr>
              <w:spacing w:after="0"/>
              <w:rPr>
                <w:sz w:val="1"/>
                <w:szCs w:val="1"/>
                <w:color w:val="auto"/>
              </w:rPr>
            </w:pPr>
          </w:p>
        </w:tc>
      </w:tr>
      <w:tr>
        <w:trPr>
          <w:trHeight w:val="181"/>
        </w:trPr>
        <w:tc>
          <w:tcPr>
            <w:tcW w:w="5600" w:type="dxa"/>
            <w:vAlign w:val="bottom"/>
            <w:gridSpan w:val="2"/>
          </w:tcPr>
          <w:p>
            <w:pPr>
              <w:spacing w:after="0"/>
              <w:rPr>
                <w:sz w:val="20"/>
                <w:szCs w:val="20"/>
                <w:color w:val="auto"/>
              </w:rPr>
            </w:pPr>
            <w:r>
              <w:rPr>
                <w:rFonts w:ascii="Arial" w:cs="Arial" w:eastAsia="Arial" w:hAnsi="Arial"/>
                <w:sz w:val="14"/>
                <w:szCs w:val="14"/>
                <w:color w:val="auto"/>
              </w:rPr>
              <w:t>Gain on extinguishment of debt</w:t>
            </w:r>
          </w:p>
        </w:tc>
        <w:tc>
          <w:tcPr>
            <w:tcW w:w="3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(3,242)</w:t>
            </w:r>
          </w:p>
        </w:tc>
        <w:tc>
          <w:tcPr>
            <w:tcW w:w="160" w:type="dxa"/>
            <w:vAlign w:val="bottom"/>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(3,242)</w:t>
            </w:r>
          </w:p>
        </w:tc>
        <w:tc>
          <w:tcPr>
            <w:tcW w:w="0" w:type="dxa"/>
            <w:vAlign w:val="bottom"/>
          </w:tcPr>
          <w:p>
            <w:pPr>
              <w:spacing w:after="0"/>
              <w:rPr>
                <w:sz w:val="1"/>
                <w:szCs w:val="1"/>
                <w:color w:val="auto"/>
              </w:rPr>
            </w:pPr>
          </w:p>
        </w:tc>
      </w:tr>
      <w:tr>
        <w:trPr>
          <w:trHeight w:val="164"/>
        </w:trPr>
        <w:tc>
          <w:tcPr>
            <w:tcW w:w="5600" w:type="dxa"/>
            <w:vAlign w:val="bottom"/>
            <w:gridSpan w:val="2"/>
          </w:tcPr>
          <w:p>
            <w:pPr>
              <w:spacing w:after="0"/>
              <w:rPr>
                <w:sz w:val="20"/>
                <w:szCs w:val="20"/>
                <w:color w:val="auto"/>
              </w:rPr>
            </w:pPr>
            <w:r>
              <w:rPr>
                <w:rFonts w:ascii="Arial" w:cs="Arial" w:eastAsia="Arial" w:hAnsi="Arial"/>
                <w:sz w:val="14"/>
                <w:szCs w:val="14"/>
                <w:color w:val="auto"/>
              </w:rPr>
              <w:t>Adjusted income before taxes</w:t>
            </w:r>
          </w:p>
        </w:tc>
        <w:tc>
          <w:tcPr>
            <w:tcW w:w="300" w:type="dxa"/>
            <w:vAlign w:val="bottom"/>
          </w:tcPr>
          <w:p>
            <w:pPr>
              <w:spacing w:after="0"/>
              <w:rPr>
                <w:sz w:val="14"/>
                <w:szCs w:val="14"/>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13,235</w:t>
            </w:r>
          </w:p>
        </w:tc>
        <w:tc>
          <w:tcPr>
            <w:tcW w:w="1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15,887</w:t>
            </w: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040" w:type="dxa"/>
            <w:vAlign w:val="bottom"/>
          </w:tcPr>
          <w:p>
            <w:pPr>
              <w:jc w:val="right"/>
              <w:ind w:right="88"/>
              <w:spacing w:after="0"/>
              <w:rPr>
                <w:sz w:val="20"/>
                <w:szCs w:val="20"/>
                <w:color w:val="auto"/>
              </w:rPr>
            </w:pPr>
            <w:r>
              <w:rPr>
                <w:rFonts w:ascii="Arial" w:cs="Arial" w:eastAsia="Arial" w:hAnsi="Arial"/>
                <w:sz w:val="14"/>
                <w:szCs w:val="14"/>
                <w:color w:val="auto"/>
              </w:rPr>
              <w:t>50,649</w:t>
            </w:r>
          </w:p>
        </w:tc>
        <w:tc>
          <w:tcPr>
            <w:tcW w:w="1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jc w:val="right"/>
              <w:ind w:right="108"/>
              <w:spacing w:after="0"/>
              <w:rPr>
                <w:sz w:val="20"/>
                <w:szCs w:val="20"/>
                <w:color w:val="auto"/>
              </w:rPr>
            </w:pPr>
            <w:r>
              <w:rPr>
                <w:rFonts w:ascii="Arial" w:cs="Arial" w:eastAsia="Arial" w:hAnsi="Arial"/>
                <w:sz w:val="14"/>
                <w:szCs w:val="14"/>
                <w:color w:val="auto"/>
              </w:rPr>
              <w:t>47,301</w:t>
            </w:r>
          </w:p>
        </w:tc>
        <w:tc>
          <w:tcPr>
            <w:tcW w:w="0" w:type="dxa"/>
            <w:vAlign w:val="bottom"/>
          </w:tcPr>
          <w:p>
            <w:pPr>
              <w:spacing w:after="0"/>
              <w:rPr>
                <w:sz w:val="1"/>
                <w:szCs w:val="1"/>
                <w:color w:val="auto"/>
              </w:rPr>
            </w:pPr>
          </w:p>
        </w:tc>
      </w:tr>
      <w:tr>
        <w:trPr>
          <w:trHeight w:val="181"/>
        </w:trPr>
        <w:tc>
          <w:tcPr>
            <w:tcW w:w="5600" w:type="dxa"/>
            <w:vAlign w:val="bottom"/>
            <w:gridSpan w:val="2"/>
          </w:tcPr>
          <w:p>
            <w:pPr>
              <w:spacing w:after="0"/>
              <w:rPr>
                <w:sz w:val="20"/>
                <w:szCs w:val="20"/>
                <w:color w:val="auto"/>
              </w:rPr>
            </w:pPr>
            <w:r>
              <w:rPr>
                <w:rFonts w:ascii="Arial" w:cs="Arial" w:eastAsia="Arial" w:hAnsi="Arial"/>
                <w:sz w:val="14"/>
                <w:szCs w:val="14"/>
                <w:color w:val="auto"/>
              </w:rPr>
              <w:t>Adjusted provision for income taxes</w:t>
            </w:r>
          </w:p>
        </w:tc>
        <w:tc>
          <w:tcPr>
            <w:tcW w:w="3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3,720</w:t>
            </w:r>
          </w:p>
        </w:tc>
        <w:tc>
          <w:tcPr>
            <w:tcW w:w="14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4,072</w:t>
            </w:r>
          </w:p>
        </w:tc>
        <w:tc>
          <w:tcPr>
            <w:tcW w:w="160" w:type="dxa"/>
            <w:vAlign w:val="bottom"/>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14,688</w:t>
            </w:r>
          </w:p>
        </w:tc>
        <w:tc>
          <w:tcPr>
            <w:tcW w:w="16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14,427</w:t>
            </w:r>
          </w:p>
        </w:tc>
        <w:tc>
          <w:tcPr>
            <w:tcW w:w="0" w:type="dxa"/>
            <w:vAlign w:val="bottom"/>
          </w:tcPr>
          <w:p>
            <w:pPr>
              <w:spacing w:after="0"/>
              <w:rPr>
                <w:sz w:val="1"/>
                <w:szCs w:val="1"/>
                <w:color w:val="auto"/>
              </w:rPr>
            </w:pPr>
          </w:p>
        </w:tc>
      </w:tr>
      <w:tr>
        <w:trPr>
          <w:trHeight w:val="169"/>
        </w:trPr>
        <w:tc>
          <w:tcPr>
            <w:tcW w:w="5600" w:type="dxa"/>
            <w:vAlign w:val="bottom"/>
            <w:gridSpan w:val="2"/>
          </w:tcPr>
          <w:p>
            <w:pPr>
              <w:spacing w:after="0"/>
              <w:rPr>
                <w:sz w:val="20"/>
                <w:szCs w:val="20"/>
                <w:color w:val="auto"/>
              </w:rPr>
            </w:pPr>
            <w:r>
              <w:rPr>
                <w:rFonts w:ascii="Arial" w:cs="Arial" w:eastAsia="Arial" w:hAnsi="Arial"/>
                <w:sz w:val="14"/>
                <w:szCs w:val="14"/>
                <w:color w:val="auto"/>
              </w:rPr>
              <w:t>Adjusted net income</w:t>
            </w:r>
          </w:p>
        </w:tc>
        <w:tc>
          <w:tcPr>
            <w:tcW w:w="3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9,515</w:t>
            </w:r>
          </w:p>
        </w:tc>
        <w:tc>
          <w:tcPr>
            <w:tcW w:w="140" w:type="dxa"/>
            <w:vAlign w:val="bottom"/>
          </w:tcPr>
          <w:p>
            <w:pPr>
              <w:spacing w:after="0"/>
              <w:rPr>
                <w:sz w:val="14"/>
                <w:szCs w:val="14"/>
                <w:color w:val="auto"/>
              </w:rPr>
            </w:pPr>
          </w:p>
        </w:tc>
        <w:tc>
          <w:tcPr>
            <w:tcW w:w="3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11,815</w:t>
            </w:r>
          </w:p>
        </w:tc>
        <w:tc>
          <w:tcPr>
            <w:tcW w:w="160" w:type="dxa"/>
            <w:vAlign w:val="bottom"/>
          </w:tcPr>
          <w:p>
            <w:pPr>
              <w:spacing w:after="0"/>
              <w:rPr>
                <w:sz w:val="14"/>
                <w:szCs w:val="14"/>
                <w:color w:val="auto"/>
              </w:rPr>
            </w:pPr>
          </w:p>
        </w:tc>
        <w:tc>
          <w:tcPr>
            <w:tcW w:w="3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35,961</w:t>
            </w:r>
          </w:p>
        </w:tc>
        <w:tc>
          <w:tcPr>
            <w:tcW w:w="160" w:type="dxa"/>
            <w:vAlign w:val="bottom"/>
          </w:tcPr>
          <w:p>
            <w:pPr>
              <w:spacing w:after="0"/>
              <w:rPr>
                <w:sz w:val="14"/>
                <w:szCs w:val="14"/>
                <w:color w:val="auto"/>
              </w:rPr>
            </w:pPr>
          </w:p>
        </w:tc>
        <w:tc>
          <w:tcPr>
            <w:tcW w:w="3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32,874</w:t>
            </w:r>
          </w:p>
        </w:tc>
        <w:tc>
          <w:tcPr>
            <w:tcW w:w="0" w:type="dxa"/>
            <w:vAlign w:val="bottom"/>
          </w:tcPr>
          <w:p>
            <w:pPr>
              <w:spacing w:after="0"/>
              <w:rPr>
                <w:sz w:val="1"/>
                <w:szCs w:val="1"/>
                <w:color w:val="auto"/>
              </w:rPr>
            </w:pPr>
          </w:p>
        </w:tc>
      </w:tr>
      <w:tr>
        <w:trPr>
          <w:trHeight w:val="20"/>
        </w:trPr>
        <w:tc>
          <w:tcPr>
            <w:tcW w:w="5600" w:type="dxa"/>
            <w:vAlign w:val="bottom"/>
            <w:gridSpan w:val="2"/>
            <w:vMerge w:val="restart"/>
          </w:tcPr>
          <w:p>
            <w:pPr>
              <w:spacing w:after="0"/>
              <w:rPr>
                <w:sz w:val="20"/>
                <w:szCs w:val="20"/>
                <w:color w:val="auto"/>
              </w:rPr>
            </w:pPr>
            <w:r>
              <w:rPr>
                <w:rFonts w:ascii="Arial" w:cs="Arial" w:eastAsia="Arial" w:hAnsi="Arial"/>
                <w:sz w:val="14"/>
                <w:szCs w:val="14"/>
                <w:color w:val="auto"/>
              </w:rPr>
              <w:t>Adjusted diluted EPS</w:t>
            </w:r>
          </w:p>
        </w:tc>
        <w:tc>
          <w:tcPr>
            <w:tcW w:w="3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5600" w:type="dxa"/>
            <w:vAlign w:val="bottom"/>
            <w:gridSpan w:val="2"/>
            <w:vMerge w:val="continue"/>
          </w:tcPr>
          <w:p>
            <w:pPr>
              <w:spacing w:after="0"/>
              <w:rPr>
                <w:sz w:val="13"/>
                <w:szCs w:val="13"/>
                <w:color w:val="auto"/>
              </w:rPr>
            </w:pPr>
          </w:p>
        </w:tc>
        <w:tc>
          <w:tcPr>
            <w:tcW w:w="300" w:type="dxa"/>
            <w:vAlign w:val="bottom"/>
            <w:tcBorders>
              <w:top w:val="single" w:sz="8" w:color="auto"/>
              <w:bottom w:val="single" w:sz="8" w:color="auto"/>
            </w:tcBorders>
          </w:tcPr>
          <w:p>
            <w:pPr>
              <w:jc w:val="right"/>
              <w:ind w:right="48"/>
              <w:spacing w:after="0" w:line="156" w:lineRule="exact"/>
              <w:rPr>
                <w:sz w:val="20"/>
                <w:szCs w:val="20"/>
                <w:color w:val="auto"/>
              </w:rPr>
            </w:pPr>
            <w:r>
              <w:rPr>
                <w:rFonts w:ascii="Arial" w:cs="Arial" w:eastAsia="Arial" w:hAnsi="Arial"/>
                <w:sz w:val="14"/>
                <w:szCs w:val="14"/>
                <w:color w:val="auto"/>
              </w:rPr>
              <w:t>$</w:t>
            </w:r>
          </w:p>
        </w:tc>
        <w:tc>
          <w:tcPr>
            <w:tcW w:w="1000" w:type="dxa"/>
            <w:vAlign w:val="bottom"/>
            <w:tcBorders>
              <w:top w:val="single" w:sz="8" w:color="auto"/>
              <w:bottom w:val="single" w:sz="8" w:color="auto"/>
            </w:tcBorders>
          </w:tcPr>
          <w:p>
            <w:pPr>
              <w:jc w:val="right"/>
              <w:ind w:right="88"/>
              <w:spacing w:after="0" w:line="156" w:lineRule="exact"/>
              <w:rPr>
                <w:sz w:val="20"/>
                <w:szCs w:val="20"/>
                <w:color w:val="auto"/>
              </w:rPr>
            </w:pPr>
            <w:r>
              <w:rPr>
                <w:rFonts w:ascii="Arial" w:cs="Arial" w:eastAsia="Arial" w:hAnsi="Arial"/>
                <w:sz w:val="14"/>
                <w:szCs w:val="14"/>
                <w:color w:val="auto"/>
              </w:rPr>
              <w:t>0.40</w:t>
            </w:r>
          </w:p>
        </w:tc>
        <w:tc>
          <w:tcPr>
            <w:tcW w:w="140" w:type="dxa"/>
            <w:vAlign w:val="bottom"/>
          </w:tcPr>
          <w:p>
            <w:pPr>
              <w:spacing w:after="0"/>
              <w:rPr>
                <w:sz w:val="13"/>
                <w:szCs w:val="13"/>
                <w:color w:val="auto"/>
              </w:rPr>
            </w:pPr>
          </w:p>
        </w:tc>
        <w:tc>
          <w:tcPr>
            <w:tcW w:w="300" w:type="dxa"/>
            <w:vAlign w:val="bottom"/>
            <w:tcBorders>
              <w:top w:val="single" w:sz="8" w:color="auto"/>
              <w:bottom w:val="single" w:sz="8" w:color="auto"/>
            </w:tcBorders>
          </w:tcPr>
          <w:p>
            <w:pPr>
              <w:jc w:val="right"/>
              <w:ind w:right="28"/>
              <w:spacing w:after="0" w:line="156" w:lineRule="exact"/>
              <w:rPr>
                <w:sz w:val="20"/>
                <w:szCs w:val="20"/>
                <w:color w:val="auto"/>
              </w:rPr>
            </w:pPr>
            <w:r>
              <w:rPr>
                <w:rFonts w:ascii="Arial" w:cs="Arial" w:eastAsia="Arial" w:hAnsi="Arial"/>
                <w:sz w:val="14"/>
                <w:szCs w:val="14"/>
                <w:color w:val="auto"/>
              </w:rPr>
              <w:t>$</w:t>
            </w:r>
          </w:p>
        </w:tc>
        <w:tc>
          <w:tcPr>
            <w:tcW w:w="1000" w:type="dxa"/>
            <w:vAlign w:val="bottom"/>
            <w:tcBorders>
              <w:top w:val="single" w:sz="8" w:color="auto"/>
              <w:bottom w:val="single" w:sz="8" w:color="auto"/>
            </w:tcBorders>
          </w:tcPr>
          <w:p>
            <w:pPr>
              <w:jc w:val="right"/>
              <w:ind w:right="68"/>
              <w:spacing w:after="0" w:line="156" w:lineRule="exact"/>
              <w:rPr>
                <w:sz w:val="20"/>
                <w:szCs w:val="20"/>
                <w:color w:val="auto"/>
              </w:rPr>
            </w:pPr>
            <w:r>
              <w:rPr>
                <w:rFonts w:ascii="Arial" w:cs="Arial" w:eastAsia="Arial" w:hAnsi="Arial"/>
                <w:sz w:val="14"/>
                <w:szCs w:val="14"/>
                <w:color w:val="auto"/>
              </w:rPr>
              <w:t>0.50</w:t>
            </w:r>
          </w:p>
        </w:tc>
        <w:tc>
          <w:tcPr>
            <w:tcW w:w="160" w:type="dxa"/>
            <w:vAlign w:val="bottom"/>
          </w:tcPr>
          <w:p>
            <w:pPr>
              <w:spacing w:after="0"/>
              <w:rPr>
                <w:sz w:val="13"/>
                <w:szCs w:val="13"/>
                <w:color w:val="auto"/>
              </w:rPr>
            </w:pPr>
          </w:p>
        </w:tc>
        <w:tc>
          <w:tcPr>
            <w:tcW w:w="380" w:type="dxa"/>
            <w:vAlign w:val="bottom"/>
            <w:tcBorders>
              <w:top w:val="single" w:sz="8" w:color="auto"/>
              <w:bottom w:val="single" w:sz="8" w:color="auto"/>
            </w:tcBorders>
          </w:tcPr>
          <w:p>
            <w:pPr>
              <w:jc w:val="right"/>
              <w:ind w:right="108"/>
              <w:spacing w:after="0" w:line="156" w:lineRule="exact"/>
              <w:rPr>
                <w:sz w:val="20"/>
                <w:szCs w:val="20"/>
                <w:color w:val="auto"/>
              </w:rPr>
            </w:pPr>
            <w:r>
              <w:rPr>
                <w:rFonts w:ascii="Arial" w:cs="Arial" w:eastAsia="Arial" w:hAnsi="Arial"/>
                <w:sz w:val="14"/>
                <w:szCs w:val="14"/>
                <w:color w:val="auto"/>
              </w:rPr>
              <w:t>$</w:t>
            </w:r>
          </w:p>
        </w:tc>
        <w:tc>
          <w:tcPr>
            <w:tcW w:w="1040" w:type="dxa"/>
            <w:vAlign w:val="bottom"/>
            <w:tcBorders>
              <w:top w:val="single" w:sz="8" w:color="auto"/>
              <w:bottom w:val="single" w:sz="8" w:color="auto"/>
            </w:tcBorders>
          </w:tcPr>
          <w:p>
            <w:pPr>
              <w:jc w:val="right"/>
              <w:ind w:right="88"/>
              <w:spacing w:after="0" w:line="156" w:lineRule="exact"/>
              <w:rPr>
                <w:sz w:val="20"/>
                <w:szCs w:val="20"/>
                <w:color w:val="auto"/>
              </w:rPr>
            </w:pPr>
            <w:r>
              <w:rPr>
                <w:rFonts w:ascii="Arial" w:cs="Arial" w:eastAsia="Arial" w:hAnsi="Arial"/>
                <w:sz w:val="14"/>
                <w:szCs w:val="14"/>
                <w:color w:val="auto"/>
              </w:rPr>
              <w:t>1.52</w:t>
            </w:r>
          </w:p>
        </w:tc>
        <w:tc>
          <w:tcPr>
            <w:tcW w:w="160" w:type="dxa"/>
            <w:vAlign w:val="bottom"/>
          </w:tcPr>
          <w:p>
            <w:pPr>
              <w:spacing w:after="0"/>
              <w:rPr>
                <w:sz w:val="13"/>
                <w:szCs w:val="13"/>
                <w:color w:val="auto"/>
              </w:rPr>
            </w:pPr>
          </w:p>
        </w:tc>
        <w:tc>
          <w:tcPr>
            <w:tcW w:w="360" w:type="dxa"/>
            <w:vAlign w:val="bottom"/>
            <w:tcBorders>
              <w:top w:val="single" w:sz="8" w:color="auto"/>
              <w:bottom w:val="single" w:sz="8" w:color="auto"/>
            </w:tcBorders>
          </w:tcPr>
          <w:p>
            <w:pPr>
              <w:jc w:val="right"/>
              <w:ind w:right="88"/>
              <w:spacing w:after="0" w:line="156" w:lineRule="exact"/>
              <w:rPr>
                <w:sz w:val="20"/>
                <w:szCs w:val="20"/>
                <w:color w:val="auto"/>
              </w:rPr>
            </w:pPr>
            <w:r>
              <w:rPr>
                <w:rFonts w:ascii="Arial" w:cs="Arial" w:eastAsia="Arial" w:hAnsi="Arial"/>
                <w:sz w:val="14"/>
                <w:szCs w:val="14"/>
                <w:color w:val="auto"/>
              </w:rPr>
              <w:t>$</w:t>
            </w:r>
          </w:p>
        </w:tc>
        <w:tc>
          <w:tcPr>
            <w:tcW w:w="980" w:type="dxa"/>
            <w:vAlign w:val="bottom"/>
            <w:tcBorders>
              <w:top w:val="single" w:sz="8" w:color="auto"/>
              <w:bottom w:val="single" w:sz="8" w:color="auto"/>
            </w:tcBorders>
          </w:tcPr>
          <w:p>
            <w:pPr>
              <w:jc w:val="right"/>
              <w:ind w:right="108"/>
              <w:spacing w:after="0" w:line="156" w:lineRule="exact"/>
              <w:rPr>
                <w:sz w:val="20"/>
                <w:szCs w:val="20"/>
                <w:color w:val="auto"/>
              </w:rPr>
            </w:pPr>
            <w:r>
              <w:rPr>
                <w:rFonts w:ascii="Arial" w:cs="Arial" w:eastAsia="Arial" w:hAnsi="Arial"/>
                <w:sz w:val="14"/>
                <w:szCs w:val="14"/>
                <w:color w:val="auto"/>
              </w:rPr>
              <w:t>1.40</w:t>
            </w:r>
          </w:p>
        </w:tc>
        <w:tc>
          <w:tcPr>
            <w:tcW w:w="0" w:type="dxa"/>
            <w:vAlign w:val="bottom"/>
          </w:tcPr>
          <w:p>
            <w:pPr>
              <w:spacing w:after="0"/>
              <w:rPr>
                <w:sz w:val="1"/>
                <w:szCs w:val="1"/>
                <w:color w:val="auto"/>
              </w:rPr>
            </w:pPr>
          </w:p>
        </w:tc>
      </w:tr>
      <w:tr>
        <w:trPr>
          <w:trHeight w:val="20"/>
        </w:trPr>
        <w:tc>
          <w:tcPr>
            <w:tcW w:w="5600" w:type="dxa"/>
            <w:vAlign w:val="bottom"/>
            <w:gridSpan w:val="2"/>
            <w:vMerge w:val="restart"/>
          </w:tcPr>
          <w:p>
            <w:pPr>
              <w:spacing w:after="0"/>
              <w:rPr>
                <w:sz w:val="20"/>
                <w:szCs w:val="20"/>
                <w:color w:val="auto"/>
              </w:rPr>
            </w:pPr>
            <w:r>
              <w:rPr>
                <w:rFonts w:ascii="Arial" w:cs="Arial" w:eastAsia="Arial" w:hAnsi="Arial"/>
                <w:sz w:val="14"/>
                <w:szCs w:val="14"/>
                <w:color w:val="auto"/>
              </w:rPr>
              <w:t>Number of shares (thousands)</w:t>
            </w:r>
          </w:p>
        </w:tc>
        <w:tc>
          <w:tcPr>
            <w:tcW w:w="3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560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23,900</w:t>
            </w:r>
          </w:p>
        </w:tc>
        <w:tc>
          <w:tcPr>
            <w:tcW w:w="1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24,100</w:t>
            </w: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040" w:type="dxa"/>
            <w:vAlign w:val="bottom"/>
          </w:tcPr>
          <w:p>
            <w:pPr>
              <w:jc w:val="right"/>
              <w:ind w:right="88"/>
              <w:spacing w:after="0"/>
              <w:rPr>
                <w:sz w:val="20"/>
                <w:szCs w:val="20"/>
                <w:color w:val="auto"/>
              </w:rPr>
            </w:pPr>
            <w:r>
              <w:rPr>
                <w:rFonts w:ascii="Arial" w:cs="Arial" w:eastAsia="Arial" w:hAnsi="Arial"/>
                <w:sz w:val="14"/>
                <w:szCs w:val="14"/>
                <w:color w:val="auto"/>
              </w:rPr>
              <w:t>24,000</w:t>
            </w:r>
          </w:p>
        </w:tc>
        <w:tc>
          <w:tcPr>
            <w:tcW w:w="1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jc w:val="right"/>
              <w:ind w:right="108"/>
              <w:spacing w:after="0"/>
              <w:rPr>
                <w:sz w:val="20"/>
                <w:szCs w:val="20"/>
                <w:color w:val="auto"/>
              </w:rPr>
            </w:pPr>
            <w:r>
              <w:rPr>
                <w:rFonts w:ascii="Arial" w:cs="Arial" w:eastAsia="Arial" w:hAnsi="Arial"/>
                <w:sz w:val="14"/>
                <w:szCs w:val="14"/>
                <w:color w:val="auto"/>
              </w:rPr>
              <w:t>24,100</w:t>
            </w:r>
          </w:p>
        </w:tc>
        <w:tc>
          <w:tcPr>
            <w:tcW w:w="0" w:type="dxa"/>
            <w:vAlign w:val="bottom"/>
          </w:tcPr>
          <w:p>
            <w:pPr>
              <w:spacing w:after="0"/>
              <w:rPr>
                <w:sz w:val="1"/>
                <w:szCs w:val="1"/>
                <w:color w:val="auto"/>
              </w:rPr>
            </w:pPr>
          </w:p>
        </w:tc>
      </w:tr>
    </w:tbl>
    <w:p>
      <w:pPr>
        <w:spacing w:after="0" w:line="123" w:lineRule="exact"/>
        <w:rPr>
          <w:sz w:val="20"/>
          <w:szCs w:val="20"/>
          <w:color w:val="auto"/>
        </w:rPr>
      </w:pPr>
    </w:p>
    <w:p>
      <w:pPr>
        <w:ind w:left="600" w:right="540" w:hanging="593"/>
        <w:spacing w:after="0" w:line="246" w:lineRule="auto"/>
        <w:rPr>
          <w:sz w:val="20"/>
          <w:szCs w:val="20"/>
          <w:color w:val="auto"/>
        </w:rPr>
      </w:pPr>
      <w:r>
        <w:rPr>
          <w:rFonts w:ascii="Arial" w:cs="Arial" w:eastAsia="Arial" w:hAnsi="Arial"/>
          <w:sz w:val="14"/>
          <w:szCs w:val="14"/>
          <w:color w:val="auto"/>
        </w:rPr>
        <w:t>Note: 1) Adjustments to 2008 were made based on the expected full year adjusted effective tax rate of 30.5% which includes the impact of IPR&amp;D charges which are not deductible for tax purposes.</w:t>
      </w:r>
    </w:p>
    <w:p>
      <w:pPr>
        <w:spacing w:after="0" w:line="1" w:lineRule="exact"/>
        <w:rPr>
          <w:sz w:val="20"/>
          <w:szCs w:val="20"/>
          <w:color w:val="auto"/>
        </w:rPr>
      </w:pPr>
    </w:p>
    <w:p>
      <w:pPr>
        <w:ind w:left="600" w:hanging="187"/>
        <w:spacing w:after="0"/>
        <w:tabs>
          <w:tab w:leader="none" w:pos="600" w:val="left"/>
        </w:tabs>
        <w:numPr>
          <w:ilvl w:val="0"/>
          <w:numId w:val="1"/>
        </w:numPr>
        <w:rPr>
          <w:rFonts w:ascii="Arial" w:cs="Arial" w:eastAsia="Arial" w:hAnsi="Arial"/>
          <w:sz w:val="14"/>
          <w:szCs w:val="14"/>
          <w:color w:val="auto"/>
        </w:rPr>
      </w:pPr>
      <w:r>
        <w:rPr>
          <w:rFonts w:ascii="Arial" w:cs="Arial" w:eastAsia="Arial" w:hAnsi="Arial"/>
          <w:sz w:val="14"/>
          <w:szCs w:val="14"/>
          <w:color w:val="auto"/>
        </w:rPr>
        <w:t>Adjustments to 2009 were made based on the expected full year adjusted effective tax rate of 29.0% which includes the impact of discrete items realized in 2009.</w:t>
      </w:r>
    </w:p>
    <w:p>
      <w:pPr>
        <w:spacing w:after="0" w:line="14" w:lineRule="exact"/>
        <w:rPr>
          <w:rFonts w:ascii="Arial" w:cs="Arial" w:eastAsia="Arial" w:hAnsi="Arial"/>
          <w:sz w:val="14"/>
          <w:szCs w:val="14"/>
          <w:color w:val="auto"/>
        </w:rPr>
      </w:pPr>
    </w:p>
    <w:p>
      <w:pPr>
        <w:ind w:left="600" w:hanging="187"/>
        <w:spacing w:after="0"/>
        <w:tabs>
          <w:tab w:leader="none" w:pos="600" w:val="left"/>
        </w:tabs>
        <w:numPr>
          <w:ilvl w:val="0"/>
          <w:numId w:val="1"/>
        </w:numPr>
        <w:rPr>
          <w:rFonts w:ascii="Arial" w:cs="Arial" w:eastAsia="Arial" w:hAnsi="Arial"/>
          <w:sz w:val="14"/>
          <w:szCs w:val="14"/>
          <w:color w:val="auto"/>
        </w:rPr>
      </w:pPr>
      <w:r>
        <w:rPr>
          <w:rFonts w:ascii="Arial" w:cs="Arial" w:eastAsia="Arial" w:hAnsi="Arial"/>
          <w:sz w:val="14"/>
          <w:szCs w:val="14"/>
          <w:color w:val="auto"/>
        </w:rPr>
        <w:t>Prior year amounts have been retroactively adjusted, as required by GAAP, to reflect the change in accounting related to convertible debt adopted in 2009.</w:t>
      </w:r>
    </w:p>
    <w:p>
      <w:pPr>
        <w:spacing w:after="0" w:line="14" w:lineRule="exact"/>
        <w:rPr>
          <w:rFonts w:ascii="Arial" w:cs="Arial" w:eastAsia="Arial" w:hAnsi="Arial"/>
          <w:sz w:val="14"/>
          <w:szCs w:val="14"/>
          <w:color w:val="auto"/>
        </w:rPr>
      </w:pPr>
    </w:p>
    <w:p>
      <w:pPr>
        <w:ind w:left="600" w:hanging="187"/>
        <w:spacing w:after="0"/>
        <w:tabs>
          <w:tab w:leader="none" w:pos="600" w:val="left"/>
        </w:tabs>
        <w:numPr>
          <w:ilvl w:val="0"/>
          <w:numId w:val="1"/>
        </w:numPr>
        <w:rPr>
          <w:rFonts w:ascii="Arial" w:cs="Arial" w:eastAsia="Arial" w:hAnsi="Arial"/>
          <w:sz w:val="14"/>
          <w:szCs w:val="14"/>
          <w:color w:val="auto"/>
        </w:rPr>
      </w:pPr>
      <w:r>
        <w:rPr>
          <w:rFonts w:ascii="Arial" w:cs="Arial" w:eastAsia="Arial" w:hAnsi="Arial"/>
          <w:sz w:val="14"/>
          <w:szCs w:val="14"/>
          <w:color w:val="auto"/>
        </w:rPr>
        <w:t>Prior year amounts include an additional week of operations due to our fiscal year ending on the closest Friday to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81280</wp:posOffset>
            </wp:positionV>
            <wp:extent cx="7272020" cy="596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11" w:name="page12"/>
    <w:bookmarkEnd w:id="11"/>
    <w:p>
      <w:pPr>
        <w:jc w:val="center"/>
        <w:spacing w:after="0"/>
        <w:rPr>
          <w:sz w:val="20"/>
          <w:szCs w:val="20"/>
          <w:color w:val="auto"/>
        </w:rPr>
      </w:pPr>
      <w:r>
        <w:rPr>
          <w:rFonts w:ascii="Arial" w:cs="Arial" w:eastAsia="Arial" w:hAnsi="Arial"/>
          <w:sz w:val="14"/>
          <w:szCs w:val="14"/>
          <w:b w:val="1"/>
          <w:bCs w:val="1"/>
          <w:color w:val="auto"/>
        </w:rPr>
        <w:t>GREATBATCH,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CONDENSED CONSOLIDATED STATEMENTS OF OPERATIONS - Unaudited</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(In thousands except per share amounts)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724662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60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400" w:type="dxa"/>
            <w:vAlign w:val="bottom"/>
            <w:tcBorders>
              <w:bottom w:val="single" w:sz="8" w:color="auto"/>
            </w:tcBorders>
            <w:gridSpan w:val="4"/>
          </w:tcPr>
          <w:p>
            <w:pPr>
              <w:jc w:val="right"/>
              <w:ind w:right="608"/>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Year ended</w:t>
            </w:r>
          </w:p>
        </w:tc>
        <w:tc>
          <w:tcPr>
            <w:tcW w:w="10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0"/>
        </w:trPr>
        <w:tc>
          <w:tcPr>
            <w:tcW w:w="60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jc w:val="right"/>
              <w:ind w:right="228"/>
              <w:spacing w:after="0" w:line="160" w:lineRule="exact"/>
              <w:rPr>
                <w:sz w:val="20"/>
                <w:szCs w:val="20"/>
                <w:color w:val="auto"/>
              </w:rPr>
            </w:pPr>
            <w:r>
              <w:rPr>
                <w:rFonts w:ascii="Arial" w:cs="Arial" w:eastAsia="Arial" w:hAnsi="Arial"/>
                <w:sz w:val="14"/>
                <w:szCs w:val="14"/>
                <w:b w:val="1"/>
                <w:bCs w:val="1"/>
                <w:color w:val="auto"/>
              </w:rPr>
              <w:t>January 1,</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40" w:type="dxa"/>
            <w:vAlign w:val="bottom"/>
          </w:tcPr>
          <w:p>
            <w:pPr>
              <w:jc w:val="right"/>
              <w:ind w:right="228"/>
              <w:spacing w:after="0" w:line="160" w:lineRule="exact"/>
              <w:rPr>
                <w:sz w:val="20"/>
                <w:szCs w:val="20"/>
                <w:color w:val="auto"/>
              </w:rPr>
            </w:pPr>
            <w:r>
              <w:rPr>
                <w:rFonts w:ascii="Arial" w:cs="Arial" w:eastAsia="Arial" w:hAnsi="Arial"/>
                <w:sz w:val="14"/>
                <w:szCs w:val="14"/>
                <w:b w:val="1"/>
                <w:bCs w:val="1"/>
                <w:color w:val="auto"/>
              </w:rPr>
              <w:t>January 2,</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40" w:type="dxa"/>
            <w:vAlign w:val="bottom"/>
          </w:tcPr>
          <w:p>
            <w:pPr>
              <w:jc w:val="right"/>
              <w:ind w:right="228"/>
              <w:spacing w:after="0" w:line="160" w:lineRule="exact"/>
              <w:rPr>
                <w:sz w:val="20"/>
                <w:szCs w:val="20"/>
                <w:color w:val="auto"/>
              </w:rPr>
            </w:pPr>
            <w:r>
              <w:rPr>
                <w:rFonts w:ascii="Arial" w:cs="Arial" w:eastAsia="Arial" w:hAnsi="Arial"/>
                <w:sz w:val="14"/>
                <w:szCs w:val="14"/>
                <w:b w:val="1"/>
                <w:bCs w:val="1"/>
                <w:color w:val="auto"/>
              </w:rPr>
              <w:t>January 1,</w:t>
            </w:r>
          </w:p>
        </w:tc>
        <w:tc>
          <w:tcPr>
            <w:tcW w:w="1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0" w:type="dxa"/>
            <w:vAlign w:val="bottom"/>
          </w:tcPr>
          <w:p>
            <w:pPr>
              <w:jc w:val="right"/>
              <w:ind w:right="248"/>
              <w:spacing w:after="0" w:line="160" w:lineRule="exact"/>
              <w:rPr>
                <w:sz w:val="20"/>
                <w:szCs w:val="20"/>
                <w:color w:val="auto"/>
              </w:rPr>
            </w:pPr>
            <w:r>
              <w:rPr>
                <w:rFonts w:ascii="Arial" w:cs="Arial" w:eastAsia="Arial" w:hAnsi="Arial"/>
                <w:sz w:val="14"/>
                <w:szCs w:val="14"/>
                <w:b w:val="1"/>
                <w:bCs w:val="1"/>
                <w:color w:val="auto"/>
                <w:w w:val="95"/>
              </w:rPr>
              <w:t>January 2,</w:t>
            </w:r>
          </w:p>
        </w:tc>
        <w:tc>
          <w:tcPr>
            <w:tcW w:w="0" w:type="dxa"/>
            <w:vAlign w:val="bottom"/>
          </w:tcPr>
          <w:p>
            <w:pPr>
              <w:spacing w:after="0"/>
              <w:rPr>
                <w:sz w:val="1"/>
                <w:szCs w:val="1"/>
                <w:color w:val="auto"/>
              </w:rPr>
            </w:pPr>
          </w:p>
        </w:tc>
      </w:tr>
      <w:tr>
        <w:trPr>
          <w:trHeight w:val="185"/>
        </w:trPr>
        <w:tc>
          <w:tcPr>
            <w:tcW w:w="60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2010</w:t>
            </w: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2009 (1)</w:t>
            </w: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2010</w:t>
            </w:r>
          </w:p>
        </w:tc>
        <w:tc>
          <w:tcPr>
            <w:tcW w:w="12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2009 (1)</w:t>
            </w:r>
          </w:p>
        </w:tc>
        <w:tc>
          <w:tcPr>
            <w:tcW w:w="0" w:type="dxa"/>
            <w:vAlign w:val="bottom"/>
          </w:tcPr>
          <w:p>
            <w:pPr>
              <w:spacing w:after="0"/>
              <w:rPr>
                <w:sz w:val="1"/>
                <w:szCs w:val="1"/>
                <w:color w:val="auto"/>
              </w:rPr>
            </w:pPr>
          </w:p>
        </w:tc>
      </w:tr>
      <w:tr>
        <w:trPr>
          <w:trHeight w:val="339"/>
        </w:trPr>
        <w:tc>
          <w:tcPr>
            <w:tcW w:w="6000" w:type="dxa"/>
            <w:vAlign w:val="bottom"/>
          </w:tcPr>
          <w:p>
            <w:pPr>
              <w:spacing w:after="0"/>
              <w:rPr>
                <w:sz w:val="20"/>
                <w:szCs w:val="20"/>
                <w:color w:val="auto"/>
              </w:rPr>
            </w:pPr>
            <w:r>
              <w:rPr>
                <w:rFonts w:ascii="Arial" w:cs="Arial" w:eastAsia="Arial" w:hAnsi="Arial"/>
                <w:sz w:val="14"/>
                <w:szCs w:val="14"/>
                <w:color w:val="auto"/>
              </w:rPr>
              <w:t>Sales</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125,808</w:t>
            </w:r>
          </w:p>
        </w:tc>
        <w:tc>
          <w:tcPr>
            <w:tcW w:w="3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146,600</w:t>
            </w:r>
          </w:p>
        </w:tc>
        <w:tc>
          <w:tcPr>
            <w:tcW w:w="3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521,821</w:t>
            </w:r>
          </w:p>
        </w:tc>
        <w:tc>
          <w:tcPr>
            <w:tcW w:w="420" w:type="dxa"/>
            <w:vAlign w:val="bottom"/>
            <w:gridSpan w:val="2"/>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546,644</w:t>
            </w:r>
          </w:p>
        </w:tc>
        <w:tc>
          <w:tcPr>
            <w:tcW w:w="0" w:type="dxa"/>
            <w:vAlign w:val="bottom"/>
          </w:tcPr>
          <w:p>
            <w:pPr>
              <w:spacing w:after="0"/>
              <w:rPr>
                <w:sz w:val="1"/>
                <w:szCs w:val="1"/>
                <w:color w:val="auto"/>
              </w:rPr>
            </w:pPr>
          </w:p>
        </w:tc>
      </w:tr>
      <w:tr>
        <w:trPr>
          <w:trHeight w:val="181"/>
        </w:trPr>
        <w:tc>
          <w:tcPr>
            <w:tcW w:w="6000" w:type="dxa"/>
            <w:vAlign w:val="bottom"/>
          </w:tcPr>
          <w:p>
            <w:pPr>
              <w:spacing w:after="0"/>
              <w:rPr>
                <w:sz w:val="20"/>
                <w:szCs w:val="20"/>
                <w:color w:val="auto"/>
              </w:rPr>
            </w:pPr>
            <w:r>
              <w:rPr>
                <w:rFonts w:ascii="Arial" w:cs="Arial" w:eastAsia="Arial" w:hAnsi="Arial"/>
                <w:sz w:val="14"/>
                <w:szCs w:val="14"/>
                <w:color w:val="auto"/>
              </w:rPr>
              <w:t>Cost of sales</w:t>
            </w:r>
          </w:p>
        </w:tc>
        <w:tc>
          <w:tcPr>
            <w:tcW w:w="2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84,162</w:t>
            </w:r>
          </w:p>
        </w:tc>
        <w:tc>
          <w:tcPr>
            <w:tcW w:w="12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99,858</w:t>
            </w:r>
          </w:p>
        </w:tc>
        <w:tc>
          <w:tcPr>
            <w:tcW w:w="12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355,402</w:t>
            </w:r>
          </w:p>
        </w:tc>
        <w:tc>
          <w:tcPr>
            <w:tcW w:w="12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390,855</w:t>
            </w:r>
          </w:p>
        </w:tc>
        <w:tc>
          <w:tcPr>
            <w:tcW w:w="0" w:type="dxa"/>
            <w:vAlign w:val="bottom"/>
          </w:tcPr>
          <w:p>
            <w:pPr>
              <w:spacing w:after="0"/>
              <w:rPr>
                <w:sz w:val="1"/>
                <w:szCs w:val="1"/>
                <w:color w:val="auto"/>
              </w:rPr>
            </w:pPr>
          </w:p>
        </w:tc>
      </w:tr>
      <w:tr>
        <w:trPr>
          <w:trHeight w:val="164"/>
        </w:trPr>
        <w:tc>
          <w:tcPr>
            <w:tcW w:w="6000" w:type="dxa"/>
            <w:vAlign w:val="bottom"/>
          </w:tcPr>
          <w:p>
            <w:pPr>
              <w:ind w:left="280"/>
              <w:spacing w:after="0"/>
              <w:rPr>
                <w:sz w:val="20"/>
                <w:szCs w:val="20"/>
                <w:color w:val="auto"/>
              </w:rPr>
            </w:pPr>
            <w:r>
              <w:rPr>
                <w:rFonts w:ascii="Arial" w:cs="Arial" w:eastAsia="Arial" w:hAnsi="Arial"/>
                <w:sz w:val="14"/>
                <w:szCs w:val="14"/>
                <w:color w:val="auto"/>
              </w:rPr>
              <w:t>Gross profit</w:t>
            </w:r>
          </w:p>
        </w:tc>
        <w:tc>
          <w:tcPr>
            <w:tcW w:w="220" w:type="dxa"/>
            <w:vAlign w:val="bottom"/>
          </w:tcPr>
          <w:p>
            <w:pPr>
              <w:spacing w:after="0"/>
              <w:rPr>
                <w:sz w:val="14"/>
                <w:szCs w:val="14"/>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41,646</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46,742</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166,419</w:t>
            </w: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155,789</w:t>
            </w:r>
          </w:p>
        </w:tc>
        <w:tc>
          <w:tcPr>
            <w:tcW w:w="0" w:type="dxa"/>
            <w:vAlign w:val="bottom"/>
          </w:tcPr>
          <w:p>
            <w:pPr>
              <w:spacing w:after="0"/>
              <w:rPr>
                <w:sz w:val="1"/>
                <w:szCs w:val="1"/>
                <w:color w:val="auto"/>
              </w:rPr>
            </w:pPr>
          </w:p>
        </w:tc>
      </w:tr>
      <w:tr>
        <w:trPr>
          <w:trHeight w:val="176"/>
        </w:trPr>
        <w:tc>
          <w:tcPr>
            <w:tcW w:w="6000" w:type="dxa"/>
            <w:vAlign w:val="bottom"/>
          </w:tcPr>
          <w:p>
            <w:pPr>
              <w:spacing w:after="0"/>
              <w:rPr>
                <w:sz w:val="20"/>
                <w:szCs w:val="20"/>
                <w:color w:val="auto"/>
              </w:rPr>
            </w:pPr>
            <w:r>
              <w:rPr>
                <w:rFonts w:ascii="Arial" w:cs="Arial" w:eastAsia="Arial" w:hAnsi="Arial"/>
                <w:sz w:val="14"/>
                <w:szCs w:val="14"/>
                <w:color w:val="auto"/>
              </w:rPr>
              <w:t>Operating expenses:</w:t>
            </w:r>
          </w:p>
        </w:tc>
        <w:tc>
          <w:tcPr>
            <w:tcW w:w="2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6000" w:type="dxa"/>
            <w:vAlign w:val="bottom"/>
          </w:tcPr>
          <w:p>
            <w:pPr>
              <w:ind w:left="280"/>
              <w:spacing w:after="0"/>
              <w:rPr>
                <w:sz w:val="20"/>
                <w:szCs w:val="20"/>
                <w:color w:val="auto"/>
              </w:rPr>
            </w:pPr>
            <w:r>
              <w:rPr>
                <w:rFonts w:ascii="Arial" w:cs="Arial" w:eastAsia="Arial" w:hAnsi="Arial"/>
                <w:sz w:val="14"/>
                <w:szCs w:val="14"/>
                <w:color w:val="auto"/>
              </w:rPr>
              <w:t>Selling, general and administrative expenses</w:t>
            </w:r>
          </w:p>
        </w:tc>
        <w:tc>
          <w:tcPr>
            <w:tcW w:w="220" w:type="dxa"/>
            <w:vAlign w:val="bottom"/>
          </w:tcPr>
          <w:p>
            <w:pPr>
              <w:spacing w:after="0"/>
              <w:rPr>
                <w:sz w:val="15"/>
                <w:szCs w:val="15"/>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17,932</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19,948</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70,294</w:t>
            </w: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72,633</w:t>
            </w:r>
          </w:p>
        </w:tc>
        <w:tc>
          <w:tcPr>
            <w:tcW w:w="0" w:type="dxa"/>
            <w:vAlign w:val="bottom"/>
          </w:tcPr>
          <w:p>
            <w:pPr>
              <w:spacing w:after="0"/>
              <w:rPr>
                <w:sz w:val="1"/>
                <w:szCs w:val="1"/>
                <w:color w:val="auto"/>
              </w:rPr>
            </w:pPr>
          </w:p>
        </w:tc>
      </w:tr>
      <w:tr>
        <w:trPr>
          <w:trHeight w:val="176"/>
        </w:trPr>
        <w:tc>
          <w:tcPr>
            <w:tcW w:w="6000" w:type="dxa"/>
            <w:vAlign w:val="bottom"/>
          </w:tcPr>
          <w:p>
            <w:pPr>
              <w:ind w:left="280"/>
              <w:spacing w:after="0"/>
              <w:rPr>
                <w:sz w:val="20"/>
                <w:szCs w:val="20"/>
                <w:color w:val="auto"/>
              </w:rPr>
            </w:pPr>
            <w:r>
              <w:rPr>
                <w:rFonts w:ascii="Arial" w:cs="Arial" w:eastAsia="Arial" w:hAnsi="Arial"/>
                <w:sz w:val="14"/>
                <w:szCs w:val="14"/>
                <w:color w:val="auto"/>
              </w:rPr>
              <w:t>Research, development and engineering costs, net</w:t>
            </w:r>
          </w:p>
        </w:tc>
        <w:tc>
          <w:tcPr>
            <w:tcW w:w="220" w:type="dxa"/>
            <w:vAlign w:val="bottom"/>
          </w:tcPr>
          <w:p>
            <w:pPr>
              <w:spacing w:after="0"/>
              <w:rPr>
                <w:sz w:val="15"/>
                <w:szCs w:val="15"/>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7,292</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7,722</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33,562</w:t>
            </w: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31,444</w:t>
            </w:r>
          </w:p>
        </w:tc>
        <w:tc>
          <w:tcPr>
            <w:tcW w:w="0" w:type="dxa"/>
            <w:vAlign w:val="bottom"/>
          </w:tcPr>
          <w:p>
            <w:pPr>
              <w:spacing w:after="0"/>
              <w:rPr>
                <w:sz w:val="1"/>
                <w:szCs w:val="1"/>
                <w:color w:val="auto"/>
              </w:rPr>
            </w:pPr>
          </w:p>
        </w:tc>
      </w:tr>
      <w:tr>
        <w:trPr>
          <w:trHeight w:val="176"/>
        </w:trPr>
        <w:tc>
          <w:tcPr>
            <w:tcW w:w="6000" w:type="dxa"/>
            <w:vAlign w:val="bottom"/>
          </w:tcPr>
          <w:p>
            <w:pPr>
              <w:ind w:left="280"/>
              <w:spacing w:after="0"/>
              <w:rPr>
                <w:sz w:val="20"/>
                <w:szCs w:val="20"/>
                <w:color w:val="auto"/>
              </w:rPr>
            </w:pPr>
            <w:r>
              <w:rPr>
                <w:rFonts w:ascii="Arial" w:cs="Arial" w:eastAsia="Arial" w:hAnsi="Arial"/>
                <w:sz w:val="14"/>
                <w:szCs w:val="14"/>
                <w:color w:val="auto"/>
              </w:rPr>
              <w:t>Litigation charge</w:t>
            </w:r>
          </w:p>
        </w:tc>
        <w:tc>
          <w:tcPr>
            <w:tcW w:w="220" w:type="dxa"/>
            <w:vAlign w:val="bottom"/>
          </w:tcPr>
          <w:p>
            <w:pPr>
              <w:spacing w:after="0"/>
              <w:rPr>
                <w:sz w:val="15"/>
                <w:szCs w:val="15"/>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34,500</w:t>
            </w: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6"/>
        </w:trPr>
        <w:tc>
          <w:tcPr>
            <w:tcW w:w="6000" w:type="dxa"/>
            <w:vAlign w:val="bottom"/>
          </w:tcPr>
          <w:p>
            <w:pPr>
              <w:ind w:left="280"/>
              <w:spacing w:after="0"/>
              <w:rPr>
                <w:sz w:val="20"/>
                <w:szCs w:val="20"/>
                <w:color w:val="auto"/>
              </w:rPr>
            </w:pPr>
            <w:r>
              <w:rPr>
                <w:rFonts w:ascii="Arial" w:cs="Arial" w:eastAsia="Arial" w:hAnsi="Arial"/>
                <w:sz w:val="14"/>
                <w:szCs w:val="14"/>
                <w:color w:val="auto"/>
              </w:rPr>
              <w:t>Write-down of intangible assets</w:t>
            </w:r>
          </w:p>
        </w:tc>
        <w:tc>
          <w:tcPr>
            <w:tcW w:w="220" w:type="dxa"/>
            <w:vAlign w:val="bottom"/>
          </w:tcPr>
          <w:p>
            <w:pPr>
              <w:spacing w:after="0"/>
              <w:rPr>
                <w:sz w:val="15"/>
                <w:szCs w:val="15"/>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15,921</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15,921</w:t>
            </w: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6"/>
        </w:trPr>
        <w:tc>
          <w:tcPr>
            <w:tcW w:w="6000" w:type="dxa"/>
            <w:vAlign w:val="bottom"/>
          </w:tcPr>
          <w:p>
            <w:pPr>
              <w:ind w:left="280"/>
              <w:spacing w:after="0"/>
              <w:rPr>
                <w:sz w:val="20"/>
                <w:szCs w:val="20"/>
                <w:color w:val="auto"/>
              </w:rPr>
            </w:pPr>
            <w:r>
              <w:rPr>
                <w:rFonts w:ascii="Arial" w:cs="Arial" w:eastAsia="Arial" w:hAnsi="Arial"/>
                <w:sz w:val="14"/>
                <w:szCs w:val="14"/>
                <w:color w:val="auto"/>
              </w:rPr>
              <w:t>Acquired in-process research and development</w:t>
            </w:r>
          </w:p>
        </w:tc>
        <w:tc>
          <w:tcPr>
            <w:tcW w:w="220" w:type="dxa"/>
            <w:vAlign w:val="bottom"/>
          </w:tcPr>
          <w:p>
            <w:pPr>
              <w:spacing w:after="0"/>
              <w:rPr>
                <w:sz w:val="15"/>
                <w:szCs w:val="15"/>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2,240</w:t>
            </w:r>
          </w:p>
        </w:tc>
        <w:tc>
          <w:tcPr>
            <w:tcW w:w="0" w:type="dxa"/>
            <w:vAlign w:val="bottom"/>
          </w:tcPr>
          <w:p>
            <w:pPr>
              <w:spacing w:after="0"/>
              <w:rPr>
                <w:sz w:val="1"/>
                <w:szCs w:val="1"/>
                <w:color w:val="auto"/>
              </w:rPr>
            </w:pPr>
          </w:p>
        </w:tc>
      </w:tr>
      <w:tr>
        <w:trPr>
          <w:trHeight w:val="181"/>
        </w:trPr>
        <w:tc>
          <w:tcPr>
            <w:tcW w:w="6000" w:type="dxa"/>
            <w:vAlign w:val="bottom"/>
          </w:tcPr>
          <w:p>
            <w:pPr>
              <w:ind w:left="280"/>
              <w:spacing w:after="0"/>
              <w:rPr>
                <w:sz w:val="20"/>
                <w:szCs w:val="20"/>
                <w:color w:val="auto"/>
              </w:rPr>
            </w:pPr>
            <w:r>
              <w:rPr>
                <w:rFonts w:ascii="Arial" w:cs="Arial" w:eastAsia="Arial" w:hAnsi="Arial"/>
                <w:sz w:val="14"/>
                <w:szCs w:val="14"/>
                <w:color w:val="auto"/>
              </w:rPr>
              <w:t>Other operating expense, net</w:t>
            </w:r>
          </w:p>
        </w:tc>
        <w:tc>
          <w:tcPr>
            <w:tcW w:w="2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2,788</w:t>
            </w:r>
          </w:p>
        </w:tc>
        <w:tc>
          <w:tcPr>
            <w:tcW w:w="12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7,104</w:t>
            </w:r>
          </w:p>
        </w:tc>
        <w:tc>
          <w:tcPr>
            <w:tcW w:w="12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11,094</w:t>
            </w:r>
          </w:p>
        </w:tc>
        <w:tc>
          <w:tcPr>
            <w:tcW w:w="12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14,578</w:t>
            </w:r>
          </w:p>
        </w:tc>
        <w:tc>
          <w:tcPr>
            <w:tcW w:w="0" w:type="dxa"/>
            <w:vAlign w:val="bottom"/>
          </w:tcPr>
          <w:p>
            <w:pPr>
              <w:spacing w:after="0"/>
              <w:rPr>
                <w:sz w:val="1"/>
                <w:szCs w:val="1"/>
                <w:color w:val="auto"/>
              </w:rPr>
            </w:pPr>
          </w:p>
        </w:tc>
      </w:tr>
      <w:tr>
        <w:trPr>
          <w:trHeight w:val="164"/>
        </w:trPr>
        <w:tc>
          <w:tcPr>
            <w:tcW w:w="6000" w:type="dxa"/>
            <w:vAlign w:val="bottom"/>
          </w:tcPr>
          <w:p>
            <w:pPr>
              <w:ind w:left="540"/>
              <w:spacing w:after="0"/>
              <w:rPr>
                <w:sz w:val="20"/>
                <w:szCs w:val="20"/>
                <w:color w:val="auto"/>
              </w:rPr>
            </w:pPr>
            <w:r>
              <w:rPr>
                <w:rFonts w:ascii="Arial" w:cs="Arial" w:eastAsia="Arial" w:hAnsi="Arial"/>
                <w:sz w:val="14"/>
                <w:szCs w:val="14"/>
                <w:color w:val="auto"/>
              </w:rPr>
              <w:t>Total operating expenses</w:t>
            </w:r>
          </w:p>
        </w:tc>
        <w:tc>
          <w:tcPr>
            <w:tcW w:w="220" w:type="dxa"/>
            <w:vAlign w:val="bottom"/>
          </w:tcPr>
          <w:p>
            <w:pPr>
              <w:spacing w:after="0"/>
              <w:rPr>
                <w:sz w:val="14"/>
                <w:szCs w:val="14"/>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43,933</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34,774</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165,371</w:t>
            </w: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120,895</w:t>
            </w:r>
          </w:p>
        </w:tc>
        <w:tc>
          <w:tcPr>
            <w:tcW w:w="0" w:type="dxa"/>
            <w:vAlign w:val="bottom"/>
          </w:tcPr>
          <w:p>
            <w:pPr>
              <w:spacing w:after="0"/>
              <w:rPr>
                <w:sz w:val="1"/>
                <w:szCs w:val="1"/>
                <w:color w:val="auto"/>
              </w:rPr>
            </w:pPr>
          </w:p>
        </w:tc>
      </w:tr>
      <w:tr>
        <w:trPr>
          <w:trHeight w:val="176"/>
        </w:trPr>
        <w:tc>
          <w:tcPr>
            <w:tcW w:w="6000" w:type="dxa"/>
            <w:vAlign w:val="bottom"/>
          </w:tcPr>
          <w:p>
            <w:pPr>
              <w:ind w:left="280"/>
              <w:spacing w:after="0"/>
              <w:rPr>
                <w:sz w:val="20"/>
                <w:szCs w:val="20"/>
                <w:color w:val="auto"/>
              </w:rPr>
            </w:pPr>
            <w:r>
              <w:rPr>
                <w:rFonts w:ascii="Arial" w:cs="Arial" w:eastAsia="Arial" w:hAnsi="Arial"/>
                <w:sz w:val="14"/>
                <w:szCs w:val="14"/>
                <w:color w:val="auto"/>
              </w:rPr>
              <w:t>Operating income (loss)</w:t>
            </w:r>
          </w:p>
        </w:tc>
        <w:tc>
          <w:tcPr>
            <w:tcW w:w="220" w:type="dxa"/>
            <w:vAlign w:val="bottom"/>
          </w:tcPr>
          <w:p>
            <w:pPr>
              <w:spacing w:after="0"/>
              <w:rPr>
                <w:sz w:val="15"/>
                <w:szCs w:val="15"/>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(2,287)</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11,968</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1,048</w:t>
            </w: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34,894</w:t>
            </w:r>
          </w:p>
        </w:tc>
        <w:tc>
          <w:tcPr>
            <w:tcW w:w="0" w:type="dxa"/>
            <w:vAlign w:val="bottom"/>
          </w:tcPr>
          <w:p>
            <w:pPr>
              <w:spacing w:after="0"/>
              <w:rPr>
                <w:sz w:val="1"/>
                <w:szCs w:val="1"/>
                <w:color w:val="auto"/>
              </w:rPr>
            </w:pPr>
          </w:p>
        </w:tc>
      </w:tr>
      <w:tr>
        <w:trPr>
          <w:trHeight w:val="176"/>
        </w:trPr>
        <w:tc>
          <w:tcPr>
            <w:tcW w:w="6000" w:type="dxa"/>
            <w:vAlign w:val="bottom"/>
          </w:tcPr>
          <w:p>
            <w:pPr>
              <w:spacing w:after="0"/>
              <w:rPr>
                <w:sz w:val="20"/>
                <w:szCs w:val="20"/>
                <w:color w:val="auto"/>
              </w:rPr>
            </w:pPr>
            <w:r>
              <w:rPr>
                <w:rFonts w:ascii="Arial" w:cs="Arial" w:eastAsia="Arial" w:hAnsi="Arial"/>
                <w:sz w:val="14"/>
                <w:szCs w:val="14"/>
                <w:color w:val="auto"/>
              </w:rPr>
              <w:t>Interest expense</w:t>
            </w:r>
          </w:p>
        </w:tc>
        <w:tc>
          <w:tcPr>
            <w:tcW w:w="220" w:type="dxa"/>
            <w:vAlign w:val="bottom"/>
          </w:tcPr>
          <w:p>
            <w:pPr>
              <w:spacing w:after="0"/>
              <w:rPr>
                <w:sz w:val="15"/>
                <w:szCs w:val="15"/>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5,357</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5,006</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20,071</w:t>
            </w: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19,954</w:t>
            </w:r>
          </w:p>
        </w:tc>
        <w:tc>
          <w:tcPr>
            <w:tcW w:w="0" w:type="dxa"/>
            <w:vAlign w:val="bottom"/>
          </w:tcPr>
          <w:p>
            <w:pPr>
              <w:spacing w:after="0"/>
              <w:rPr>
                <w:sz w:val="1"/>
                <w:szCs w:val="1"/>
                <w:color w:val="auto"/>
              </w:rPr>
            </w:pPr>
          </w:p>
        </w:tc>
      </w:tr>
      <w:tr>
        <w:trPr>
          <w:trHeight w:val="176"/>
        </w:trPr>
        <w:tc>
          <w:tcPr>
            <w:tcW w:w="6000" w:type="dxa"/>
            <w:vAlign w:val="bottom"/>
          </w:tcPr>
          <w:p>
            <w:pPr>
              <w:spacing w:after="0"/>
              <w:rPr>
                <w:sz w:val="20"/>
                <w:szCs w:val="20"/>
                <w:color w:val="auto"/>
              </w:rPr>
            </w:pPr>
            <w:r>
              <w:rPr>
                <w:rFonts w:ascii="Arial" w:cs="Arial" w:eastAsia="Arial" w:hAnsi="Arial"/>
                <w:sz w:val="14"/>
                <w:szCs w:val="14"/>
                <w:color w:val="auto"/>
              </w:rPr>
              <w:t>Interest income</w:t>
            </w:r>
          </w:p>
        </w:tc>
        <w:tc>
          <w:tcPr>
            <w:tcW w:w="220" w:type="dxa"/>
            <w:vAlign w:val="bottom"/>
          </w:tcPr>
          <w:p>
            <w:pPr>
              <w:spacing w:after="0"/>
              <w:rPr>
                <w:sz w:val="15"/>
                <w:szCs w:val="15"/>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(275)</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(48)</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(324)</w:t>
            </w: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(711)</w:t>
            </w:r>
          </w:p>
        </w:tc>
        <w:tc>
          <w:tcPr>
            <w:tcW w:w="0" w:type="dxa"/>
            <w:vAlign w:val="bottom"/>
          </w:tcPr>
          <w:p>
            <w:pPr>
              <w:spacing w:after="0"/>
              <w:rPr>
                <w:sz w:val="1"/>
                <w:szCs w:val="1"/>
                <w:color w:val="auto"/>
              </w:rPr>
            </w:pPr>
          </w:p>
        </w:tc>
      </w:tr>
      <w:tr>
        <w:trPr>
          <w:trHeight w:val="176"/>
        </w:trPr>
        <w:tc>
          <w:tcPr>
            <w:tcW w:w="6000" w:type="dxa"/>
            <w:vAlign w:val="bottom"/>
          </w:tcPr>
          <w:p>
            <w:pPr>
              <w:spacing w:after="0"/>
              <w:rPr>
                <w:sz w:val="20"/>
                <w:szCs w:val="20"/>
                <w:color w:val="auto"/>
              </w:rPr>
            </w:pPr>
            <w:r>
              <w:rPr>
                <w:rFonts w:ascii="Arial" w:cs="Arial" w:eastAsia="Arial" w:hAnsi="Arial"/>
                <w:sz w:val="14"/>
                <w:szCs w:val="14"/>
                <w:color w:val="auto"/>
              </w:rPr>
              <w:t>Gain on extinguishment of debt</w:t>
            </w:r>
          </w:p>
        </w:tc>
        <w:tc>
          <w:tcPr>
            <w:tcW w:w="220" w:type="dxa"/>
            <w:vAlign w:val="bottom"/>
          </w:tcPr>
          <w:p>
            <w:pPr>
              <w:spacing w:after="0"/>
              <w:rPr>
                <w:sz w:val="15"/>
                <w:szCs w:val="15"/>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(3,242)</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(3,242)</w:t>
            </w:r>
          </w:p>
        </w:tc>
        <w:tc>
          <w:tcPr>
            <w:tcW w:w="0" w:type="dxa"/>
            <w:vAlign w:val="bottom"/>
          </w:tcPr>
          <w:p>
            <w:pPr>
              <w:spacing w:after="0"/>
              <w:rPr>
                <w:sz w:val="1"/>
                <w:szCs w:val="1"/>
                <w:color w:val="auto"/>
              </w:rPr>
            </w:pPr>
          </w:p>
        </w:tc>
      </w:tr>
      <w:tr>
        <w:trPr>
          <w:trHeight w:val="181"/>
        </w:trPr>
        <w:tc>
          <w:tcPr>
            <w:tcW w:w="6000" w:type="dxa"/>
            <w:vAlign w:val="bottom"/>
          </w:tcPr>
          <w:p>
            <w:pPr>
              <w:spacing w:after="0"/>
              <w:rPr>
                <w:sz w:val="20"/>
                <w:szCs w:val="20"/>
                <w:color w:val="auto"/>
              </w:rPr>
            </w:pPr>
            <w:r>
              <w:rPr>
                <w:rFonts w:ascii="Arial" w:cs="Arial" w:eastAsia="Arial" w:hAnsi="Arial"/>
                <w:sz w:val="14"/>
                <w:szCs w:val="14"/>
                <w:color w:val="auto"/>
              </w:rPr>
              <w:t>Other income, net</w:t>
            </w:r>
          </w:p>
        </w:tc>
        <w:tc>
          <w:tcPr>
            <w:tcW w:w="2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(13)</w:t>
            </w:r>
          </w:p>
        </w:tc>
        <w:tc>
          <w:tcPr>
            <w:tcW w:w="12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(27)</w:t>
            </w:r>
          </w:p>
        </w:tc>
        <w:tc>
          <w:tcPr>
            <w:tcW w:w="12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(522)</w:t>
            </w:r>
          </w:p>
        </w:tc>
        <w:tc>
          <w:tcPr>
            <w:tcW w:w="12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(1,624)</w:t>
            </w:r>
          </w:p>
        </w:tc>
        <w:tc>
          <w:tcPr>
            <w:tcW w:w="0" w:type="dxa"/>
            <w:vAlign w:val="bottom"/>
          </w:tcPr>
          <w:p>
            <w:pPr>
              <w:spacing w:after="0"/>
              <w:rPr>
                <w:sz w:val="1"/>
                <w:szCs w:val="1"/>
                <w:color w:val="auto"/>
              </w:rPr>
            </w:pPr>
          </w:p>
        </w:tc>
      </w:tr>
      <w:tr>
        <w:trPr>
          <w:trHeight w:val="164"/>
        </w:trPr>
        <w:tc>
          <w:tcPr>
            <w:tcW w:w="6000" w:type="dxa"/>
            <w:vAlign w:val="bottom"/>
          </w:tcPr>
          <w:p>
            <w:pPr>
              <w:ind w:left="280"/>
              <w:spacing w:after="0"/>
              <w:rPr>
                <w:sz w:val="20"/>
                <w:szCs w:val="20"/>
                <w:color w:val="auto"/>
              </w:rPr>
            </w:pPr>
            <w:r>
              <w:rPr>
                <w:rFonts w:ascii="Arial" w:cs="Arial" w:eastAsia="Arial" w:hAnsi="Arial"/>
                <w:sz w:val="14"/>
                <w:szCs w:val="14"/>
                <w:color w:val="auto"/>
              </w:rPr>
              <w:t>Income (loss) before provision (benefit)</w:t>
            </w:r>
          </w:p>
        </w:tc>
        <w:tc>
          <w:tcPr>
            <w:tcW w:w="2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6000" w:type="dxa"/>
            <w:vAlign w:val="bottom"/>
          </w:tcPr>
          <w:p>
            <w:pPr>
              <w:ind w:left="540"/>
              <w:spacing w:after="0"/>
              <w:rPr>
                <w:sz w:val="20"/>
                <w:szCs w:val="20"/>
                <w:color w:val="auto"/>
              </w:rPr>
            </w:pPr>
            <w:r>
              <w:rPr>
                <w:rFonts w:ascii="Arial" w:cs="Arial" w:eastAsia="Arial" w:hAnsi="Arial"/>
                <w:sz w:val="14"/>
                <w:szCs w:val="14"/>
                <w:color w:val="auto"/>
              </w:rPr>
              <w:t>for income taxes</w:t>
            </w:r>
          </w:p>
        </w:tc>
        <w:tc>
          <w:tcPr>
            <w:tcW w:w="220" w:type="dxa"/>
            <w:vAlign w:val="bottom"/>
          </w:tcPr>
          <w:p>
            <w:pPr>
              <w:spacing w:after="0"/>
              <w:rPr>
                <w:sz w:val="15"/>
                <w:szCs w:val="15"/>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(7,356)</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10,279</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(18,177)</w:t>
            </w: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20,517</w:t>
            </w:r>
          </w:p>
        </w:tc>
        <w:tc>
          <w:tcPr>
            <w:tcW w:w="0" w:type="dxa"/>
            <w:vAlign w:val="bottom"/>
          </w:tcPr>
          <w:p>
            <w:pPr>
              <w:spacing w:after="0"/>
              <w:rPr>
                <w:sz w:val="1"/>
                <w:szCs w:val="1"/>
                <w:color w:val="auto"/>
              </w:rPr>
            </w:pPr>
          </w:p>
        </w:tc>
      </w:tr>
      <w:tr>
        <w:trPr>
          <w:trHeight w:val="181"/>
        </w:trPr>
        <w:tc>
          <w:tcPr>
            <w:tcW w:w="6000" w:type="dxa"/>
            <w:vAlign w:val="bottom"/>
          </w:tcPr>
          <w:p>
            <w:pPr>
              <w:spacing w:after="0"/>
              <w:rPr>
                <w:sz w:val="20"/>
                <w:szCs w:val="20"/>
                <w:color w:val="auto"/>
              </w:rPr>
            </w:pPr>
            <w:r>
              <w:rPr>
                <w:rFonts w:ascii="Arial" w:cs="Arial" w:eastAsia="Arial" w:hAnsi="Arial"/>
                <w:sz w:val="14"/>
                <w:szCs w:val="14"/>
                <w:color w:val="auto"/>
              </w:rPr>
              <w:t>Provision (benefit) for income taxes</w:t>
            </w:r>
          </w:p>
        </w:tc>
        <w:tc>
          <w:tcPr>
            <w:tcW w:w="2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(5,822)</w:t>
            </w:r>
          </w:p>
        </w:tc>
        <w:tc>
          <w:tcPr>
            <w:tcW w:w="12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2,915</w:t>
            </w:r>
          </w:p>
        </w:tc>
        <w:tc>
          <w:tcPr>
            <w:tcW w:w="12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(9,176)</w:t>
            </w:r>
          </w:p>
        </w:tc>
        <w:tc>
          <w:tcPr>
            <w:tcW w:w="12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6,369</w:t>
            </w:r>
          </w:p>
        </w:tc>
        <w:tc>
          <w:tcPr>
            <w:tcW w:w="0" w:type="dxa"/>
            <w:vAlign w:val="bottom"/>
          </w:tcPr>
          <w:p>
            <w:pPr>
              <w:spacing w:after="0"/>
              <w:rPr>
                <w:sz w:val="1"/>
                <w:szCs w:val="1"/>
                <w:color w:val="auto"/>
              </w:rPr>
            </w:pPr>
          </w:p>
        </w:tc>
      </w:tr>
      <w:tr>
        <w:trPr>
          <w:trHeight w:val="169"/>
        </w:trPr>
        <w:tc>
          <w:tcPr>
            <w:tcW w:w="6000" w:type="dxa"/>
            <w:vAlign w:val="bottom"/>
          </w:tcPr>
          <w:p>
            <w:pPr>
              <w:ind w:left="280"/>
              <w:spacing w:after="0"/>
              <w:rPr>
                <w:sz w:val="20"/>
                <w:szCs w:val="20"/>
                <w:color w:val="auto"/>
              </w:rPr>
            </w:pPr>
            <w:r>
              <w:rPr>
                <w:rFonts w:ascii="Arial" w:cs="Arial" w:eastAsia="Arial" w:hAnsi="Arial"/>
                <w:sz w:val="14"/>
                <w:szCs w:val="14"/>
                <w:color w:val="auto"/>
              </w:rPr>
              <w:t>Net income (loss)</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(1,534)</w:t>
            </w:r>
          </w:p>
        </w:tc>
        <w:tc>
          <w:tcPr>
            <w:tcW w:w="120" w:type="dxa"/>
            <w:vAlign w:val="bottom"/>
          </w:tcPr>
          <w:p>
            <w:pPr>
              <w:spacing w:after="0"/>
              <w:rPr>
                <w:sz w:val="14"/>
                <w:szCs w:val="14"/>
                <w:color w:val="auto"/>
              </w:rPr>
            </w:pP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7,364</w:t>
            </w:r>
          </w:p>
        </w:tc>
        <w:tc>
          <w:tcPr>
            <w:tcW w:w="120" w:type="dxa"/>
            <w:vAlign w:val="bottom"/>
          </w:tcPr>
          <w:p>
            <w:pPr>
              <w:spacing w:after="0"/>
              <w:rPr>
                <w:sz w:val="14"/>
                <w:szCs w:val="14"/>
                <w:color w:val="auto"/>
              </w:rPr>
            </w:pP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(9,001)</w:t>
            </w:r>
          </w:p>
        </w:tc>
        <w:tc>
          <w:tcPr>
            <w:tcW w:w="120" w:type="dxa"/>
            <w:vAlign w:val="bottom"/>
          </w:tcPr>
          <w:p>
            <w:pPr>
              <w:spacing w:after="0"/>
              <w:rPr>
                <w:sz w:val="14"/>
                <w:szCs w:val="14"/>
                <w:color w:val="auto"/>
              </w:rPr>
            </w:pPr>
          </w:p>
        </w:tc>
        <w:tc>
          <w:tcPr>
            <w:tcW w:w="3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14,148</w:t>
            </w:r>
          </w:p>
        </w:tc>
        <w:tc>
          <w:tcPr>
            <w:tcW w:w="0" w:type="dxa"/>
            <w:vAlign w:val="bottom"/>
          </w:tcPr>
          <w:p>
            <w:pPr>
              <w:spacing w:after="0"/>
              <w:rPr>
                <w:sz w:val="1"/>
                <w:szCs w:val="1"/>
                <w:color w:val="auto"/>
              </w:rPr>
            </w:pPr>
          </w:p>
        </w:tc>
      </w:tr>
      <w:tr>
        <w:trPr>
          <w:trHeight w:val="20"/>
        </w:trPr>
        <w:tc>
          <w:tcPr>
            <w:tcW w:w="6000" w:type="dxa"/>
            <w:vAlign w:val="bottom"/>
            <w:vMerge w:val="restart"/>
          </w:tcPr>
          <w:p>
            <w:pPr>
              <w:spacing w:after="0"/>
              <w:rPr>
                <w:sz w:val="20"/>
                <w:szCs w:val="20"/>
                <w:color w:val="auto"/>
              </w:rPr>
            </w:pPr>
            <w:r>
              <w:rPr>
                <w:rFonts w:ascii="Arial" w:cs="Arial" w:eastAsia="Arial" w:hAnsi="Arial"/>
                <w:sz w:val="14"/>
                <w:szCs w:val="14"/>
                <w:color w:val="auto"/>
              </w:rPr>
              <w:t>Earnings (loss) per share:</w:t>
            </w:r>
          </w:p>
        </w:tc>
        <w:tc>
          <w:tcPr>
            <w:tcW w:w="2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6"/>
        </w:trPr>
        <w:tc>
          <w:tcPr>
            <w:tcW w:w="600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6000" w:type="dxa"/>
            <w:vAlign w:val="bottom"/>
          </w:tcPr>
          <w:p>
            <w:pPr>
              <w:ind w:left="280"/>
              <w:spacing w:after="0"/>
              <w:rPr>
                <w:sz w:val="20"/>
                <w:szCs w:val="20"/>
                <w:color w:val="auto"/>
              </w:rPr>
            </w:pPr>
            <w:r>
              <w:rPr>
                <w:rFonts w:ascii="Arial" w:cs="Arial" w:eastAsia="Arial" w:hAnsi="Arial"/>
                <w:sz w:val="14"/>
                <w:szCs w:val="14"/>
                <w:color w:val="auto"/>
              </w:rPr>
              <w:t>Basic</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(0.07)</w:t>
            </w:r>
          </w:p>
        </w:tc>
        <w:tc>
          <w:tcPr>
            <w:tcW w:w="3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0.33</w:t>
            </w:r>
          </w:p>
        </w:tc>
        <w:tc>
          <w:tcPr>
            <w:tcW w:w="3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(0.39)</w:t>
            </w:r>
          </w:p>
        </w:tc>
        <w:tc>
          <w:tcPr>
            <w:tcW w:w="420" w:type="dxa"/>
            <w:vAlign w:val="bottom"/>
            <w:gridSpan w:val="2"/>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0.63</w:t>
            </w:r>
          </w:p>
        </w:tc>
        <w:tc>
          <w:tcPr>
            <w:tcW w:w="0" w:type="dxa"/>
            <w:vAlign w:val="bottom"/>
          </w:tcPr>
          <w:p>
            <w:pPr>
              <w:spacing w:after="0"/>
              <w:rPr>
                <w:sz w:val="1"/>
                <w:szCs w:val="1"/>
                <w:color w:val="auto"/>
              </w:rPr>
            </w:pPr>
          </w:p>
        </w:tc>
      </w:tr>
      <w:tr>
        <w:trPr>
          <w:trHeight w:val="182"/>
        </w:trPr>
        <w:tc>
          <w:tcPr>
            <w:tcW w:w="6000" w:type="dxa"/>
            <w:vAlign w:val="bottom"/>
          </w:tcPr>
          <w:p>
            <w:pPr>
              <w:ind w:left="280"/>
              <w:spacing w:after="0"/>
              <w:rPr>
                <w:sz w:val="20"/>
                <w:szCs w:val="20"/>
                <w:color w:val="auto"/>
              </w:rPr>
            </w:pPr>
            <w:r>
              <w:rPr>
                <w:rFonts w:ascii="Arial" w:cs="Arial" w:eastAsia="Arial" w:hAnsi="Arial"/>
                <w:sz w:val="14"/>
                <w:szCs w:val="14"/>
                <w:color w:val="auto"/>
              </w:rPr>
              <w:t>Diluted</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(0.07)</w:t>
            </w:r>
          </w:p>
        </w:tc>
        <w:tc>
          <w:tcPr>
            <w:tcW w:w="3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0.31</w:t>
            </w:r>
          </w:p>
        </w:tc>
        <w:tc>
          <w:tcPr>
            <w:tcW w:w="3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(0.39)</w:t>
            </w:r>
          </w:p>
        </w:tc>
        <w:tc>
          <w:tcPr>
            <w:tcW w:w="420" w:type="dxa"/>
            <w:vAlign w:val="bottom"/>
            <w:gridSpan w:val="2"/>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0.62</w:t>
            </w:r>
          </w:p>
        </w:tc>
        <w:tc>
          <w:tcPr>
            <w:tcW w:w="0" w:type="dxa"/>
            <w:vAlign w:val="bottom"/>
          </w:tcPr>
          <w:p>
            <w:pPr>
              <w:spacing w:after="0"/>
              <w:rPr>
                <w:sz w:val="1"/>
                <w:szCs w:val="1"/>
                <w:color w:val="auto"/>
              </w:rPr>
            </w:pPr>
          </w:p>
        </w:tc>
      </w:tr>
      <w:tr>
        <w:trPr>
          <w:trHeight w:val="344"/>
        </w:trPr>
        <w:tc>
          <w:tcPr>
            <w:tcW w:w="6000" w:type="dxa"/>
            <w:vAlign w:val="bottom"/>
          </w:tcPr>
          <w:p>
            <w:pPr>
              <w:spacing w:after="0"/>
              <w:rPr>
                <w:sz w:val="20"/>
                <w:szCs w:val="20"/>
                <w:color w:val="auto"/>
              </w:rPr>
            </w:pPr>
            <w:r>
              <w:rPr>
                <w:rFonts w:ascii="Arial" w:cs="Arial" w:eastAsia="Arial" w:hAnsi="Arial"/>
                <w:sz w:val="14"/>
                <w:szCs w:val="14"/>
                <w:color w:val="auto"/>
              </w:rPr>
              <w:t>Weighted average shares outstanding:</w:t>
            </w:r>
          </w:p>
        </w:tc>
        <w:tc>
          <w:tcPr>
            <w:tcW w:w="2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6000" w:type="dxa"/>
            <w:vAlign w:val="bottom"/>
          </w:tcPr>
          <w:p>
            <w:pPr>
              <w:ind w:left="280"/>
              <w:spacing w:after="0"/>
              <w:rPr>
                <w:sz w:val="20"/>
                <w:szCs w:val="20"/>
                <w:color w:val="auto"/>
              </w:rPr>
            </w:pPr>
            <w:r>
              <w:rPr>
                <w:rFonts w:ascii="Arial" w:cs="Arial" w:eastAsia="Arial" w:hAnsi="Arial"/>
                <w:sz w:val="14"/>
                <w:szCs w:val="14"/>
                <w:color w:val="auto"/>
              </w:rPr>
              <w:t>Basic</w:t>
            </w:r>
          </w:p>
        </w:tc>
        <w:tc>
          <w:tcPr>
            <w:tcW w:w="220" w:type="dxa"/>
            <w:vAlign w:val="bottom"/>
          </w:tcPr>
          <w:p>
            <w:pPr>
              <w:spacing w:after="0"/>
              <w:rPr>
                <w:sz w:val="15"/>
                <w:szCs w:val="15"/>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23,000</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22,600</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22,900</w:t>
            </w: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22,500</w:t>
            </w:r>
          </w:p>
        </w:tc>
        <w:tc>
          <w:tcPr>
            <w:tcW w:w="0" w:type="dxa"/>
            <w:vAlign w:val="bottom"/>
          </w:tcPr>
          <w:p>
            <w:pPr>
              <w:spacing w:after="0"/>
              <w:rPr>
                <w:sz w:val="1"/>
                <w:szCs w:val="1"/>
                <w:color w:val="auto"/>
              </w:rPr>
            </w:pPr>
          </w:p>
        </w:tc>
      </w:tr>
      <w:tr>
        <w:trPr>
          <w:trHeight w:val="182"/>
        </w:trPr>
        <w:tc>
          <w:tcPr>
            <w:tcW w:w="6000" w:type="dxa"/>
            <w:vAlign w:val="bottom"/>
          </w:tcPr>
          <w:p>
            <w:pPr>
              <w:ind w:left="280"/>
              <w:spacing w:after="0"/>
              <w:rPr>
                <w:sz w:val="20"/>
                <w:szCs w:val="20"/>
                <w:color w:val="auto"/>
              </w:rPr>
            </w:pPr>
            <w:r>
              <w:rPr>
                <w:rFonts w:ascii="Arial" w:cs="Arial" w:eastAsia="Arial" w:hAnsi="Arial"/>
                <w:sz w:val="14"/>
                <w:szCs w:val="14"/>
                <w:color w:val="auto"/>
              </w:rPr>
              <w:t>Diluted</w:t>
            </w:r>
          </w:p>
        </w:tc>
        <w:tc>
          <w:tcPr>
            <w:tcW w:w="220" w:type="dxa"/>
            <w:vAlign w:val="bottom"/>
          </w:tcPr>
          <w:p>
            <w:pPr>
              <w:spacing w:after="0"/>
              <w:rPr>
                <w:sz w:val="15"/>
                <w:szCs w:val="15"/>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23,000</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24,100</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22,900</w:t>
            </w: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22,900</w:t>
            </w:r>
          </w:p>
        </w:tc>
        <w:tc>
          <w:tcPr>
            <w:tcW w:w="0" w:type="dxa"/>
            <w:vAlign w:val="bottom"/>
          </w:tcPr>
          <w:p>
            <w:pPr>
              <w:spacing w:after="0"/>
              <w:rPr>
                <w:sz w:val="1"/>
                <w:szCs w:val="1"/>
                <w:color w:val="auto"/>
              </w:rPr>
            </w:pPr>
          </w:p>
        </w:tc>
      </w:tr>
    </w:tbl>
    <w:p>
      <w:pPr>
        <w:spacing w:after="0" w:line="193" w:lineRule="exact"/>
        <w:rPr>
          <w:sz w:val="20"/>
          <w:szCs w:val="20"/>
          <w:color w:val="auto"/>
        </w:rPr>
      </w:pPr>
    </w:p>
    <w:p>
      <w:pPr>
        <w:ind w:right="720" w:firstLine="8"/>
        <w:spacing w:after="0" w:line="251" w:lineRule="auto"/>
        <w:tabs>
          <w:tab w:leader="none" w:pos="306" w:val="left"/>
        </w:tabs>
        <w:numPr>
          <w:ilvl w:val="0"/>
          <w:numId w:val="2"/>
        </w:numPr>
        <w:rPr>
          <w:rFonts w:ascii="Arial" w:cs="Arial" w:eastAsia="Arial" w:hAnsi="Arial"/>
          <w:sz w:val="22"/>
          <w:szCs w:val="22"/>
          <w:color w:val="auto"/>
        </w:rPr>
      </w:pPr>
      <w:r>
        <w:rPr>
          <w:rFonts w:ascii="Arial" w:cs="Arial" w:eastAsia="Arial" w:hAnsi="Arial"/>
          <w:sz w:val="22"/>
          <w:szCs w:val="22"/>
          <w:color w:val="auto"/>
        </w:rPr>
        <w:t>Prior year amounts have been retroactively adjusted, as required by GAAP, to reflect the change in accounting related to convertible debt adopted in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111125</wp:posOffset>
            </wp:positionV>
            <wp:extent cx="7272020" cy="596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30" w:right="239" w:bottom="1440" w:gutter="0" w:footer="0" w:header="0"/>
        </w:sectPr>
      </w:pPr>
    </w:p>
    <w:bookmarkStart w:id="12" w:name="page13"/>
    <w:bookmarkEnd w:id="12"/>
    <w:p>
      <w:pPr>
        <w:jc w:val="center"/>
        <w:spacing w:after="0"/>
        <w:rPr>
          <w:sz w:val="20"/>
          <w:szCs w:val="20"/>
          <w:color w:val="auto"/>
        </w:rPr>
      </w:pPr>
      <w:r>
        <w:rPr>
          <w:rFonts w:ascii="Arial" w:cs="Arial" w:eastAsia="Arial" w:hAnsi="Arial"/>
          <w:sz w:val="14"/>
          <w:szCs w:val="14"/>
          <w:b w:val="1"/>
          <w:bCs w:val="1"/>
          <w:color w:val="auto"/>
        </w:rPr>
        <w:t>GREATBATCH,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CONDENSED CONSOLIDATED BALANCE SHEETS - Unaudited</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(In thousands)</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7920" w:type="dxa"/>
            <w:vAlign w:val="bottom"/>
          </w:tcPr>
          <w:p>
            <w:pPr>
              <w:spacing w:after="0"/>
              <w:rPr>
                <w:sz w:val="20"/>
                <w:szCs w:val="20"/>
                <w:color w:val="auto"/>
              </w:rPr>
            </w:pPr>
            <w:r>
              <w:rPr>
                <w:rFonts w:ascii="Arial" w:cs="Arial" w:eastAsia="Arial" w:hAnsi="Arial"/>
                <w:sz w:val="14"/>
                <w:szCs w:val="14"/>
                <w:b w:val="1"/>
                <w:bCs w:val="1"/>
                <w:color w:val="auto"/>
              </w:rPr>
              <w:t>ASSETS</w:t>
            </w:r>
          </w:p>
        </w:tc>
        <w:tc>
          <w:tcPr>
            <w:tcW w:w="340" w:type="dxa"/>
            <w:vAlign w:val="bottom"/>
          </w:tcPr>
          <w:p>
            <w:pPr>
              <w:spacing w:after="0"/>
              <w:rPr>
                <w:sz w:val="15"/>
                <w:szCs w:val="15"/>
                <w:color w:val="auto"/>
              </w:rPr>
            </w:pPr>
          </w:p>
        </w:tc>
        <w:tc>
          <w:tcPr>
            <w:tcW w:w="1300" w:type="dxa"/>
            <w:vAlign w:val="bottom"/>
          </w:tcPr>
          <w:p>
            <w:pPr>
              <w:jc w:val="right"/>
              <w:ind w:right="428"/>
              <w:spacing w:after="0"/>
              <w:rPr>
                <w:sz w:val="20"/>
                <w:szCs w:val="20"/>
                <w:color w:val="auto"/>
              </w:rPr>
            </w:pPr>
            <w:r>
              <w:rPr>
                <w:rFonts w:ascii="Arial" w:cs="Arial" w:eastAsia="Arial" w:hAnsi="Arial"/>
                <w:sz w:val="14"/>
                <w:szCs w:val="14"/>
                <w:b w:val="1"/>
                <w:bCs w:val="1"/>
                <w:color w:val="auto"/>
              </w:rPr>
              <w:t>January 1,</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340" w:type="dxa"/>
            <w:vAlign w:val="bottom"/>
          </w:tcPr>
          <w:p>
            <w:pPr>
              <w:jc w:val="right"/>
              <w:ind w:right="448"/>
              <w:spacing w:after="0"/>
              <w:rPr>
                <w:sz w:val="20"/>
                <w:szCs w:val="20"/>
                <w:color w:val="auto"/>
              </w:rPr>
            </w:pPr>
            <w:r>
              <w:rPr>
                <w:rFonts w:ascii="Arial" w:cs="Arial" w:eastAsia="Arial" w:hAnsi="Arial"/>
                <w:sz w:val="14"/>
                <w:szCs w:val="14"/>
                <w:b w:val="1"/>
                <w:bCs w:val="1"/>
                <w:color w:val="auto"/>
              </w:rPr>
              <w:t>January 2,</w:t>
            </w:r>
          </w:p>
        </w:tc>
        <w:tc>
          <w:tcPr>
            <w:tcW w:w="0" w:type="dxa"/>
            <w:vAlign w:val="bottom"/>
          </w:tcPr>
          <w:p>
            <w:pPr>
              <w:spacing w:after="0"/>
              <w:rPr>
                <w:sz w:val="1"/>
                <w:szCs w:val="1"/>
                <w:color w:val="auto"/>
              </w:rPr>
            </w:pPr>
          </w:p>
        </w:tc>
      </w:tr>
      <w:tr>
        <w:trPr>
          <w:trHeight w:val="185"/>
        </w:trPr>
        <w:tc>
          <w:tcPr>
            <w:tcW w:w="79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right"/>
              <w:ind w:right="608"/>
              <w:spacing w:after="0"/>
              <w:rPr>
                <w:sz w:val="20"/>
                <w:szCs w:val="20"/>
                <w:color w:val="auto"/>
              </w:rPr>
            </w:pPr>
            <w:r>
              <w:rPr>
                <w:rFonts w:ascii="Arial" w:cs="Arial" w:eastAsia="Arial" w:hAnsi="Arial"/>
                <w:sz w:val="14"/>
                <w:szCs w:val="14"/>
                <w:b w:val="1"/>
                <w:bCs w:val="1"/>
                <w:color w:val="auto"/>
              </w:rPr>
              <w:t>2010</w:t>
            </w:r>
          </w:p>
        </w:tc>
        <w:tc>
          <w:tcPr>
            <w:tcW w:w="18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b w:val="1"/>
                <w:bCs w:val="1"/>
                <w:color w:val="auto"/>
              </w:rPr>
              <w:t>2009 (1)</w:t>
            </w:r>
          </w:p>
        </w:tc>
        <w:tc>
          <w:tcPr>
            <w:tcW w:w="0" w:type="dxa"/>
            <w:vAlign w:val="bottom"/>
          </w:tcPr>
          <w:p>
            <w:pPr>
              <w:spacing w:after="0"/>
              <w:rPr>
                <w:sz w:val="1"/>
                <w:szCs w:val="1"/>
                <w:color w:val="auto"/>
              </w:rPr>
            </w:pPr>
          </w:p>
        </w:tc>
      </w:tr>
      <w:tr>
        <w:trPr>
          <w:trHeight w:val="164"/>
        </w:trPr>
        <w:tc>
          <w:tcPr>
            <w:tcW w:w="7920" w:type="dxa"/>
            <w:vAlign w:val="bottom"/>
          </w:tcPr>
          <w:p>
            <w:pPr>
              <w:spacing w:after="0"/>
              <w:rPr>
                <w:sz w:val="20"/>
                <w:szCs w:val="20"/>
                <w:color w:val="auto"/>
              </w:rPr>
            </w:pPr>
            <w:r>
              <w:rPr>
                <w:rFonts w:ascii="Arial" w:cs="Arial" w:eastAsia="Arial" w:hAnsi="Arial"/>
                <w:sz w:val="14"/>
                <w:szCs w:val="14"/>
                <w:color w:val="auto"/>
              </w:rPr>
              <w:t>Current assets:</w:t>
            </w:r>
          </w:p>
        </w:tc>
        <w:tc>
          <w:tcPr>
            <w:tcW w:w="34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7920" w:type="dxa"/>
            <w:vAlign w:val="bottom"/>
          </w:tcPr>
          <w:p>
            <w:pPr>
              <w:ind w:left="140"/>
              <w:spacing w:after="0"/>
              <w:rPr>
                <w:sz w:val="20"/>
                <w:szCs w:val="20"/>
                <w:color w:val="auto"/>
              </w:rPr>
            </w:pPr>
            <w:r>
              <w:rPr>
                <w:rFonts w:ascii="Arial" w:cs="Arial" w:eastAsia="Arial" w:hAnsi="Arial"/>
                <w:sz w:val="14"/>
                <w:szCs w:val="14"/>
                <w:color w:val="auto"/>
              </w:rPr>
              <w:t>Cash and cash equivalents</w:t>
            </w:r>
          </w:p>
        </w:tc>
        <w:tc>
          <w:tcPr>
            <w:tcW w:w="3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300" w:type="dxa"/>
            <w:vAlign w:val="bottom"/>
          </w:tcPr>
          <w:p>
            <w:pPr>
              <w:jc w:val="right"/>
              <w:ind w:right="108"/>
              <w:spacing w:after="0"/>
              <w:rPr>
                <w:sz w:val="20"/>
                <w:szCs w:val="20"/>
                <w:color w:val="auto"/>
              </w:rPr>
            </w:pPr>
            <w:r>
              <w:rPr>
                <w:rFonts w:ascii="Arial" w:cs="Arial" w:eastAsia="Arial" w:hAnsi="Arial"/>
                <w:sz w:val="14"/>
                <w:szCs w:val="14"/>
                <w:color w:val="auto"/>
              </w:rPr>
              <w:t>37,864</w:t>
            </w:r>
          </w:p>
        </w:tc>
        <w:tc>
          <w:tcPr>
            <w:tcW w:w="520" w:type="dxa"/>
            <w:vAlign w:val="bottom"/>
            <w:gridSpan w:val="2"/>
          </w:tcPr>
          <w:p>
            <w:pPr>
              <w:jc w:val="right"/>
              <w:ind w:right="68"/>
              <w:spacing w:after="0"/>
              <w:rPr>
                <w:sz w:val="20"/>
                <w:szCs w:val="20"/>
                <w:color w:val="auto"/>
              </w:rPr>
            </w:pPr>
            <w:r>
              <w:rPr>
                <w:rFonts w:ascii="Arial" w:cs="Arial" w:eastAsia="Arial" w:hAnsi="Arial"/>
                <w:sz w:val="14"/>
                <w:szCs w:val="14"/>
                <w:color w:val="auto"/>
              </w:rPr>
              <w:t>$</w:t>
            </w:r>
          </w:p>
        </w:tc>
        <w:tc>
          <w:tcPr>
            <w:tcW w:w="1340" w:type="dxa"/>
            <w:vAlign w:val="bottom"/>
          </w:tcPr>
          <w:p>
            <w:pPr>
              <w:jc w:val="right"/>
              <w:ind w:right="128"/>
              <w:spacing w:after="0"/>
              <w:rPr>
                <w:sz w:val="20"/>
                <w:szCs w:val="20"/>
                <w:color w:val="auto"/>
              </w:rPr>
            </w:pPr>
            <w:r>
              <w:rPr>
                <w:rFonts w:ascii="Arial" w:cs="Arial" w:eastAsia="Arial" w:hAnsi="Arial"/>
                <w:sz w:val="14"/>
                <w:szCs w:val="14"/>
                <w:color w:val="auto"/>
              </w:rPr>
              <w:t>22,063</w:t>
            </w:r>
          </w:p>
        </w:tc>
        <w:tc>
          <w:tcPr>
            <w:tcW w:w="0" w:type="dxa"/>
            <w:vAlign w:val="bottom"/>
          </w:tcPr>
          <w:p>
            <w:pPr>
              <w:spacing w:after="0"/>
              <w:rPr>
                <w:sz w:val="1"/>
                <w:szCs w:val="1"/>
                <w:color w:val="auto"/>
              </w:rPr>
            </w:pPr>
          </w:p>
        </w:tc>
      </w:tr>
      <w:tr>
        <w:trPr>
          <w:trHeight w:val="176"/>
        </w:trPr>
        <w:tc>
          <w:tcPr>
            <w:tcW w:w="7920" w:type="dxa"/>
            <w:vAlign w:val="bottom"/>
          </w:tcPr>
          <w:p>
            <w:pPr>
              <w:ind w:left="140"/>
              <w:spacing w:after="0"/>
              <w:rPr>
                <w:sz w:val="20"/>
                <w:szCs w:val="20"/>
                <w:color w:val="auto"/>
              </w:rPr>
            </w:pPr>
            <w:r>
              <w:rPr>
                <w:rFonts w:ascii="Arial" w:cs="Arial" w:eastAsia="Arial" w:hAnsi="Arial"/>
                <w:sz w:val="14"/>
                <w:szCs w:val="14"/>
                <w:color w:val="auto"/>
              </w:rPr>
              <w:t>Accounts receivable, net</w:t>
            </w:r>
          </w:p>
        </w:tc>
        <w:tc>
          <w:tcPr>
            <w:tcW w:w="340" w:type="dxa"/>
            <w:vAlign w:val="bottom"/>
          </w:tcPr>
          <w:p>
            <w:pPr>
              <w:spacing w:after="0"/>
              <w:rPr>
                <w:sz w:val="15"/>
                <w:szCs w:val="15"/>
                <w:color w:val="auto"/>
              </w:rPr>
            </w:pPr>
          </w:p>
        </w:tc>
        <w:tc>
          <w:tcPr>
            <w:tcW w:w="1300" w:type="dxa"/>
            <w:vAlign w:val="bottom"/>
          </w:tcPr>
          <w:p>
            <w:pPr>
              <w:jc w:val="right"/>
              <w:ind w:right="108"/>
              <w:spacing w:after="0"/>
              <w:rPr>
                <w:sz w:val="20"/>
                <w:szCs w:val="20"/>
                <w:color w:val="auto"/>
              </w:rPr>
            </w:pPr>
            <w:r>
              <w:rPr>
                <w:rFonts w:ascii="Arial" w:cs="Arial" w:eastAsia="Arial" w:hAnsi="Arial"/>
                <w:sz w:val="14"/>
                <w:szCs w:val="14"/>
                <w:color w:val="auto"/>
              </w:rPr>
              <w:t>81,488</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340" w:type="dxa"/>
            <w:vAlign w:val="bottom"/>
          </w:tcPr>
          <w:p>
            <w:pPr>
              <w:jc w:val="right"/>
              <w:ind w:right="128"/>
              <w:spacing w:after="0"/>
              <w:rPr>
                <w:sz w:val="20"/>
                <w:szCs w:val="20"/>
                <w:color w:val="auto"/>
              </w:rPr>
            </w:pPr>
            <w:r>
              <w:rPr>
                <w:rFonts w:ascii="Arial" w:cs="Arial" w:eastAsia="Arial" w:hAnsi="Arial"/>
                <w:sz w:val="14"/>
                <w:szCs w:val="14"/>
                <w:color w:val="auto"/>
              </w:rPr>
              <w:t>86,364</w:t>
            </w:r>
          </w:p>
        </w:tc>
        <w:tc>
          <w:tcPr>
            <w:tcW w:w="0" w:type="dxa"/>
            <w:vAlign w:val="bottom"/>
          </w:tcPr>
          <w:p>
            <w:pPr>
              <w:spacing w:after="0"/>
              <w:rPr>
                <w:sz w:val="1"/>
                <w:szCs w:val="1"/>
                <w:color w:val="auto"/>
              </w:rPr>
            </w:pPr>
          </w:p>
        </w:tc>
      </w:tr>
      <w:tr>
        <w:trPr>
          <w:trHeight w:val="176"/>
        </w:trPr>
        <w:tc>
          <w:tcPr>
            <w:tcW w:w="7920" w:type="dxa"/>
            <w:vAlign w:val="bottom"/>
          </w:tcPr>
          <w:p>
            <w:pPr>
              <w:ind w:left="140"/>
              <w:spacing w:after="0"/>
              <w:rPr>
                <w:sz w:val="20"/>
                <w:szCs w:val="20"/>
                <w:color w:val="auto"/>
              </w:rPr>
            </w:pPr>
            <w:r>
              <w:rPr>
                <w:rFonts w:ascii="Arial" w:cs="Arial" w:eastAsia="Arial" w:hAnsi="Arial"/>
                <w:sz w:val="14"/>
                <w:szCs w:val="14"/>
                <w:color w:val="auto"/>
              </w:rPr>
              <w:t>Inventories, net</w:t>
            </w:r>
          </w:p>
        </w:tc>
        <w:tc>
          <w:tcPr>
            <w:tcW w:w="340" w:type="dxa"/>
            <w:vAlign w:val="bottom"/>
          </w:tcPr>
          <w:p>
            <w:pPr>
              <w:spacing w:after="0"/>
              <w:rPr>
                <w:sz w:val="15"/>
                <w:szCs w:val="15"/>
                <w:color w:val="auto"/>
              </w:rPr>
            </w:pPr>
          </w:p>
        </w:tc>
        <w:tc>
          <w:tcPr>
            <w:tcW w:w="1300" w:type="dxa"/>
            <w:vAlign w:val="bottom"/>
          </w:tcPr>
          <w:p>
            <w:pPr>
              <w:jc w:val="right"/>
              <w:ind w:right="108"/>
              <w:spacing w:after="0"/>
              <w:rPr>
                <w:sz w:val="20"/>
                <w:szCs w:val="20"/>
                <w:color w:val="auto"/>
              </w:rPr>
            </w:pPr>
            <w:r>
              <w:rPr>
                <w:rFonts w:ascii="Arial" w:cs="Arial" w:eastAsia="Arial" w:hAnsi="Arial"/>
                <w:sz w:val="14"/>
                <w:szCs w:val="14"/>
                <w:color w:val="auto"/>
              </w:rPr>
              <w:t>106,609</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340" w:type="dxa"/>
            <w:vAlign w:val="bottom"/>
          </w:tcPr>
          <w:p>
            <w:pPr>
              <w:jc w:val="right"/>
              <w:ind w:right="128"/>
              <w:spacing w:after="0"/>
              <w:rPr>
                <w:sz w:val="20"/>
                <w:szCs w:val="20"/>
                <w:color w:val="auto"/>
              </w:rPr>
            </w:pPr>
            <w:r>
              <w:rPr>
                <w:rFonts w:ascii="Arial" w:cs="Arial" w:eastAsia="Arial" w:hAnsi="Arial"/>
                <w:sz w:val="14"/>
                <w:szCs w:val="14"/>
                <w:color w:val="auto"/>
              </w:rPr>
              <w:t>112,304</w:t>
            </w:r>
          </w:p>
        </w:tc>
        <w:tc>
          <w:tcPr>
            <w:tcW w:w="0" w:type="dxa"/>
            <w:vAlign w:val="bottom"/>
          </w:tcPr>
          <w:p>
            <w:pPr>
              <w:spacing w:after="0"/>
              <w:rPr>
                <w:sz w:val="1"/>
                <w:szCs w:val="1"/>
                <w:color w:val="auto"/>
              </w:rPr>
            </w:pPr>
          </w:p>
        </w:tc>
      </w:tr>
      <w:tr>
        <w:trPr>
          <w:trHeight w:val="176"/>
        </w:trPr>
        <w:tc>
          <w:tcPr>
            <w:tcW w:w="7920" w:type="dxa"/>
            <w:vAlign w:val="bottom"/>
          </w:tcPr>
          <w:p>
            <w:pPr>
              <w:ind w:left="140"/>
              <w:spacing w:after="0"/>
              <w:rPr>
                <w:sz w:val="20"/>
                <w:szCs w:val="20"/>
                <w:color w:val="auto"/>
              </w:rPr>
            </w:pPr>
            <w:r>
              <w:rPr>
                <w:rFonts w:ascii="Arial" w:cs="Arial" w:eastAsia="Arial" w:hAnsi="Arial"/>
                <w:sz w:val="14"/>
                <w:szCs w:val="14"/>
                <w:color w:val="auto"/>
              </w:rPr>
              <w:t>Deferred income taxes</w:t>
            </w:r>
          </w:p>
        </w:tc>
        <w:tc>
          <w:tcPr>
            <w:tcW w:w="340" w:type="dxa"/>
            <w:vAlign w:val="bottom"/>
          </w:tcPr>
          <w:p>
            <w:pPr>
              <w:spacing w:after="0"/>
              <w:rPr>
                <w:sz w:val="15"/>
                <w:szCs w:val="15"/>
                <w:color w:val="auto"/>
              </w:rPr>
            </w:pPr>
          </w:p>
        </w:tc>
        <w:tc>
          <w:tcPr>
            <w:tcW w:w="1300" w:type="dxa"/>
            <w:vAlign w:val="bottom"/>
          </w:tcPr>
          <w:p>
            <w:pPr>
              <w:jc w:val="right"/>
              <w:ind w:right="108"/>
              <w:spacing w:after="0"/>
              <w:rPr>
                <w:sz w:val="20"/>
                <w:szCs w:val="20"/>
                <w:color w:val="auto"/>
              </w:rPr>
            </w:pPr>
            <w:r>
              <w:rPr>
                <w:rFonts w:ascii="Arial" w:cs="Arial" w:eastAsia="Arial" w:hAnsi="Arial"/>
                <w:sz w:val="14"/>
                <w:szCs w:val="14"/>
                <w:color w:val="auto"/>
              </w:rPr>
              <w:t>13,896</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340" w:type="dxa"/>
            <w:vAlign w:val="bottom"/>
          </w:tcPr>
          <w:p>
            <w:pPr>
              <w:jc w:val="right"/>
              <w:ind w:right="128"/>
              <w:spacing w:after="0"/>
              <w:rPr>
                <w:sz w:val="20"/>
                <w:szCs w:val="20"/>
                <w:color w:val="auto"/>
              </w:rPr>
            </w:pPr>
            <w:r>
              <w:rPr>
                <w:rFonts w:ascii="Arial" w:cs="Arial" w:eastAsia="Arial" w:hAnsi="Arial"/>
                <w:sz w:val="14"/>
                <w:szCs w:val="14"/>
                <w:color w:val="auto"/>
              </w:rPr>
              <w:t>8,086</w:t>
            </w:r>
          </w:p>
        </w:tc>
        <w:tc>
          <w:tcPr>
            <w:tcW w:w="0" w:type="dxa"/>
            <w:vAlign w:val="bottom"/>
          </w:tcPr>
          <w:p>
            <w:pPr>
              <w:spacing w:after="0"/>
              <w:rPr>
                <w:sz w:val="1"/>
                <w:szCs w:val="1"/>
                <w:color w:val="auto"/>
              </w:rPr>
            </w:pPr>
          </w:p>
        </w:tc>
      </w:tr>
      <w:tr>
        <w:trPr>
          <w:trHeight w:val="181"/>
        </w:trPr>
        <w:tc>
          <w:tcPr>
            <w:tcW w:w="7920" w:type="dxa"/>
            <w:vAlign w:val="bottom"/>
          </w:tcPr>
          <w:p>
            <w:pPr>
              <w:ind w:left="140"/>
              <w:spacing w:after="0"/>
              <w:rPr>
                <w:sz w:val="20"/>
                <w:szCs w:val="20"/>
                <w:color w:val="auto"/>
              </w:rPr>
            </w:pPr>
            <w:r>
              <w:rPr>
                <w:rFonts w:ascii="Arial" w:cs="Arial" w:eastAsia="Arial" w:hAnsi="Arial"/>
                <w:sz w:val="14"/>
                <w:szCs w:val="14"/>
                <w:color w:val="auto"/>
              </w:rPr>
              <w:t>Prepaid expenses and other current assets</w:t>
            </w:r>
          </w:p>
        </w:tc>
        <w:tc>
          <w:tcPr>
            <w:tcW w:w="340" w:type="dxa"/>
            <w:vAlign w:val="bottom"/>
            <w:tcBorders>
              <w:bottom w:val="single" w:sz="8" w:color="auto"/>
            </w:tcBorders>
          </w:tcPr>
          <w:p>
            <w:pPr>
              <w:spacing w:after="0"/>
              <w:rPr>
                <w:sz w:val="15"/>
                <w:szCs w:val="15"/>
                <w:color w:val="auto"/>
              </w:rPr>
            </w:pPr>
          </w:p>
        </w:tc>
        <w:tc>
          <w:tcPr>
            <w:tcW w:w="13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13,313</w:t>
            </w:r>
          </w:p>
        </w:tc>
        <w:tc>
          <w:tcPr>
            <w:tcW w:w="180" w:type="dxa"/>
            <w:vAlign w:val="bottom"/>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3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6,754</w:t>
            </w:r>
          </w:p>
        </w:tc>
        <w:tc>
          <w:tcPr>
            <w:tcW w:w="0" w:type="dxa"/>
            <w:vAlign w:val="bottom"/>
          </w:tcPr>
          <w:p>
            <w:pPr>
              <w:spacing w:after="0"/>
              <w:rPr>
                <w:sz w:val="1"/>
                <w:szCs w:val="1"/>
                <w:color w:val="auto"/>
              </w:rPr>
            </w:pPr>
          </w:p>
        </w:tc>
      </w:tr>
      <w:tr>
        <w:trPr>
          <w:trHeight w:val="176"/>
        </w:trPr>
        <w:tc>
          <w:tcPr>
            <w:tcW w:w="7920" w:type="dxa"/>
            <w:vAlign w:val="bottom"/>
          </w:tcPr>
          <w:p>
            <w:pPr>
              <w:ind w:left="680"/>
              <w:spacing w:after="0"/>
              <w:rPr>
                <w:sz w:val="20"/>
                <w:szCs w:val="20"/>
                <w:color w:val="auto"/>
              </w:rPr>
            </w:pPr>
            <w:r>
              <w:rPr>
                <w:rFonts w:ascii="Arial" w:cs="Arial" w:eastAsia="Arial" w:hAnsi="Arial"/>
                <w:sz w:val="14"/>
                <w:szCs w:val="14"/>
                <w:color w:val="auto"/>
              </w:rPr>
              <w:t>Total current assets</w:t>
            </w:r>
          </w:p>
        </w:tc>
        <w:tc>
          <w:tcPr>
            <w:tcW w:w="340" w:type="dxa"/>
            <w:vAlign w:val="bottom"/>
          </w:tcPr>
          <w:p>
            <w:pPr>
              <w:spacing w:after="0"/>
              <w:rPr>
                <w:sz w:val="15"/>
                <w:szCs w:val="15"/>
                <w:color w:val="auto"/>
              </w:rPr>
            </w:pPr>
          </w:p>
        </w:tc>
        <w:tc>
          <w:tcPr>
            <w:tcW w:w="1300" w:type="dxa"/>
            <w:vAlign w:val="bottom"/>
          </w:tcPr>
          <w:p>
            <w:pPr>
              <w:jc w:val="right"/>
              <w:ind w:right="108"/>
              <w:spacing w:after="0"/>
              <w:rPr>
                <w:sz w:val="20"/>
                <w:szCs w:val="20"/>
                <w:color w:val="auto"/>
              </w:rPr>
            </w:pPr>
            <w:r>
              <w:rPr>
                <w:rFonts w:ascii="Arial" w:cs="Arial" w:eastAsia="Arial" w:hAnsi="Arial"/>
                <w:sz w:val="14"/>
                <w:szCs w:val="14"/>
                <w:color w:val="auto"/>
              </w:rPr>
              <w:t>253,170</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340" w:type="dxa"/>
            <w:vAlign w:val="bottom"/>
          </w:tcPr>
          <w:p>
            <w:pPr>
              <w:jc w:val="right"/>
              <w:ind w:right="128"/>
              <w:spacing w:after="0"/>
              <w:rPr>
                <w:sz w:val="20"/>
                <w:szCs w:val="20"/>
                <w:color w:val="auto"/>
              </w:rPr>
            </w:pPr>
            <w:r>
              <w:rPr>
                <w:rFonts w:ascii="Arial" w:cs="Arial" w:eastAsia="Arial" w:hAnsi="Arial"/>
                <w:sz w:val="14"/>
                <w:szCs w:val="14"/>
                <w:color w:val="auto"/>
              </w:rPr>
              <w:t>235,571</w:t>
            </w:r>
          </w:p>
        </w:tc>
        <w:tc>
          <w:tcPr>
            <w:tcW w:w="0" w:type="dxa"/>
            <w:vAlign w:val="bottom"/>
          </w:tcPr>
          <w:p>
            <w:pPr>
              <w:spacing w:after="0"/>
              <w:rPr>
                <w:sz w:val="1"/>
                <w:szCs w:val="1"/>
                <w:color w:val="auto"/>
              </w:rPr>
            </w:pPr>
          </w:p>
        </w:tc>
      </w:tr>
      <w:tr>
        <w:trPr>
          <w:trHeight w:val="339"/>
        </w:trPr>
        <w:tc>
          <w:tcPr>
            <w:tcW w:w="7920" w:type="dxa"/>
            <w:vAlign w:val="bottom"/>
          </w:tcPr>
          <w:p>
            <w:pPr>
              <w:spacing w:after="0"/>
              <w:rPr>
                <w:sz w:val="20"/>
                <w:szCs w:val="20"/>
                <w:color w:val="auto"/>
              </w:rPr>
            </w:pPr>
            <w:r>
              <w:rPr>
                <w:rFonts w:ascii="Arial" w:cs="Arial" w:eastAsia="Arial" w:hAnsi="Arial"/>
                <w:sz w:val="14"/>
                <w:szCs w:val="14"/>
                <w:color w:val="auto"/>
              </w:rPr>
              <w:t>Property, plant, and equipment, net</w:t>
            </w:r>
          </w:p>
        </w:tc>
        <w:tc>
          <w:tcPr>
            <w:tcW w:w="340" w:type="dxa"/>
            <w:vAlign w:val="bottom"/>
          </w:tcPr>
          <w:p>
            <w:pPr>
              <w:spacing w:after="0"/>
              <w:rPr>
                <w:sz w:val="24"/>
                <w:szCs w:val="24"/>
                <w:color w:val="auto"/>
              </w:rPr>
            </w:pPr>
          </w:p>
        </w:tc>
        <w:tc>
          <w:tcPr>
            <w:tcW w:w="1300" w:type="dxa"/>
            <w:vAlign w:val="bottom"/>
          </w:tcPr>
          <w:p>
            <w:pPr>
              <w:jc w:val="right"/>
              <w:ind w:right="108"/>
              <w:spacing w:after="0"/>
              <w:rPr>
                <w:sz w:val="20"/>
                <w:szCs w:val="20"/>
                <w:color w:val="auto"/>
              </w:rPr>
            </w:pPr>
            <w:r>
              <w:rPr>
                <w:rFonts w:ascii="Arial" w:cs="Arial" w:eastAsia="Arial" w:hAnsi="Arial"/>
                <w:sz w:val="14"/>
                <w:szCs w:val="14"/>
                <w:color w:val="auto"/>
              </w:rPr>
              <w:t>153,601</w:t>
            </w: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40" w:type="dxa"/>
            <w:vAlign w:val="bottom"/>
          </w:tcPr>
          <w:p>
            <w:pPr>
              <w:jc w:val="right"/>
              <w:ind w:right="128"/>
              <w:spacing w:after="0"/>
              <w:rPr>
                <w:sz w:val="20"/>
                <w:szCs w:val="20"/>
                <w:color w:val="auto"/>
              </w:rPr>
            </w:pPr>
            <w:r>
              <w:rPr>
                <w:rFonts w:ascii="Arial" w:cs="Arial" w:eastAsia="Arial" w:hAnsi="Arial"/>
                <w:sz w:val="14"/>
                <w:szCs w:val="14"/>
                <w:color w:val="auto"/>
              </w:rPr>
              <w:t>166,668</w:t>
            </w:r>
          </w:p>
        </w:tc>
        <w:tc>
          <w:tcPr>
            <w:tcW w:w="0" w:type="dxa"/>
            <w:vAlign w:val="bottom"/>
          </w:tcPr>
          <w:p>
            <w:pPr>
              <w:spacing w:after="0"/>
              <w:rPr>
                <w:sz w:val="1"/>
                <w:szCs w:val="1"/>
                <w:color w:val="auto"/>
              </w:rPr>
            </w:pPr>
          </w:p>
        </w:tc>
      </w:tr>
      <w:tr>
        <w:trPr>
          <w:trHeight w:val="176"/>
        </w:trPr>
        <w:tc>
          <w:tcPr>
            <w:tcW w:w="7920" w:type="dxa"/>
            <w:vAlign w:val="bottom"/>
          </w:tcPr>
          <w:p>
            <w:pPr>
              <w:spacing w:after="0"/>
              <w:rPr>
                <w:sz w:val="20"/>
                <w:szCs w:val="20"/>
                <w:color w:val="auto"/>
              </w:rPr>
            </w:pPr>
            <w:r>
              <w:rPr>
                <w:rFonts w:ascii="Arial" w:cs="Arial" w:eastAsia="Arial" w:hAnsi="Arial"/>
                <w:sz w:val="14"/>
                <w:szCs w:val="14"/>
                <w:color w:val="auto"/>
              </w:rPr>
              <w:t>Intangible assets, net</w:t>
            </w:r>
          </w:p>
        </w:tc>
        <w:tc>
          <w:tcPr>
            <w:tcW w:w="340" w:type="dxa"/>
            <w:vAlign w:val="bottom"/>
          </w:tcPr>
          <w:p>
            <w:pPr>
              <w:spacing w:after="0"/>
              <w:rPr>
                <w:sz w:val="15"/>
                <w:szCs w:val="15"/>
                <w:color w:val="auto"/>
              </w:rPr>
            </w:pPr>
          </w:p>
        </w:tc>
        <w:tc>
          <w:tcPr>
            <w:tcW w:w="1300" w:type="dxa"/>
            <w:vAlign w:val="bottom"/>
          </w:tcPr>
          <w:p>
            <w:pPr>
              <w:jc w:val="right"/>
              <w:ind w:right="108"/>
              <w:spacing w:after="0"/>
              <w:rPr>
                <w:sz w:val="20"/>
                <w:szCs w:val="20"/>
                <w:color w:val="auto"/>
              </w:rPr>
            </w:pPr>
            <w:r>
              <w:rPr>
                <w:rFonts w:ascii="Arial" w:cs="Arial" w:eastAsia="Arial" w:hAnsi="Arial"/>
                <w:sz w:val="14"/>
                <w:szCs w:val="14"/>
                <w:color w:val="auto"/>
              </w:rPr>
              <w:t>102,364</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340" w:type="dxa"/>
            <w:vAlign w:val="bottom"/>
          </w:tcPr>
          <w:p>
            <w:pPr>
              <w:jc w:val="right"/>
              <w:ind w:right="128"/>
              <w:spacing w:after="0"/>
              <w:rPr>
                <w:sz w:val="20"/>
                <w:szCs w:val="20"/>
                <w:color w:val="auto"/>
              </w:rPr>
            </w:pPr>
            <w:r>
              <w:rPr>
                <w:rFonts w:ascii="Arial" w:cs="Arial" w:eastAsia="Arial" w:hAnsi="Arial"/>
                <w:sz w:val="14"/>
                <w:szCs w:val="14"/>
                <w:color w:val="auto"/>
              </w:rPr>
              <w:t>126,389</w:t>
            </w:r>
          </w:p>
        </w:tc>
        <w:tc>
          <w:tcPr>
            <w:tcW w:w="0" w:type="dxa"/>
            <w:vAlign w:val="bottom"/>
          </w:tcPr>
          <w:p>
            <w:pPr>
              <w:spacing w:after="0"/>
              <w:rPr>
                <w:sz w:val="1"/>
                <w:szCs w:val="1"/>
                <w:color w:val="auto"/>
              </w:rPr>
            </w:pPr>
          </w:p>
        </w:tc>
      </w:tr>
      <w:tr>
        <w:trPr>
          <w:trHeight w:val="176"/>
        </w:trPr>
        <w:tc>
          <w:tcPr>
            <w:tcW w:w="7920" w:type="dxa"/>
            <w:vAlign w:val="bottom"/>
          </w:tcPr>
          <w:p>
            <w:pPr>
              <w:spacing w:after="0"/>
              <w:rPr>
                <w:sz w:val="20"/>
                <w:szCs w:val="20"/>
                <w:color w:val="auto"/>
              </w:rPr>
            </w:pPr>
            <w:r>
              <w:rPr>
                <w:rFonts w:ascii="Arial" w:cs="Arial" w:eastAsia="Arial" w:hAnsi="Arial"/>
                <w:sz w:val="14"/>
                <w:szCs w:val="14"/>
                <w:color w:val="auto"/>
              </w:rPr>
              <w:t>Goodwill</w:t>
            </w:r>
          </w:p>
        </w:tc>
        <w:tc>
          <w:tcPr>
            <w:tcW w:w="340" w:type="dxa"/>
            <w:vAlign w:val="bottom"/>
          </w:tcPr>
          <w:p>
            <w:pPr>
              <w:spacing w:after="0"/>
              <w:rPr>
                <w:sz w:val="15"/>
                <w:szCs w:val="15"/>
                <w:color w:val="auto"/>
              </w:rPr>
            </w:pPr>
          </w:p>
        </w:tc>
        <w:tc>
          <w:tcPr>
            <w:tcW w:w="1300" w:type="dxa"/>
            <w:vAlign w:val="bottom"/>
          </w:tcPr>
          <w:p>
            <w:pPr>
              <w:jc w:val="right"/>
              <w:ind w:right="108"/>
              <w:spacing w:after="0"/>
              <w:rPr>
                <w:sz w:val="20"/>
                <w:szCs w:val="20"/>
                <w:color w:val="auto"/>
              </w:rPr>
            </w:pPr>
            <w:r>
              <w:rPr>
                <w:rFonts w:ascii="Arial" w:cs="Arial" w:eastAsia="Arial" w:hAnsi="Arial"/>
                <w:sz w:val="14"/>
                <w:szCs w:val="14"/>
                <w:color w:val="auto"/>
              </w:rPr>
              <w:t>303,926</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340" w:type="dxa"/>
            <w:vAlign w:val="bottom"/>
          </w:tcPr>
          <w:p>
            <w:pPr>
              <w:jc w:val="right"/>
              <w:ind w:right="128"/>
              <w:spacing w:after="0"/>
              <w:rPr>
                <w:sz w:val="20"/>
                <w:szCs w:val="20"/>
                <w:color w:val="auto"/>
              </w:rPr>
            </w:pPr>
            <w:r>
              <w:rPr>
                <w:rFonts w:ascii="Arial" w:cs="Arial" w:eastAsia="Arial" w:hAnsi="Arial"/>
                <w:sz w:val="14"/>
                <w:szCs w:val="14"/>
                <w:color w:val="auto"/>
              </w:rPr>
              <w:t>302,221</w:t>
            </w:r>
          </w:p>
        </w:tc>
        <w:tc>
          <w:tcPr>
            <w:tcW w:w="0" w:type="dxa"/>
            <w:vAlign w:val="bottom"/>
          </w:tcPr>
          <w:p>
            <w:pPr>
              <w:spacing w:after="0"/>
              <w:rPr>
                <w:sz w:val="1"/>
                <w:szCs w:val="1"/>
                <w:color w:val="auto"/>
              </w:rPr>
            </w:pPr>
          </w:p>
        </w:tc>
      </w:tr>
      <w:tr>
        <w:trPr>
          <w:trHeight w:val="176"/>
        </w:trPr>
        <w:tc>
          <w:tcPr>
            <w:tcW w:w="7920" w:type="dxa"/>
            <w:vAlign w:val="bottom"/>
          </w:tcPr>
          <w:p>
            <w:pPr>
              <w:spacing w:after="0"/>
              <w:rPr>
                <w:sz w:val="20"/>
                <w:szCs w:val="20"/>
                <w:color w:val="auto"/>
              </w:rPr>
            </w:pPr>
            <w:r>
              <w:rPr>
                <w:rFonts w:ascii="Arial" w:cs="Arial" w:eastAsia="Arial" w:hAnsi="Arial"/>
                <w:sz w:val="14"/>
                <w:szCs w:val="14"/>
                <w:color w:val="auto"/>
              </w:rPr>
              <w:t>Deferred income taxes</w:t>
            </w:r>
          </w:p>
        </w:tc>
        <w:tc>
          <w:tcPr>
            <w:tcW w:w="340" w:type="dxa"/>
            <w:vAlign w:val="bottom"/>
          </w:tcPr>
          <w:p>
            <w:pPr>
              <w:spacing w:after="0"/>
              <w:rPr>
                <w:sz w:val="15"/>
                <w:szCs w:val="15"/>
                <w:color w:val="auto"/>
              </w:rPr>
            </w:pPr>
          </w:p>
        </w:tc>
        <w:tc>
          <w:tcPr>
            <w:tcW w:w="1300" w:type="dxa"/>
            <w:vAlign w:val="bottom"/>
          </w:tcPr>
          <w:p>
            <w:pPr>
              <w:jc w:val="right"/>
              <w:ind w:right="108"/>
              <w:spacing w:after="0"/>
              <w:rPr>
                <w:sz w:val="20"/>
                <w:szCs w:val="20"/>
                <w:color w:val="auto"/>
              </w:rPr>
            </w:pPr>
            <w:r>
              <w:rPr>
                <w:rFonts w:ascii="Arial" w:cs="Arial" w:eastAsia="Arial" w:hAnsi="Arial"/>
                <w:sz w:val="14"/>
                <w:szCs w:val="14"/>
                <w:color w:val="auto"/>
              </w:rPr>
              <w:t>2,458</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340" w:type="dxa"/>
            <w:vAlign w:val="bottom"/>
          </w:tcPr>
          <w:p>
            <w:pPr>
              <w:jc w:val="right"/>
              <w:ind w:right="128"/>
              <w:spacing w:after="0"/>
              <w:rPr>
                <w:sz w:val="20"/>
                <w:szCs w:val="20"/>
                <w:color w:val="auto"/>
              </w:rPr>
            </w:pPr>
            <w:r>
              <w:rPr>
                <w:rFonts w:ascii="Arial" w:cs="Arial" w:eastAsia="Arial" w:hAnsi="Arial"/>
                <w:sz w:val="14"/>
                <w:szCs w:val="14"/>
                <w:color w:val="auto"/>
              </w:rPr>
              <w:t>1,942</w:t>
            </w:r>
          </w:p>
        </w:tc>
        <w:tc>
          <w:tcPr>
            <w:tcW w:w="0" w:type="dxa"/>
            <w:vAlign w:val="bottom"/>
          </w:tcPr>
          <w:p>
            <w:pPr>
              <w:spacing w:after="0"/>
              <w:rPr>
                <w:sz w:val="1"/>
                <w:szCs w:val="1"/>
                <w:color w:val="auto"/>
              </w:rPr>
            </w:pPr>
          </w:p>
        </w:tc>
      </w:tr>
      <w:tr>
        <w:trPr>
          <w:trHeight w:val="181"/>
        </w:trPr>
        <w:tc>
          <w:tcPr>
            <w:tcW w:w="7920" w:type="dxa"/>
            <w:vAlign w:val="bottom"/>
          </w:tcPr>
          <w:p>
            <w:pPr>
              <w:spacing w:after="0"/>
              <w:rPr>
                <w:sz w:val="20"/>
                <w:szCs w:val="20"/>
                <w:color w:val="auto"/>
              </w:rPr>
            </w:pPr>
            <w:r>
              <w:rPr>
                <w:rFonts w:ascii="Arial" w:cs="Arial" w:eastAsia="Arial" w:hAnsi="Arial"/>
                <w:sz w:val="14"/>
                <w:szCs w:val="14"/>
                <w:color w:val="auto"/>
              </w:rPr>
              <w:t>Other assets</w:t>
            </w:r>
          </w:p>
        </w:tc>
        <w:tc>
          <w:tcPr>
            <w:tcW w:w="340" w:type="dxa"/>
            <w:vAlign w:val="bottom"/>
            <w:tcBorders>
              <w:bottom w:val="single" w:sz="8" w:color="auto"/>
            </w:tcBorders>
          </w:tcPr>
          <w:p>
            <w:pPr>
              <w:spacing w:after="0"/>
              <w:rPr>
                <w:sz w:val="15"/>
                <w:szCs w:val="15"/>
                <w:color w:val="auto"/>
              </w:rPr>
            </w:pPr>
          </w:p>
        </w:tc>
        <w:tc>
          <w:tcPr>
            <w:tcW w:w="13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15,024</w:t>
            </w:r>
          </w:p>
        </w:tc>
        <w:tc>
          <w:tcPr>
            <w:tcW w:w="180" w:type="dxa"/>
            <w:vAlign w:val="bottom"/>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3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15,242</w:t>
            </w:r>
          </w:p>
        </w:tc>
        <w:tc>
          <w:tcPr>
            <w:tcW w:w="0" w:type="dxa"/>
            <w:vAlign w:val="bottom"/>
          </w:tcPr>
          <w:p>
            <w:pPr>
              <w:spacing w:after="0"/>
              <w:rPr>
                <w:sz w:val="1"/>
                <w:szCs w:val="1"/>
                <w:color w:val="auto"/>
              </w:rPr>
            </w:pPr>
          </w:p>
        </w:tc>
      </w:tr>
      <w:tr>
        <w:trPr>
          <w:trHeight w:val="169"/>
        </w:trPr>
        <w:tc>
          <w:tcPr>
            <w:tcW w:w="7920" w:type="dxa"/>
            <w:vAlign w:val="bottom"/>
          </w:tcPr>
          <w:p>
            <w:pPr>
              <w:spacing w:after="0"/>
              <w:rPr>
                <w:sz w:val="20"/>
                <w:szCs w:val="20"/>
                <w:color w:val="auto"/>
              </w:rPr>
            </w:pPr>
            <w:r>
              <w:rPr>
                <w:rFonts w:ascii="Arial" w:cs="Arial" w:eastAsia="Arial" w:hAnsi="Arial"/>
                <w:sz w:val="14"/>
                <w:szCs w:val="14"/>
                <w:color w:val="auto"/>
              </w:rPr>
              <w:t>Total assets</w:t>
            </w:r>
          </w:p>
        </w:tc>
        <w:tc>
          <w:tcPr>
            <w:tcW w:w="3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3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830,543</w:t>
            </w:r>
          </w:p>
        </w:tc>
        <w:tc>
          <w:tcPr>
            <w:tcW w:w="180" w:type="dxa"/>
            <w:vAlign w:val="bottom"/>
          </w:tcPr>
          <w:p>
            <w:pPr>
              <w:spacing w:after="0"/>
              <w:rPr>
                <w:sz w:val="14"/>
                <w:szCs w:val="14"/>
                <w:color w:val="auto"/>
              </w:rPr>
            </w:pPr>
          </w:p>
        </w:tc>
        <w:tc>
          <w:tcPr>
            <w:tcW w:w="3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3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848,033</w:t>
            </w:r>
          </w:p>
        </w:tc>
        <w:tc>
          <w:tcPr>
            <w:tcW w:w="0" w:type="dxa"/>
            <w:vAlign w:val="bottom"/>
          </w:tcPr>
          <w:p>
            <w:pPr>
              <w:spacing w:after="0"/>
              <w:rPr>
                <w:sz w:val="1"/>
                <w:szCs w:val="1"/>
                <w:color w:val="auto"/>
              </w:rPr>
            </w:pPr>
          </w:p>
        </w:tc>
      </w:tr>
      <w:tr>
        <w:trPr>
          <w:trHeight w:val="20"/>
        </w:trPr>
        <w:tc>
          <w:tcPr>
            <w:tcW w:w="7920" w:type="dxa"/>
            <w:vAlign w:val="bottom"/>
            <w:vMerge w:val="restart"/>
          </w:tcPr>
          <w:p>
            <w:pPr>
              <w:spacing w:after="0"/>
              <w:rPr>
                <w:sz w:val="20"/>
                <w:szCs w:val="20"/>
                <w:color w:val="auto"/>
              </w:rPr>
            </w:pPr>
            <w:r>
              <w:rPr>
                <w:rFonts w:ascii="Arial" w:cs="Arial" w:eastAsia="Arial" w:hAnsi="Arial"/>
                <w:sz w:val="14"/>
                <w:szCs w:val="14"/>
                <w:b w:val="1"/>
                <w:bCs w:val="1"/>
                <w:color w:val="auto"/>
              </w:rPr>
              <w:t>LIABILITIES AND STOCKHOLDERS’ EQUITY</w:t>
            </w:r>
          </w:p>
        </w:tc>
        <w:tc>
          <w:tcPr>
            <w:tcW w:w="3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3"/>
        </w:trPr>
        <w:tc>
          <w:tcPr>
            <w:tcW w:w="7920" w:type="dxa"/>
            <w:vAlign w:val="bottom"/>
            <w:vMerge w:val="continue"/>
          </w:tcPr>
          <w:p>
            <w:pPr>
              <w:spacing w:after="0"/>
              <w:rPr>
                <w:sz w:val="24"/>
                <w:szCs w:val="24"/>
                <w:color w:val="auto"/>
              </w:rPr>
            </w:pPr>
          </w:p>
        </w:tc>
        <w:tc>
          <w:tcPr>
            <w:tcW w:w="3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4"/>
        </w:trPr>
        <w:tc>
          <w:tcPr>
            <w:tcW w:w="7920" w:type="dxa"/>
            <w:vAlign w:val="bottom"/>
          </w:tcPr>
          <w:p>
            <w:pPr>
              <w:spacing w:after="0"/>
              <w:rPr>
                <w:sz w:val="20"/>
                <w:szCs w:val="20"/>
                <w:color w:val="auto"/>
              </w:rPr>
            </w:pPr>
            <w:r>
              <w:rPr>
                <w:rFonts w:ascii="Arial" w:cs="Arial" w:eastAsia="Arial" w:hAnsi="Arial"/>
                <w:sz w:val="14"/>
                <w:szCs w:val="14"/>
                <w:color w:val="auto"/>
              </w:rPr>
              <w:t>Current liabilities:</w:t>
            </w:r>
          </w:p>
        </w:tc>
        <w:tc>
          <w:tcPr>
            <w:tcW w:w="3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7920" w:type="dxa"/>
            <w:vAlign w:val="bottom"/>
          </w:tcPr>
          <w:p>
            <w:pPr>
              <w:ind w:left="140"/>
              <w:spacing w:after="0"/>
              <w:rPr>
                <w:sz w:val="20"/>
                <w:szCs w:val="20"/>
                <w:color w:val="auto"/>
              </w:rPr>
            </w:pPr>
            <w:r>
              <w:rPr>
                <w:rFonts w:ascii="Arial" w:cs="Arial" w:eastAsia="Arial" w:hAnsi="Arial"/>
                <w:sz w:val="14"/>
                <w:szCs w:val="14"/>
                <w:color w:val="auto"/>
              </w:rPr>
              <w:t>Accounts payable</w:t>
            </w:r>
          </w:p>
        </w:tc>
        <w:tc>
          <w:tcPr>
            <w:tcW w:w="3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300" w:type="dxa"/>
            <w:vAlign w:val="bottom"/>
          </w:tcPr>
          <w:p>
            <w:pPr>
              <w:jc w:val="right"/>
              <w:ind w:right="108"/>
              <w:spacing w:after="0"/>
              <w:rPr>
                <w:sz w:val="20"/>
                <w:szCs w:val="20"/>
                <w:color w:val="auto"/>
              </w:rPr>
            </w:pPr>
            <w:r>
              <w:rPr>
                <w:rFonts w:ascii="Arial" w:cs="Arial" w:eastAsia="Arial" w:hAnsi="Arial"/>
                <w:sz w:val="14"/>
                <w:szCs w:val="14"/>
                <w:color w:val="auto"/>
              </w:rPr>
              <w:t>34,395</w:t>
            </w:r>
          </w:p>
        </w:tc>
        <w:tc>
          <w:tcPr>
            <w:tcW w:w="520" w:type="dxa"/>
            <w:vAlign w:val="bottom"/>
            <w:gridSpan w:val="2"/>
          </w:tcPr>
          <w:p>
            <w:pPr>
              <w:jc w:val="right"/>
              <w:ind w:right="68"/>
              <w:spacing w:after="0"/>
              <w:rPr>
                <w:sz w:val="20"/>
                <w:szCs w:val="20"/>
                <w:color w:val="auto"/>
              </w:rPr>
            </w:pPr>
            <w:r>
              <w:rPr>
                <w:rFonts w:ascii="Arial" w:cs="Arial" w:eastAsia="Arial" w:hAnsi="Arial"/>
                <w:sz w:val="14"/>
                <w:szCs w:val="14"/>
                <w:color w:val="auto"/>
              </w:rPr>
              <w:t>$</w:t>
            </w:r>
          </w:p>
        </w:tc>
        <w:tc>
          <w:tcPr>
            <w:tcW w:w="1340" w:type="dxa"/>
            <w:vAlign w:val="bottom"/>
          </w:tcPr>
          <w:p>
            <w:pPr>
              <w:jc w:val="right"/>
              <w:ind w:right="128"/>
              <w:spacing w:after="0"/>
              <w:rPr>
                <w:sz w:val="20"/>
                <w:szCs w:val="20"/>
                <w:color w:val="auto"/>
              </w:rPr>
            </w:pPr>
            <w:r>
              <w:rPr>
                <w:rFonts w:ascii="Arial" w:cs="Arial" w:eastAsia="Arial" w:hAnsi="Arial"/>
                <w:sz w:val="14"/>
                <w:szCs w:val="14"/>
                <w:color w:val="auto"/>
              </w:rPr>
              <w:t>48,727</w:t>
            </w:r>
          </w:p>
        </w:tc>
        <w:tc>
          <w:tcPr>
            <w:tcW w:w="0" w:type="dxa"/>
            <w:vAlign w:val="bottom"/>
          </w:tcPr>
          <w:p>
            <w:pPr>
              <w:spacing w:after="0"/>
              <w:rPr>
                <w:sz w:val="1"/>
                <w:szCs w:val="1"/>
                <w:color w:val="auto"/>
              </w:rPr>
            </w:pPr>
          </w:p>
        </w:tc>
      </w:tr>
      <w:tr>
        <w:trPr>
          <w:trHeight w:val="176"/>
        </w:trPr>
        <w:tc>
          <w:tcPr>
            <w:tcW w:w="7920" w:type="dxa"/>
            <w:vAlign w:val="bottom"/>
          </w:tcPr>
          <w:p>
            <w:pPr>
              <w:ind w:left="140"/>
              <w:spacing w:after="0"/>
              <w:rPr>
                <w:sz w:val="20"/>
                <w:szCs w:val="20"/>
                <w:color w:val="auto"/>
              </w:rPr>
            </w:pPr>
            <w:r>
              <w:rPr>
                <w:rFonts w:ascii="Arial" w:cs="Arial" w:eastAsia="Arial" w:hAnsi="Arial"/>
                <w:sz w:val="14"/>
                <w:szCs w:val="14"/>
                <w:color w:val="auto"/>
              </w:rPr>
              <w:t>Income taxes payable</w:t>
            </w:r>
          </w:p>
        </w:tc>
        <w:tc>
          <w:tcPr>
            <w:tcW w:w="340" w:type="dxa"/>
            <w:vAlign w:val="bottom"/>
          </w:tcPr>
          <w:p>
            <w:pPr>
              <w:spacing w:after="0"/>
              <w:rPr>
                <w:sz w:val="15"/>
                <w:szCs w:val="15"/>
                <w:color w:val="auto"/>
              </w:rPr>
            </w:pPr>
          </w:p>
        </w:tc>
        <w:tc>
          <w:tcPr>
            <w:tcW w:w="1300" w:type="dxa"/>
            <w:vAlign w:val="bottom"/>
          </w:tcPr>
          <w:p>
            <w:pPr>
              <w:jc w:val="right"/>
              <w:ind w:right="108"/>
              <w:spacing w:after="0"/>
              <w:rPr>
                <w:sz w:val="20"/>
                <w:szCs w:val="20"/>
                <w:color w:val="auto"/>
              </w:rPr>
            </w:pPr>
            <w:r>
              <w:rPr>
                <w:rFonts w:ascii="Arial" w:cs="Arial" w:eastAsia="Arial" w:hAnsi="Arial"/>
                <w:sz w:val="14"/>
                <w:szCs w:val="14"/>
                <w:color w:val="auto"/>
              </w:rPr>
              <w:t>403</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340" w:type="dxa"/>
            <w:vAlign w:val="bottom"/>
          </w:tcPr>
          <w:p>
            <w:pPr>
              <w:jc w:val="right"/>
              <w:ind w:right="128"/>
              <w:spacing w:after="0"/>
              <w:rPr>
                <w:sz w:val="20"/>
                <w:szCs w:val="20"/>
                <w:color w:val="auto"/>
              </w:rPr>
            </w:pPr>
            <w:r>
              <w:rPr>
                <w:rFonts w:ascii="Arial" w:cs="Arial" w:eastAsia="Arial" w:hAnsi="Arial"/>
                <w:sz w:val="14"/>
                <w:szCs w:val="14"/>
                <w:color w:val="auto"/>
              </w:rPr>
              <w:t>4,128</w:t>
            </w:r>
          </w:p>
        </w:tc>
        <w:tc>
          <w:tcPr>
            <w:tcW w:w="0" w:type="dxa"/>
            <w:vAlign w:val="bottom"/>
          </w:tcPr>
          <w:p>
            <w:pPr>
              <w:spacing w:after="0"/>
              <w:rPr>
                <w:sz w:val="1"/>
                <w:szCs w:val="1"/>
                <w:color w:val="auto"/>
              </w:rPr>
            </w:pPr>
          </w:p>
        </w:tc>
      </w:tr>
      <w:tr>
        <w:trPr>
          <w:trHeight w:val="176"/>
        </w:trPr>
        <w:tc>
          <w:tcPr>
            <w:tcW w:w="7920" w:type="dxa"/>
            <w:vAlign w:val="bottom"/>
          </w:tcPr>
          <w:p>
            <w:pPr>
              <w:ind w:left="140"/>
              <w:spacing w:after="0"/>
              <w:rPr>
                <w:sz w:val="20"/>
                <w:szCs w:val="20"/>
                <w:color w:val="auto"/>
              </w:rPr>
            </w:pPr>
            <w:r>
              <w:rPr>
                <w:rFonts w:ascii="Arial" w:cs="Arial" w:eastAsia="Arial" w:hAnsi="Arial"/>
                <w:sz w:val="14"/>
                <w:szCs w:val="14"/>
                <w:color w:val="auto"/>
              </w:rPr>
              <w:t>Current portion of long-term debt</w:t>
            </w:r>
          </w:p>
        </w:tc>
        <w:tc>
          <w:tcPr>
            <w:tcW w:w="340" w:type="dxa"/>
            <w:vAlign w:val="bottom"/>
          </w:tcPr>
          <w:p>
            <w:pPr>
              <w:spacing w:after="0"/>
              <w:rPr>
                <w:sz w:val="15"/>
                <w:szCs w:val="15"/>
                <w:color w:val="auto"/>
              </w:rPr>
            </w:pPr>
          </w:p>
        </w:tc>
        <w:tc>
          <w:tcPr>
            <w:tcW w:w="1300" w:type="dxa"/>
            <w:vAlign w:val="bottom"/>
          </w:tcPr>
          <w:p>
            <w:pPr>
              <w:jc w:val="right"/>
              <w:ind w:right="108"/>
              <w:spacing w:after="0"/>
              <w:rPr>
                <w:sz w:val="20"/>
                <w:szCs w:val="20"/>
                <w:color w:val="auto"/>
              </w:rPr>
            </w:pPr>
            <w:r>
              <w:rPr>
                <w:rFonts w:ascii="Arial" w:cs="Arial" w:eastAsia="Arial" w:hAnsi="Arial"/>
                <w:sz w:val="14"/>
                <w:szCs w:val="14"/>
                <w:color w:val="auto"/>
              </w:rPr>
              <w:t>30,450</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34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1"/>
        </w:trPr>
        <w:tc>
          <w:tcPr>
            <w:tcW w:w="7920" w:type="dxa"/>
            <w:vAlign w:val="bottom"/>
          </w:tcPr>
          <w:p>
            <w:pPr>
              <w:ind w:left="140"/>
              <w:spacing w:after="0"/>
              <w:rPr>
                <w:sz w:val="20"/>
                <w:szCs w:val="20"/>
                <w:color w:val="auto"/>
              </w:rPr>
            </w:pPr>
            <w:r>
              <w:rPr>
                <w:rFonts w:ascii="Arial" w:cs="Arial" w:eastAsia="Arial" w:hAnsi="Arial"/>
                <w:sz w:val="14"/>
                <w:szCs w:val="14"/>
                <w:color w:val="auto"/>
              </w:rPr>
              <w:t>Accrued expenses and other current liabilities</w:t>
            </w:r>
          </w:p>
        </w:tc>
        <w:tc>
          <w:tcPr>
            <w:tcW w:w="340" w:type="dxa"/>
            <w:vAlign w:val="bottom"/>
            <w:tcBorders>
              <w:bottom w:val="single" w:sz="8" w:color="auto"/>
            </w:tcBorders>
          </w:tcPr>
          <w:p>
            <w:pPr>
              <w:spacing w:after="0"/>
              <w:rPr>
                <w:sz w:val="15"/>
                <w:szCs w:val="15"/>
                <w:color w:val="auto"/>
              </w:rPr>
            </w:pPr>
          </w:p>
        </w:tc>
        <w:tc>
          <w:tcPr>
            <w:tcW w:w="13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67,996</w:t>
            </w:r>
          </w:p>
        </w:tc>
        <w:tc>
          <w:tcPr>
            <w:tcW w:w="180" w:type="dxa"/>
            <w:vAlign w:val="bottom"/>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3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40,497</w:t>
            </w:r>
          </w:p>
        </w:tc>
        <w:tc>
          <w:tcPr>
            <w:tcW w:w="0" w:type="dxa"/>
            <w:vAlign w:val="bottom"/>
          </w:tcPr>
          <w:p>
            <w:pPr>
              <w:spacing w:after="0"/>
              <w:rPr>
                <w:sz w:val="1"/>
                <w:szCs w:val="1"/>
                <w:color w:val="auto"/>
              </w:rPr>
            </w:pPr>
          </w:p>
        </w:tc>
      </w:tr>
      <w:tr>
        <w:trPr>
          <w:trHeight w:val="176"/>
        </w:trPr>
        <w:tc>
          <w:tcPr>
            <w:tcW w:w="7920" w:type="dxa"/>
            <w:vAlign w:val="bottom"/>
          </w:tcPr>
          <w:p>
            <w:pPr>
              <w:ind w:left="760"/>
              <w:spacing w:after="0"/>
              <w:rPr>
                <w:sz w:val="20"/>
                <w:szCs w:val="20"/>
                <w:color w:val="auto"/>
              </w:rPr>
            </w:pPr>
            <w:r>
              <w:rPr>
                <w:rFonts w:ascii="Arial" w:cs="Arial" w:eastAsia="Arial" w:hAnsi="Arial"/>
                <w:sz w:val="14"/>
                <w:szCs w:val="14"/>
                <w:color w:val="auto"/>
              </w:rPr>
              <w:t>Total current liabilities</w:t>
            </w:r>
          </w:p>
        </w:tc>
        <w:tc>
          <w:tcPr>
            <w:tcW w:w="340" w:type="dxa"/>
            <w:vAlign w:val="bottom"/>
          </w:tcPr>
          <w:p>
            <w:pPr>
              <w:spacing w:after="0"/>
              <w:rPr>
                <w:sz w:val="15"/>
                <w:szCs w:val="15"/>
                <w:color w:val="auto"/>
              </w:rPr>
            </w:pPr>
          </w:p>
        </w:tc>
        <w:tc>
          <w:tcPr>
            <w:tcW w:w="1300" w:type="dxa"/>
            <w:vAlign w:val="bottom"/>
          </w:tcPr>
          <w:p>
            <w:pPr>
              <w:jc w:val="right"/>
              <w:ind w:right="108"/>
              <w:spacing w:after="0"/>
              <w:rPr>
                <w:sz w:val="20"/>
                <w:szCs w:val="20"/>
                <w:color w:val="auto"/>
              </w:rPr>
            </w:pPr>
            <w:r>
              <w:rPr>
                <w:rFonts w:ascii="Arial" w:cs="Arial" w:eastAsia="Arial" w:hAnsi="Arial"/>
                <w:sz w:val="14"/>
                <w:szCs w:val="14"/>
                <w:color w:val="auto"/>
              </w:rPr>
              <w:t>133,244</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340" w:type="dxa"/>
            <w:vAlign w:val="bottom"/>
          </w:tcPr>
          <w:p>
            <w:pPr>
              <w:jc w:val="right"/>
              <w:ind w:right="128"/>
              <w:spacing w:after="0"/>
              <w:rPr>
                <w:sz w:val="20"/>
                <w:szCs w:val="20"/>
                <w:color w:val="auto"/>
              </w:rPr>
            </w:pPr>
            <w:r>
              <w:rPr>
                <w:rFonts w:ascii="Arial" w:cs="Arial" w:eastAsia="Arial" w:hAnsi="Arial"/>
                <w:sz w:val="14"/>
                <w:szCs w:val="14"/>
                <w:color w:val="auto"/>
              </w:rPr>
              <w:t>93,352</w:t>
            </w:r>
          </w:p>
        </w:tc>
        <w:tc>
          <w:tcPr>
            <w:tcW w:w="0" w:type="dxa"/>
            <w:vAlign w:val="bottom"/>
          </w:tcPr>
          <w:p>
            <w:pPr>
              <w:spacing w:after="0"/>
              <w:rPr>
                <w:sz w:val="1"/>
                <w:szCs w:val="1"/>
                <w:color w:val="auto"/>
              </w:rPr>
            </w:pPr>
          </w:p>
        </w:tc>
      </w:tr>
      <w:tr>
        <w:trPr>
          <w:trHeight w:val="339"/>
        </w:trPr>
        <w:tc>
          <w:tcPr>
            <w:tcW w:w="7920" w:type="dxa"/>
            <w:vAlign w:val="bottom"/>
          </w:tcPr>
          <w:p>
            <w:pPr>
              <w:spacing w:after="0"/>
              <w:rPr>
                <w:sz w:val="20"/>
                <w:szCs w:val="20"/>
                <w:color w:val="auto"/>
              </w:rPr>
            </w:pPr>
            <w:r>
              <w:rPr>
                <w:rFonts w:ascii="Arial" w:cs="Arial" w:eastAsia="Arial" w:hAnsi="Arial"/>
                <w:sz w:val="14"/>
                <w:szCs w:val="14"/>
                <w:color w:val="auto"/>
              </w:rPr>
              <w:t>Long-term debt</w:t>
            </w:r>
          </w:p>
        </w:tc>
        <w:tc>
          <w:tcPr>
            <w:tcW w:w="340" w:type="dxa"/>
            <w:vAlign w:val="bottom"/>
          </w:tcPr>
          <w:p>
            <w:pPr>
              <w:spacing w:after="0"/>
              <w:rPr>
                <w:sz w:val="24"/>
                <w:szCs w:val="24"/>
                <w:color w:val="auto"/>
              </w:rPr>
            </w:pPr>
          </w:p>
        </w:tc>
        <w:tc>
          <w:tcPr>
            <w:tcW w:w="1300" w:type="dxa"/>
            <w:vAlign w:val="bottom"/>
          </w:tcPr>
          <w:p>
            <w:pPr>
              <w:jc w:val="right"/>
              <w:ind w:right="108"/>
              <w:spacing w:after="0"/>
              <w:rPr>
                <w:sz w:val="20"/>
                <w:szCs w:val="20"/>
                <w:color w:val="auto"/>
              </w:rPr>
            </w:pPr>
            <w:r>
              <w:rPr>
                <w:rFonts w:ascii="Arial" w:cs="Arial" w:eastAsia="Arial" w:hAnsi="Arial"/>
                <w:sz w:val="14"/>
                <w:szCs w:val="14"/>
                <w:color w:val="auto"/>
              </w:rPr>
              <w:t>258,972</w:t>
            </w: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40" w:type="dxa"/>
            <w:vAlign w:val="bottom"/>
          </w:tcPr>
          <w:p>
            <w:pPr>
              <w:jc w:val="right"/>
              <w:ind w:right="128"/>
              <w:spacing w:after="0"/>
              <w:rPr>
                <w:sz w:val="20"/>
                <w:szCs w:val="20"/>
                <w:color w:val="auto"/>
              </w:rPr>
            </w:pPr>
            <w:r>
              <w:rPr>
                <w:rFonts w:ascii="Arial" w:cs="Arial" w:eastAsia="Arial" w:hAnsi="Arial"/>
                <w:sz w:val="14"/>
                <w:szCs w:val="14"/>
                <w:color w:val="auto"/>
              </w:rPr>
              <w:t>314,384</w:t>
            </w:r>
          </w:p>
        </w:tc>
        <w:tc>
          <w:tcPr>
            <w:tcW w:w="0" w:type="dxa"/>
            <w:vAlign w:val="bottom"/>
          </w:tcPr>
          <w:p>
            <w:pPr>
              <w:spacing w:after="0"/>
              <w:rPr>
                <w:sz w:val="1"/>
                <w:szCs w:val="1"/>
                <w:color w:val="auto"/>
              </w:rPr>
            </w:pPr>
          </w:p>
        </w:tc>
      </w:tr>
      <w:tr>
        <w:trPr>
          <w:trHeight w:val="176"/>
        </w:trPr>
        <w:tc>
          <w:tcPr>
            <w:tcW w:w="7920" w:type="dxa"/>
            <w:vAlign w:val="bottom"/>
          </w:tcPr>
          <w:p>
            <w:pPr>
              <w:spacing w:after="0"/>
              <w:rPr>
                <w:sz w:val="20"/>
                <w:szCs w:val="20"/>
                <w:color w:val="auto"/>
              </w:rPr>
            </w:pPr>
            <w:r>
              <w:rPr>
                <w:rFonts w:ascii="Arial" w:cs="Arial" w:eastAsia="Arial" w:hAnsi="Arial"/>
                <w:sz w:val="14"/>
                <w:szCs w:val="14"/>
                <w:color w:val="auto"/>
              </w:rPr>
              <w:t>Deferred income taxes</w:t>
            </w:r>
          </w:p>
        </w:tc>
        <w:tc>
          <w:tcPr>
            <w:tcW w:w="340" w:type="dxa"/>
            <w:vAlign w:val="bottom"/>
          </w:tcPr>
          <w:p>
            <w:pPr>
              <w:spacing w:after="0"/>
              <w:rPr>
                <w:sz w:val="15"/>
                <w:szCs w:val="15"/>
                <w:color w:val="auto"/>
              </w:rPr>
            </w:pPr>
          </w:p>
        </w:tc>
        <w:tc>
          <w:tcPr>
            <w:tcW w:w="1300" w:type="dxa"/>
            <w:vAlign w:val="bottom"/>
          </w:tcPr>
          <w:p>
            <w:pPr>
              <w:jc w:val="right"/>
              <w:ind w:right="108"/>
              <w:spacing w:after="0"/>
              <w:rPr>
                <w:sz w:val="20"/>
                <w:szCs w:val="20"/>
                <w:color w:val="auto"/>
              </w:rPr>
            </w:pPr>
            <w:r>
              <w:rPr>
                <w:rFonts w:ascii="Arial" w:cs="Arial" w:eastAsia="Arial" w:hAnsi="Arial"/>
                <w:sz w:val="14"/>
                <w:szCs w:val="14"/>
                <w:color w:val="auto"/>
              </w:rPr>
              <w:t>54,043</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340" w:type="dxa"/>
            <w:vAlign w:val="bottom"/>
          </w:tcPr>
          <w:p>
            <w:pPr>
              <w:jc w:val="right"/>
              <w:ind w:right="128"/>
              <w:spacing w:after="0"/>
              <w:rPr>
                <w:sz w:val="20"/>
                <w:szCs w:val="20"/>
                <w:color w:val="auto"/>
              </w:rPr>
            </w:pPr>
            <w:r>
              <w:rPr>
                <w:rFonts w:ascii="Arial" w:cs="Arial" w:eastAsia="Arial" w:hAnsi="Arial"/>
                <w:sz w:val="14"/>
                <w:szCs w:val="14"/>
                <w:color w:val="auto"/>
              </w:rPr>
              <w:t>57,905</w:t>
            </w:r>
          </w:p>
        </w:tc>
        <w:tc>
          <w:tcPr>
            <w:tcW w:w="0" w:type="dxa"/>
            <w:vAlign w:val="bottom"/>
          </w:tcPr>
          <w:p>
            <w:pPr>
              <w:spacing w:after="0"/>
              <w:rPr>
                <w:sz w:val="1"/>
                <w:szCs w:val="1"/>
                <w:color w:val="auto"/>
              </w:rPr>
            </w:pPr>
          </w:p>
        </w:tc>
      </w:tr>
      <w:tr>
        <w:trPr>
          <w:trHeight w:val="181"/>
        </w:trPr>
        <w:tc>
          <w:tcPr>
            <w:tcW w:w="7920" w:type="dxa"/>
            <w:vAlign w:val="bottom"/>
          </w:tcPr>
          <w:p>
            <w:pPr>
              <w:spacing w:after="0"/>
              <w:rPr>
                <w:sz w:val="20"/>
                <w:szCs w:val="20"/>
                <w:color w:val="auto"/>
              </w:rPr>
            </w:pPr>
            <w:r>
              <w:rPr>
                <w:rFonts w:ascii="Arial" w:cs="Arial" w:eastAsia="Arial" w:hAnsi="Arial"/>
                <w:sz w:val="14"/>
                <w:szCs w:val="14"/>
                <w:color w:val="auto"/>
              </w:rPr>
              <w:t>Other long term liabilities</w:t>
            </w:r>
          </w:p>
        </w:tc>
        <w:tc>
          <w:tcPr>
            <w:tcW w:w="340" w:type="dxa"/>
            <w:vAlign w:val="bottom"/>
            <w:tcBorders>
              <w:bottom w:val="single" w:sz="8" w:color="auto"/>
            </w:tcBorders>
          </w:tcPr>
          <w:p>
            <w:pPr>
              <w:spacing w:after="0"/>
              <w:rPr>
                <w:sz w:val="15"/>
                <w:szCs w:val="15"/>
                <w:color w:val="auto"/>
              </w:rPr>
            </w:pPr>
          </w:p>
        </w:tc>
        <w:tc>
          <w:tcPr>
            <w:tcW w:w="13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4,560</w:t>
            </w:r>
          </w:p>
        </w:tc>
        <w:tc>
          <w:tcPr>
            <w:tcW w:w="180" w:type="dxa"/>
            <w:vAlign w:val="bottom"/>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3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7,601</w:t>
            </w:r>
          </w:p>
        </w:tc>
        <w:tc>
          <w:tcPr>
            <w:tcW w:w="0" w:type="dxa"/>
            <w:vAlign w:val="bottom"/>
          </w:tcPr>
          <w:p>
            <w:pPr>
              <w:spacing w:after="0"/>
              <w:rPr>
                <w:sz w:val="1"/>
                <w:szCs w:val="1"/>
                <w:color w:val="auto"/>
              </w:rPr>
            </w:pPr>
          </w:p>
        </w:tc>
      </w:tr>
      <w:tr>
        <w:trPr>
          <w:trHeight w:val="169"/>
        </w:trPr>
        <w:tc>
          <w:tcPr>
            <w:tcW w:w="7920" w:type="dxa"/>
            <w:vAlign w:val="bottom"/>
          </w:tcPr>
          <w:p>
            <w:pPr>
              <w:ind w:left="760"/>
              <w:spacing w:after="0"/>
              <w:rPr>
                <w:sz w:val="20"/>
                <w:szCs w:val="20"/>
                <w:color w:val="auto"/>
              </w:rPr>
            </w:pPr>
            <w:r>
              <w:rPr>
                <w:rFonts w:ascii="Arial" w:cs="Arial" w:eastAsia="Arial" w:hAnsi="Arial"/>
                <w:sz w:val="14"/>
                <w:szCs w:val="14"/>
                <w:color w:val="auto"/>
              </w:rPr>
              <w:t>Total liabilities</w:t>
            </w:r>
          </w:p>
        </w:tc>
        <w:tc>
          <w:tcPr>
            <w:tcW w:w="34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450,819</w:t>
            </w:r>
          </w:p>
        </w:tc>
        <w:tc>
          <w:tcPr>
            <w:tcW w:w="18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473,242</w:t>
            </w:r>
          </w:p>
        </w:tc>
        <w:tc>
          <w:tcPr>
            <w:tcW w:w="0" w:type="dxa"/>
            <w:vAlign w:val="bottom"/>
          </w:tcPr>
          <w:p>
            <w:pPr>
              <w:spacing w:after="0"/>
              <w:rPr>
                <w:sz w:val="1"/>
                <w:szCs w:val="1"/>
                <w:color w:val="auto"/>
              </w:rPr>
            </w:pPr>
          </w:p>
        </w:tc>
      </w:tr>
      <w:tr>
        <w:trPr>
          <w:trHeight w:val="164"/>
        </w:trPr>
        <w:tc>
          <w:tcPr>
            <w:tcW w:w="7920" w:type="dxa"/>
            <w:vAlign w:val="bottom"/>
          </w:tcPr>
          <w:p>
            <w:pPr>
              <w:spacing w:after="0"/>
              <w:rPr>
                <w:sz w:val="20"/>
                <w:szCs w:val="20"/>
                <w:color w:val="auto"/>
              </w:rPr>
            </w:pPr>
            <w:r>
              <w:rPr>
                <w:rFonts w:ascii="Arial" w:cs="Arial" w:eastAsia="Arial" w:hAnsi="Arial"/>
                <w:sz w:val="14"/>
                <w:szCs w:val="14"/>
                <w:color w:val="auto"/>
              </w:rPr>
              <w:t>Stockholders' equity:</w:t>
            </w:r>
          </w:p>
        </w:tc>
        <w:tc>
          <w:tcPr>
            <w:tcW w:w="34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7920" w:type="dxa"/>
            <w:vAlign w:val="bottom"/>
          </w:tcPr>
          <w:p>
            <w:pPr>
              <w:ind w:left="140"/>
              <w:spacing w:after="0"/>
              <w:rPr>
                <w:sz w:val="20"/>
                <w:szCs w:val="20"/>
                <w:color w:val="auto"/>
              </w:rPr>
            </w:pPr>
            <w:r>
              <w:rPr>
                <w:rFonts w:ascii="Arial" w:cs="Arial" w:eastAsia="Arial" w:hAnsi="Arial"/>
                <w:sz w:val="14"/>
                <w:szCs w:val="14"/>
                <w:color w:val="auto"/>
              </w:rPr>
              <w:t>Preferred stock</w:t>
            </w:r>
          </w:p>
        </w:tc>
        <w:tc>
          <w:tcPr>
            <w:tcW w:w="340" w:type="dxa"/>
            <w:vAlign w:val="bottom"/>
          </w:tcPr>
          <w:p>
            <w:pPr>
              <w:spacing w:after="0"/>
              <w:rPr>
                <w:sz w:val="15"/>
                <w:szCs w:val="15"/>
                <w:color w:val="auto"/>
              </w:rPr>
            </w:pPr>
          </w:p>
        </w:tc>
        <w:tc>
          <w:tcPr>
            <w:tcW w:w="13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34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6"/>
        </w:trPr>
        <w:tc>
          <w:tcPr>
            <w:tcW w:w="7920" w:type="dxa"/>
            <w:vAlign w:val="bottom"/>
          </w:tcPr>
          <w:p>
            <w:pPr>
              <w:ind w:left="140"/>
              <w:spacing w:after="0"/>
              <w:rPr>
                <w:sz w:val="20"/>
                <w:szCs w:val="20"/>
                <w:color w:val="auto"/>
              </w:rPr>
            </w:pPr>
            <w:r>
              <w:rPr>
                <w:rFonts w:ascii="Arial" w:cs="Arial" w:eastAsia="Arial" w:hAnsi="Arial"/>
                <w:sz w:val="14"/>
                <w:szCs w:val="14"/>
                <w:color w:val="auto"/>
              </w:rPr>
              <w:t>Common stock</w:t>
            </w:r>
          </w:p>
        </w:tc>
        <w:tc>
          <w:tcPr>
            <w:tcW w:w="340" w:type="dxa"/>
            <w:vAlign w:val="bottom"/>
          </w:tcPr>
          <w:p>
            <w:pPr>
              <w:spacing w:after="0"/>
              <w:rPr>
                <w:sz w:val="15"/>
                <w:szCs w:val="15"/>
                <w:color w:val="auto"/>
              </w:rPr>
            </w:pPr>
          </w:p>
        </w:tc>
        <w:tc>
          <w:tcPr>
            <w:tcW w:w="1300" w:type="dxa"/>
            <w:vAlign w:val="bottom"/>
          </w:tcPr>
          <w:p>
            <w:pPr>
              <w:jc w:val="right"/>
              <w:ind w:right="108"/>
              <w:spacing w:after="0"/>
              <w:rPr>
                <w:sz w:val="20"/>
                <w:szCs w:val="20"/>
                <w:color w:val="auto"/>
              </w:rPr>
            </w:pPr>
            <w:r>
              <w:rPr>
                <w:rFonts w:ascii="Arial" w:cs="Arial" w:eastAsia="Arial" w:hAnsi="Arial"/>
                <w:sz w:val="14"/>
                <w:szCs w:val="14"/>
                <w:color w:val="auto"/>
              </w:rPr>
              <w:t>23</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340" w:type="dxa"/>
            <w:vAlign w:val="bottom"/>
          </w:tcPr>
          <w:p>
            <w:pPr>
              <w:jc w:val="right"/>
              <w:ind w:right="128"/>
              <w:spacing w:after="0"/>
              <w:rPr>
                <w:sz w:val="20"/>
                <w:szCs w:val="20"/>
                <w:color w:val="auto"/>
              </w:rPr>
            </w:pPr>
            <w:r>
              <w:rPr>
                <w:rFonts w:ascii="Arial" w:cs="Arial" w:eastAsia="Arial" w:hAnsi="Arial"/>
                <w:sz w:val="14"/>
                <w:szCs w:val="14"/>
                <w:color w:val="auto"/>
              </w:rPr>
              <w:t>23</w:t>
            </w:r>
          </w:p>
        </w:tc>
        <w:tc>
          <w:tcPr>
            <w:tcW w:w="0" w:type="dxa"/>
            <w:vAlign w:val="bottom"/>
          </w:tcPr>
          <w:p>
            <w:pPr>
              <w:spacing w:after="0"/>
              <w:rPr>
                <w:sz w:val="1"/>
                <w:szCs w:val="1"/>
                <w:color w:val="auto"/>
              </w:rPr>
            </w:pPr>
          </w:p>
        </w:tc>
      </w:tr>
      <w:tr>
        <w:trPr>
          <w:trHeight w:val="176"/>
        </w:trPr>
        <w:tc>
          <w:tcPr>
            <w:tcW w:w="7920" w:type="dxa"/>
            <w:vAlign w:val="bottom"/>
          </w:tcPr>
          <w:p>
            <w:pPr>
              <w:ind w:left="140"/>
              <w:spacing w:after="0"/>
              <w:rPr>
                <w:sz w:val="20"/>
                <w:szCs w:val="20"/>
                <w:color w:val="auto"/>
              </w:rPr>
            </w:pPr>
            <w:r>
              <w:rPr>
                <w:rFonts w:ascii="Arial" w:cs="Arial" w:eastAsia="Arial" w:hAnsi="Arial"/>
                <w:sz w:val="14"/>
                <w:szCs w:val="14"/>
                <w:color w:val="auto"/>
              </w:rPr>
              <w:t>Additional paid-in capital</w:t>
            </w:r>
          </w:p>
        </w:tc>
        <w:tc>
          <w:tcPr>
            <w:tcW w:w="340" w:type="dxa"/>
            <w:vAlign w:val="bottom"/>
          </w:tcPr>
          <w:p>
            <w:pPr>
              <w:spacing w:after="0"/>
              <w:rPr>
                <w:sz w:val="15"/>
                <w:szCs w:val="15"/>
                <w:color w:val="auto"/>
              </w:rPr>
            </w:pPr>
          </w:p>
        </w:tc>
        <w:tc>
          <w:tcPr>
            <w:tcW w:w="1300" w:type="dxa"/>
            <w:vAlign w:val="bottom"/>
          </w:tcPr>
          <w:p>
            <w:pPr>
              <w:jc w:val="right"/>
              <w:ind w:right="108"/>
              <w:spacing w:after="0"/>
              <w:rPr>
                <w:sz w:val="20"/>
                <w:szCs w:val="20"/>
                <w:color w:val="auto"/>
              </w:rPr>
            </w:pPr>
            <w:r>
              <w:rPr>
                <w:rFonts w:ascii="Arial" w:cs="Arial" w:eastAsia="Arial" w:hAnsi="Arial"/>
                <w:sz w:val="14"/>
                <w:szCs w:val="14"/>
                <w:color w:val="auto"/>
              </w:rPr>
              <w:t>291,926</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340" w:type="dxa"/>
            <w:vAlign w:val="bottom"/>
          </w:tcPr>
          <w:p>
            <w:pPr>
              <w:jc w:val="right"/>
              <w:ind w:right="128"/>
              <w:spacing w:after="0"/>
              <w:rPr>
                <w:sz w:val="20"/>
                <w:szCs w:val="20"/>
                <w:color w:val="auto"/>
              </w:rPr>
            </w:pPr>
            <w:r>
              <w:rPr>
                <w:rFonts w:ascii="Arial" w:cs="Arial" w:eastAsia="Arial" w:hAnsi="Arial"/>
                <w:sz w:val="14"/>
                <w:szCs w:val="14"/>
                <w:color w:val="auto"/>
              </w:rPr>
              <w:t>283,322</w:t>
            </w:r>
          </w:p>
        </w:tc>
        <w:tc>
          <w:tcPr>
            <w:tcW w:w="0" w:type="dxa"/>
            <w:vAlign w:val="bottom"/>
          </w:tcPr>
          <w:p>
            <w:pPr>
              <w:spacing w:after="0"/>
              <w:rPr>
                <w:sz w:val="1"/>
                <w:szCs w:val="1"/>
                <w:color w:val="auto"/>
              </w:rPr>
            </w:pPr>
          </w:p>
        </w:tc>
      </w:tr>
      <w:tr>
        <w:trPr>
          <w:trHeight w:val="176"/>
        </w:trPr>
        <w:tc>
          <w:tcPr>
            <w:tcW w:w="7920" w:type="dxa"/>
            <w:vAlign w:val="bottom"/>
          </w:tcPr>
          <w:p>
            <w:pPr>
              <w:ind w:left="140"/>
              <w:spacing w:after="0"/>
              <w:rPr>
                <w:sz w:val="20"/>
                <w:szCs w:val="20"/>
                <w:color w:val="auto"/>
              </w:rPr>
            </w:pPr>
            <w:r>
              <w:rPr>
                <w:rFonts w:ascii="Arial" w:cs="Arial" w:eastAsia="Arial" w:hAnsi="Arial"/>
                <w:sz w:val="14"/>
                <w:szCs w:val="14"/>
                <w:color w:val="auto"/>
              </w:rPr>
              <w:t>Treasury stock</w:t>
            </w:r>
          </w:p>
        </w:tc>
        <w:tc>
          <w:tcPr>
            <w:tcW w:w="340" w:type="dxa"/>
            <w:vAlign w:val="bottom"/>
          </w:tcPr>
          <w:p>
            <w:pPr>
              <w:spacing w:after="0"/>
              <w:rPr>
                <w:sz w:val="15"/>
                <w:szCs w:val="15"/>
                <w:color w:val="auto"/>
              </w:rPr>
            </w:pPr>
          </w:p>
        </w:tc>
        <w:tc>
          <w:tcPr>
            <w:tcW w:w="1300" w:type="dxa"/>
            <w:vAlign w:val="bottom"/>
          </w:tcPr>
          <w:p>
            <w:pPr>
              <w:jc w:val="right"/>
              <w:ind w:right="68"/>
              <w:spacing w:after="0"/>
              <w:rPr>
                <w:sz w:val="20"/>
                <w:szCs w:val="20"/>
                <w:color w:val="auto"/>
              </w:rPr>
            </w:pPr>
            <w:r>
              <w:rPr>
                <w:rFonts w:ascii="Arial" w:cs="Arial" w:eastAsia="Arial" w:hAnsi="Arial"/>
                <w:sz w:val="14"/>
                <w:szCs w:val="14"/>
                <w:color w:val="auto"/>
              </w:rPr>
              <w:t>(635)</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340" w:type="dxa"/>
            <w:vAlign w:val="bottom"/>
          </w:tcPr>
          <w:p>
            <w:pPr>
              <w:jc w:val="right"/>
              <w:ind w:right="88"/>
              <w:spacing w:after="0"/>
              <w:rPr>
                <w:sz w:val="20"/>
                <w:szCs w:val="20"/>
                <w:color w:val="auto"/>
              </w:rPr>
            </w:pPr>
            <w:r>
              <w:rPr>
                <w:rFonts w:ascii="Arial" w:cs="Arial" w:eastAsia="Arial" w:hAnsi="Arial"/>
                <w:sz w:val="14"/>
                <w:szCs w:val="14"/>
                <w:color w:val="auto"/>
              </w:rPr>
              <w:t>(741)</w:t>
            </w:r>
          </w:p>
        </w:tc>
        <w:tc>
          <w:tcPr>
            <w:tcW w:w="0" w:type="dxa"/>
            <w:vAlign w:val="bottom"/>
          </w:tcPr>
          <w:p>
            <w:pPr>
              <w:spacing w:after="0"/>
              <w:rPr>
                <w:sz w:val="1"/>
                <w:szCs w:val="1"/>
                <w:color w:val="auto"/>
              </w:rPr>
            </w:pPr>
          </w:p>
        </w:tc>
      </w:tr>
      <w:tr>
        <w:trPr>
          <w:trHeight w:val="176"/>
        </w:trPr>
        <w:tc>
          <w:tcPr>
            <w:tcW w:w="7920" w:type="dxa"/>
            <w:vAlign w:val="bottom"/>
          </w:tcPr>
          <w:p>
            <w:pPr>
              <w:ind w:left="140"/>
              <w:spacing w:after="0"/>
              <w:rPr>
                <w:sz w:val="20"/>
                <w:szCs w:val="20"/>
                <w:color w:val="auto"/>
              </w:rPr>
            </w:pPr>
            <w:r>
              <w:rPr>
                <w:rFonts w:ascii="Arial" w:cs="Arial" w:eastAsia="Arial" w:hAnsi="Arial"/>
                <w:sz w:val="14"/>
                <w:szCs w:val="14"/>
                <w:color w:val="auto"/>
              </w:rPr>
              <w:t>Retained earnings</w:t>
            </w:r>
          </w:p>
        </w:tc>
        <w:tc>
          <w:tcPr>
            <w:tcW w:w="340" w:type="dxa"/>
            <w:vAlign w:val="bottom"/>
          </w:tcPr>
          <w:p>
            <w:pPr>
              <w:spacing w:after="0"/>
              <w:rPr>
                <w:sz w:val="15"/>
                <w:szCs w:val="15"/>
                <w:color w:val="auto"/>
              </w:rPr>
            </w:pPr>
          </w:p>
        </w:tc>
        <w:tc>
          <w:tcPr>
            <w:tcW w:w="1300" w:type="dxa"/>
            <w:vAlign w:val="bottom"/>
          </w:tcPr>
          <w:p>
            <w:pPr>
              <w:jc w:val="right"/>
              <w:ind w:right="108"/>
              <w:spacing w:after="0"/>
              <w:rPr>
                <w:sz w:val="20"/>
                <w:szCs w:val="20"/>
                <w:color w:val="auto"/>
              </w:rPr>
            </w:pPr>
            <w:r>
              <w:rPr>
                <w:rFonts w:ascii="Arial" w:cs="Arial" w:eastAsia="Arial" w:hAnsi="Arial"/>
                <w:sz w:val="14"/>
                <w:szCs w:val="14"/>
                <w:color w:val="auto"/>
              </w:rPr>
              <w:t>86,262</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340" w:type="dxa"/>
            <w:vAlign w:val="bottom"/>
          </w:tcPr>
          <w:p>
            <w:pPr>
              <w:jc w:val="right"/>
              <w:ind w:right="128"/>
              <w:spacing w:after="0"/>
              <w:rPr>
                <w:sz w:val="20"/>
                <w:szCs w:val="20"/>
                <w:color w:val="auto"/>
              </w:rPr>
            </w:pPr>
            <w:r>
              <w:rPr>
                <w:rFonts w:ascii="Arial" w:cs="Arial" w:eastAsia="Arial" w:hAnsi="Arial"/>
                <w:sz w:val="14"/>
                <w:szCs w:val="14"/>
                <w:color w:val="auto"/>
              </w:rPr>
              <w:t>95,263</w:t>
            </w:r>
          </w:p>
        </w:tc>
        <w:tc>
          <w:tcPr>
            <w:tcW w:w="0" w:type="dxa"/>
            <w:vAlign w:val="bottom"/>
          </w:tcPr>
          <w:p>
            <w:pPr>
              <w:spacing w:after="0"/>
              <w:rPr>
                <w:sz w:val="1"/>
                <w:szCs w:val="1"/>
                <w:color w:val="auto"/>
              </w:rPr>
            </w:pPr>
          </w:p>
        </w:tc>
      </w:tr>
      <w:tr>
        <w:trPr>
          <w:trHeight w:val="181"/>
        </w:trPr>
        <w:tc>
          <w:tcPr>
            <w:tcW w:w="7920" w:type="dxa"/>
            <w:vAlign w:val="bottom"/>
          </w:tcPr>
          <w:p>
            <w:pPr>
              <w:ind w:left="140"/>
              <w:spacing w:after="0"/>
              <w:rPr>
                <w:sz w:val="20"/>
                <w:szCs w:val="20"/>
                <w:color w:val="auto"/>
              </w:rPr>
            </w:pPr>
            <w:r>
              <w:rPr>
                <w:rFonts w:ascii="Arial" w:cs="Arial" w:eastAsia="Arial" w:hAnsi="Arial"/>
                <w:sz w:val="14"/>
                <w:szCs w:val="14"/>
                <w:color w:val="auto"/>
              </w:rPr>
              <w:t>Accumulated other comprehensive income (loss)</w:t>
            </w:r>
          </w:p>
        </w:tc>
        <w:tc>
          <w:tcPr>
            <w:tcW w:w="340" w:type="dxa"/>
            <w:vAlign w:val="bottom"/>
            <w:tcBorders>
              <w:bottom w:val="single" w:sz="8" w:color="auto"/>
            </w:tcBorders>
          </w:tcPr>
          <w:p>
            <w:pPr>
              <w:spacing w:after="0"/>
              <w:rPr>
                <w:sz w:val="15"/>
                <w:szCs w:val="15"/>
                <w:color w:val="auto"/>
              </w:rPr>
            </w:pPr>
          </w:p>
        </w:tc>
        <w:tc>
          <w:tcPr>
            <w:tcW w:w="13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2,148</w:t>
            </w:r>
          </w:p>
        </w:tc>
        <w:tc>
          <w:tcPr>
            <w:tcW w:w="180" w:type="dxa"/>
            <w:vAlign w:val="bottom"/>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3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(3,076)</w:t>
            </w:r>
          </w:p>
        </w:tc>
        <w:tc>
          <w:tcPr>
            <w:tcW w:w="0" w:type="dxa"/>
            <w:vAlign w:val="bottom"/>
          </w:tcPr>
          <w:p>
            <w:pPr>
              <w:spacing w:after="0"/>
              <w:rPr>
                <w:sz w:val="1"/>
                <w:szCs w:val="1"/>
                <w:color w:val="auto"/>
              </w:rPr>
            </w:pPr>
          </w:p>
        </w:tc>
      </w:tr>
      <w:tr>
        <w:trPr>
          <w:trHeight w:val="169"/>
        </w:trPr>
        <w:tc>
          <w:tcPr>
            <w:tcW w:w="7920" w:type="dxa"/>
            <w:vAlign w:val="bottom"/>
          </w:tcPr>
          <w:p>
            <w:pPr>
              <w:ind w:left="760"/>
              <w:spacing w:after="0"/>
              <w:rPr>
                <w:sz w:val="20"/>
                <w:szCs w:val="20"/>
                <w:color w:val="auto"/>
              </w:rPr>
            </w:pPr>
            <w:r>
              <w:rPr>
                <w:rFonts w:ascii="Arial" w:cs="Arial" w:eastAsia="Arial" w:hAnsi="Arial"/>
                <w:sz w:val="14"/>
                <w:szCs w:val="14"/>
                <w:color w:val="auto"/>
              </w:rPr>
              <w:t>Total stockholders’ equity</w:t>
            </w:r>
          </w:p>
        </w:tc>
        <w:tc>
          <w:tcPr>
            <w:tcW w:w="34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379,724</w:t>
            </w:r>
          </w:p>
        </w:tc>
        <w:tc>
          <w:tcPr>
            <w:tcW w:w="18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374,791</w:t>
            </w:r>
          </w:p>
        </w:tc>
        <w:tc>
          <w:tcPr>
            <w:tcW w:w="0" w:type="dxa"/>
            <w:vAlign w:val="bottom"/>
          </w:tcPr>
          <w:p>
            <w:pPr>
              <w:spacing w:after="0"/>
              <w:rPr>
                <w:sz w:val="1"/>
                <w:szCs w:val="1"/>
                <w:color w:val="auto"/>
              </w:rPr>
            </w:pPr>
          </w:p>
        </w:tc>
      </w:tr>
      <w:tr>
        <w:trPr>
          <w:trHeight w:val="169"/>
        </w:trPr>
        <w:tc>
          <w:tcPr>
            <w:tcW w:w="7920" w:type="dxa"/>
            <w:vAlign w:val="bottom"/>
          </w:tcPr>
          <w:p>
            <w:pPr>
              <w:spacing w:after="0"/>
              <w:rPr>
                <w:sz w:val="20"/>
                <w:szCs w:val="20"/>
                <w:color w:val="auto"/>
              </w:rPr>
            </w:pPr>
            <w:r>
              <w:rPr>
                <w:rFonts w:ascii="Arial" w:cs="Arial" w:eastAsia="Arial" w:hAnsi="Arial"/>
                <w:sz w:val="14"/>
                <w:szCs w:val="14"/>
                <w:color w:val="auto"/>
              </w:rPr>
              <w:t>Total liabilities and stockholders' equity</w:t>
            </w:r>
          </w:p>
        </w:tc>
        <w:tc>
          <w:tcPr>
            <w:tcW w:w="3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3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830,543</w:t>
            </w:r>
          </w:p>
        </w:tc>
        <w:tc>
          <w:tcPr>
            <w:tcW w:w="180" w:type="dxa"/>
            <w:vAlign w:val="bottom"/>
          </w:tcPr>
          <w:p>
            <w:pPr>
              <w:spacing w:after="0"/>
              <w:rPr>
                <w:sz w:val="14"/>
                <w:szCs w:val="14"/>
                <w:color w:val="auto"/>
              </w:rPr>
            </w:pPr>
          </w:p>
        </w:tc>
        <w:tc>
          <w:tcPr>
            <w:tcW w:w="3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3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848,033</w:t>
            </w:r>
          </w:p>
        </w:tc>
        <w:tc>
          <w:tcPr>
            <w:tcW w:w="0" w:type="dxa"/>
            <w:vAlign w:val="bottom"/>
          </w:tcPr>
          <w:p>
            <w:pPr>
              <w:spacing w:after="0"/>
              <w:rPr>
                <w:sz w:val="1"/>
                <w:szCs w:val="1"/>
                <w:color w:val="auto"/>
              </w:rPr>
            </w:pPr>
          </w:p>
        </w:tc>
      </w:tr>
      <w:tr>
        <w:trPr>
          <w:trHeight w:val="20"/>
        </w:trPr>
        <w:tc>
          <w:tcPr>
            <w:tcW w:w="79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5" w:lineRule="exact"/>
        <w:rPr>
          <w:sz w:val="20"/>
          <w:szCs w:val="20"/>
          <w:color w:val="auto"/>
        </w:rPr>
      </w:pPr>
    </w:p>
    <w:p>
      <w:pPr>
        <w:ind w:right="200" w:firstLine="8"/>
        <w:spacing w:after="0" w:line="251" w:lineRule="auto"/>
        <w:tabs>
          <w:tab w:leader="none" w:pos="306" w:val="left"/>
        </w:tabs>
        <w:numPr>
          <w:ilvl w:val="0"/>
          <w:numId w:val="3"/>
        </w:numPr>
        <w:rPr>
          <w:rFonts w:ascii="Arial" w:cs="Arial" w:eastAsia="Arial" w:hAnsi="Arial"/>
          <w:sz w:val="22"/>
          <w:szCs w:val="22"/>
          <w:color w:val="auto"/>
        </w:rPr>
      </w:pPr>
      <w:r>
        <w:rPr>
          <w:rFonts w:ascii="Arial" w:cs="Arial" w:eastAsia="Arial" w:hAnsi="Arial"/>
          <w:sz w:val="22"/>
          <w:szCs w:val="22"/>
          <w:color w:val="auto"/>
        </w:rPr>
        <w:t>January 2, 2009 amounts have been retroactively adjusted, as required by GAAP, to reflect the change in accounting related to convertible debt adopted in 2009.</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238" w:lineRule="auto"/>
        <w:rPr>
          <w:sz w:val="20"/>
          <w:szCs w:val="20"/>
          <w:color w:val="auto"/>
        </w:rPr>
      </w:pPr>
      <w:r>
        <w:rPr>
          <w:rFonts w:ascii="Arial" w:cs="Arial" w:eastAsia="Arial" w:hAnsi="Arial"/>
          <w:sz w:val="22"/>
          <w:szCs w:val="22"/>
          <w:color w:val="auto"/>
        </w:rPr>
        <w:t>Greatbatch, Inc.</w:t>
      </w:r>
    </w:p>
    <w:p>
      <w:pPr>
        <w:spacing w:after="0" w:line="230" w:lineRule="auto"/>
        <w:rPr>
          <w:sz w:val="20"/>
          <w:szCs w:val="20"/>
          <w:color w:val="auto"/>
        </w:rPr>
      </w:pPr>
      <w:r>
        <w:rPr>
          <w:rFonts w:ascii="Arial" w:cs="Arial" w:eastAsia="Arial" w:hAnsi="Arial"/>
          <w:sz w:val="22"/>
          <w:szCs w:val="22"/>
          <w:color w:val="auto"/>
        </w:rPr>
        <w:t>Marco Benedetti, 716-759-5856</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Corporate Controller &amp; Treasurer</w:t>
      </w:r>
    </w:p>
    <w:sectPr>
      <w:pgSz w:w="11900" w:h="16838" w:orient="portrait"/>
      <w:cols w:equalWidth="0" w:num="1">
        <w:col w:w="11420"/>
      </w:cols>
      <w:pgMar w:left="240" w:top="13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2"/>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2020-02-22T00:18:10Z</dcterms:created>
  <dcterms:modified xsi:type="dcterms:W3CDTF">2020-02-22T00:18:10Z</dcterms:modified>
</cp:coreProperties>
</file>