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U.S. SECURITIES AND EXCHANGE COMMISSION</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May 23,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INTEGER HOLDINGS CORPORATION</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20" w:type="dxa"/>
        <w:tblCellMar>
          <w:top w:w="0" w:type="dxa"/>
          <w:left w:w="0" w:type="dxa"/>
          <w:bottom w:w="0" w:type="dxa"/>
          <w:right w:w="0" w:type="dxa"/>
        </w:tblCellMar>
      </w:tblPr>
      <w:tr>
        <w:trPr>
          <w:trHeight w:val="212"/>
        </w:trPr>
        <w:tc>
          <w:tcPr>
            <w:tcW w:w="4200" w:type="dxa"/>
            <w:vAlign w:val="bottom"/>
          </w:tcPr>
          <w:p>
            <w:pPr>
              <w:jc w:val="center"/>
              <w:ind w:right="2281"/>
              <w:spacing w:after="0"/>
              <w:rPr>
                <w:sz w:val="20"/>
                <w:szCs w:val="20"/>
                <w:color w:val="auto"/>
              </w:rPr>
            </w:pPr>
            <w:r>
              <w:rPr>
                <w:rFonts w:ascii="Arial" w:cs="Arial" w:eastAsia="Arial" w:hAnsi="Arial"/>
                <w:sz w:val="18"/>
                <w:szCs w:val="18"/>
                <w:b w:val="1"/>
                <w:bCs w:val="1"/>
                <w:color w:val="auto"/>
                <w:w w:val="91"/>
              </w:rPr>
              <w:t>Delaware</w:t>
            </w:r>
          </w:p>
        </w:tc>
        <w:tc>
          <w:tcPr>
            <w:tcW w:w="2420" w:type="dxa"/>
            <w:vAlign w:val="bottom"/>
          </w:tcPr>
          <w:p>
            <w:pPr>
              <w:jc w:val="center"/>
              <w:ind w:right="1102"/>
              <w:spacing w:after="0"/>
              <w:rPr>
                <w:sz w:val="20"/>
                <w:szCs w:val="20"/>
                <w:color w:val="auto"/>
              </w:rPr>
            </w:pPr>
            <w:r>
              <w:rPr>
                <w:rFonts w:ascii="Arial" w:cs="Arial" w:eastAsia="Arial" w:hAnsi="Arial"/>
                <w:sz w:val="18"/>
                <w:szCs w:val="18"/>
                <w:b w:val="1"/>
                <w:bCs w:val="1"/>
                <w:color w:val="auto"/>
                <w:w w:val="90"/>
              </w:rPr>
              <w:t>1-16137</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16-1531026</w:t>
            </w:r>
          </w:p>
        </w:tc>
      </w:tr>
      <w:tr>
        <w:trPr>
          <w:trHeight w:val="149"/>
        </w:trPr>
        <w:tc>
          <w:tcPr>
            <w:tcW w:w="4200" w:type="dxa"/>
            <w:vAlign w:val="bottom"/>
          </w:tcPr>
          <w:p>
            <w:pPr>
              <w:jc w:val="center"/>
              <w:ind w:right="2261"/>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420" w:type="dxa"/>
            <w:vAlign w:val="bottom"/>
          </w:tcPr>
          <w:p>
            <w:pPr>
              <w:jc w:val="center"/>
              <w:ind w:right="1102"/>
              <w:spacing w:after="0" w:line="149" w:lineRule="exact"/>
              <w:rPr>
                <w:sz w:val="20"/>
                <w:szCs w:val="20"/>
                <w:color w:val="auto"/>
              </w:rPr>
            </w:pPr>
            <w:r>
              <w:rPr>
                <w:rFonts w:ascii="Arial" w:cs="Arial" w:eastAsia="Arial" w:hAnsi="Arial"/>
                <w:sz w:val="14"/>
                <w:szCs w:val="14"/>
                <w:b w:val="1"/>
                <w:bCs w:val="1"/>
                <w:color w:val="auto"/>
                <w:w w:val="90"/>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200" w:type="dxa"/>
            <w:vAlign w:val="bottom"/>
          </w:tcPr>
          <w:p>
            <w:pPr>
              <w:jc w:val="center"/>
              <w:ind w:right="2261"/>
              <w:spacing w:after="0"/>
              <w:rPr>
                <w:sz w:val="20"/>
                <w:szCs w:val="20"/>
                <w:color w:val="auto"/>
              </w:rPr>
            </w:pPr>
            <w:r>
              <w:rPr>
                <w:rFonts w:ascii="Arial" w:cs="Arial" w:eastAsia="Arial" w:hAnsi="Arial"/>
                <w:sz w:val="14"/>
                <w:szCs w:val="14"/>
                <w:b w:val="1"/>
                <w:bCs w:val="1"/>
                <w:color w:val="auto"/>
                <w:w w:val="94"/>
              </w:rPr>
              <w:t>Incorporation)</w:t>
            </w:r>
          </w:p>
        </w:tc>
        <w:tc>
          <w:tcPr>
            <w:tcW w:w="2420" w:type="dxa"/>
            <w:vAlign w:val="bottom"/>
          </w:tcPr>
          <w:p>
            <w:pPr>
              <w:jc w:val="center"/>
              <w:ind w:right="1102"/>
              <w:spacing w:after="0"/>
              <w:rPr>
                <w:sz w:val="20"/>
                <w:szCs w:val="20"/>
                <w:color w:val="auto"/>
              </w:rPr>
            </w:pPr>
            <w:r>
              <w:rPr>
                <w:rFonts w:ascii="Arial" w:cs="Arial" w:eastAsia="Arial" w:hAnsi="Arial"/>
                <w:sz w:val="14"/>
                <w:szCs w:val="14"/>
                <w:b w:val="1"/>
                <w:bCs w:val="1"/>
                <w:color w:val="auto"/>
                <w:w w:val="98"/>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35"/>
        </w:trPr>
        <w:tc>
          <w:tcPr>
            <w:tcW w:w="6620" w:type="dxa"/>
            <w:vAlign w:val="bottom"/>
            <w:gridSpan w:val="2"/>
          </w:tcPr>
          <w:p>
            <w:pPr>
              <w:jc w:val="center"/>
              <w:ind w:right="922"/>
              <w:spacing w:after="0"/>
              <w:rPr>
                <w:sz w:val="20"/>
                <w:szCs w:val="20"/>
                <w:color w:val="auto"/>
              </w:rPr>
            </w:pPr>
            <w:r>
              <w:rPr>
                <w:rFonts w:ascii="Arial" w:cs="Arial" w:eastAsia="Arial" w:hAnsi="Arial"/>
                <w:sz w:val="18"/>
                <w:szCs w:val="18"/>
                <w:b w:val="1"/>
                <w:bCs w:val="1"/>
                <w:color w:val="auto"/>
                <w:w w:val="89"/>
              </w:rPr>
              <w:t>2595 Dallas Parkway, Suite 310, Frisco, Texas</w:t>
            </w: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75034</w:t>
            </w:r>
          </w:p>
        </w:tc>
      </w:tr>
      <w:tr>
        <w:trPr>
          <w:trHeight w:val="186"/>
        </w:trPr>
        <w:tc>
          <w:tcPr>
            <w:tcW w:w="4200" w:type="dxa"/>
            <w:vAlign w:val="bottom"/>
          </w:tcPr>
          <w:p>
            <w:pPr>
              <w:jc w:val="center"/>
              <w:ind w:left="134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42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(214) 618-5243</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138" w:lineRule="exact"/>
        <w:rPr>
          <w:sz w:val="24"/>
          <w:szCs w:val="24"/>
          <w:color w:val="auto"/>
        </w:rPr>
      </w:pPr>
    </w:p>
    <w:p>
      <w:pPr>
        <w:ind w:left="920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1" w:name="page2"/>
    <w:bookmarkEnd w:id="1"/>
    <w:p>
      <w:pPr>
        <w:ind w:left="1380" w:right="40" w:hanging="1363"/>
        <w:spacing w:after="0" w:line="282" w:lineRule="auto"/>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(b), (c) and (e). Integer Holdings Corporation (the “Company”) today announced that Gary J. Haire, the Company’s Executive Vice President &amp; Chief Financial Officer, has separated from service with the Company effective May 23, 2018. In connection with his separation, Mr. Haire will be eligible to receive severance benefits consisting of (i) a lump sum payment in the amount of $831,500, and (ii) an additional lump sum payment equal to the amount that the Company would otherwise have contributed toward his health, vision and dental insurance coverage for a one year period. The outstanding equity awards held by Mr. Haire will be treated in accordance with the terms of the Company’s stock incentive plans. These severance benefits are subject to Mr. Haire signing a separation agreement with the Company containing customary release provisions.</w:t>
      </w:r>
    </w:p>
    <w:p>
      <w:pPr>
        <w:spacing w:after="0" w:line="178"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The Company has commenced a search for Mr. Haire’s successor. Until such time as the successor is appointed, Jeremy Friedman will assume the role of interim Chief Financial Officer, while retaining responsibilities for Supply Chain, Environmental, Health, Safety, and Security (EHS&amp;S), and the divestiture of the Advanced Surgical &amp; Orthopedics product line. Mr. Friedman’s biographical information is set forth in the Company’s Annual Report on Form 10-K for the fiscal year ended December 29, 2017, as filed with the Securities and Exchange Commission on February 22, 2018, and is incorporated herein by reference.</w:t>
      </w:r>
    </w:p>
    <w:p>
      <w:pPr>
        <w:sectPr>
          <w:pgSz w:w="11900" w:h="16838" w:orient="portrait"/>
          <w:cols w:equalWidth="0" w:num="1">
            <w:col w:w="11380"/>
          </w:cols>
          <w:pgMar w:left="240" w:top="270" w:right="279" w:bottom="1440" w:gutter="0" w:footer="0" w:header="0"/>
        </w:sectPr>
      </w:pPr>
    </w:p>
    <w:bookmarkStart w:id="2" w:name="page3"/>
    <w:bookmarkEnd w:id="2"/>
    <w:p>
      <w:pPr>
        <w:jc w:val="center"/>
        <w:ind w:right="-67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Dated: May 24, 2018</w:t>
      </w:r>
      <w:r>
        <w:rPr>
          <w:sz w:val="20"/>
          <w:szCs w:val="20"/>
          <w:color w:val="auto"/>
        </w:rPr>
        <w:tab/>
      </w:r>
      <w:r>
        <w:rPr>
          <w:rFonts w:ascii="Arial" w:cs="Arial" w:eastAsia="Arial" w:hAnsi="Arial"/>
          <w:sz w:val="17"/>
          <w:szCs w:val="17"/>
          <w:color w:val="auto"/>
        </w:rPr>
        <w:t>INTEGER HOLDINGS CORPORATION</w:t>
      </w:r>
    </w:p>
    <w:p>
      <w:pPr>
        <w:spacing w:after="0" w:line="225"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/s/ Timothy G. McEvoy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Timothy G. McEvoy</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Senior Vice President, General Counsel &amp; Secretary</w:t>
      </w:r>
    </w:p>
    <w:sectPr>
      <w:pgSz w:w="11900" w:h="16838" w:orient="portrait"/>
      <w:cols w:equalWidth="0" w:num="1">
        <w:col w:w="10740"/>
      </w:cols>
      <w:pgMar w:left="240" w:top="274" w:right="9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2020-01-15T12:49:12Z</dcterms:created>
  <dcterms:modified xsi:type="dcterms:W3CDTF">2020-01-15T12:49:12Z</dcterms:modified>
</cp:coreProperties>
</file>