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0336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03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McEvoy Timothy G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10000 WEHRLE DRIVE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Integer Holdings Corp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ITGR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01/03/2018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64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Sr. VP, Gen. Counsel &amp; Sec.</w:t>
      </w:r>
    </w:p>
    <w:p>
      <w:pPr>
        <w:spacing w:after="0" w:line="31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174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1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CLARENCE</w:t>
            </w:r>
          </w:p>
        </w:tc>
        <w:tc>
          <w:tcPr>
            <w:tcW w:w="1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NY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14031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80" w:type="dxa"/>
            <w:vAlign w:val="bottom"/>
            <w:gridSpan w:val="5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01/03/2018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3"/>
              </w:rPr>
              <w:t>562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3"/>
                <w:vertAlign w:val="superscript"/>
              </w:rPr>
              <w:t>(1)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44.89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3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29,842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vMerge w:val="restart"/>
          </w:tcPr>
          <w:p>
            <w:pPr>
              <w:jc w:val="right"/>
              <w:ind w:right="37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7"/>
              </w:rPr>
              <w:t>2,108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401(k)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60" w:type="dxa"/>
            <w:vAlign w:val="bottom"/>
            <w:gridSpan w:val="10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008000"/>
        </w:rPr>
        <w:t>1. Represents the number of shares required to be sold by the reporting person to cover tax withholding obligations in connection with the vesting of RSUs reported on a Form 4 filed on January 3, 2018.</w:t>
      </w:r>
    </w:p>
    <w:p>
      <w:pPr>
        <w:spacing w:after="0" w:line="5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/s/ Mark Zawodzinski 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-13970</wp:posOffset>
            </wp:positionV>
            <wp:extent cx="1099185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attorney-in-fact for Timothy G. 01/05/2018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195707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McEvoy.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404495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389013" TargetMode="External"/><Relationship Id="rId13" Type="http://schemas.openxmlformats.org/officeDocument/2006/relationships/hyperlink" Target="http://www.sec.gov/cgi-bin/browse-edgar?action=getcompany&amp;CIK=000111448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2020-01-13T22:06:25Z</dcterms:created>
  <dcterms:modified xsi:type="dcterms:W3CDTF">2020-01-13T22:06:25Z</dcterms:modified>
</cp:coreProperties>
</file>