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695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69570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Hinrichs James F.</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540" w:type="dxa"/>
            <w:vAlign w:val="bottom"/>
            <w:tcBorders>
              <w:top w:val="single" w:sz="8" w:color="0000EE"/>
              <w:bottom w:val="single" w:sz="8" w:color="9A9A9A"/>
            </w:tcBorders>
          </w:tcPr>
          <w:p>
            <w:pPr>
              <w:spacing w:after="0"/>
              <w:rPr>
                <w:sz w:val="15"/>
                <w:szCs w:val="15"/>
                <w:color w:val="auto"/>
              </w:rPr>
            </w:pPr>
          </w:p>
        </w:tc>
        <w:tc>
          <w:tcPr>
            <w:tcW w:w="16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02/12/2018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1"/>
          <w:szCs w:val="21"/>
          <w:color w:val="0000EE"/>
        </w:rPr>
      </w:pPr>
      <w:hyperlink r:id="rId12">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7"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1040" w:type="dxa"/>
            <w:vAlign w:val="bottom"/>
          </w:tcPr>
          <w:p>
            <w:pPr>
              <w:ind w:left="20"/>
              <w:spacing w:after="0"/>
              <w:rPr>
                <w:sz w:val="20"/>
                <w:szCs w:val="20"/>
                <w:color w:val="auto"/>
              </w:rPr>
            </w:pPr>
            <w:r>
              <w:rPr>
                <w:rFonts w:ascii="Arial" w:cs="Arial" w:eastAsia="Arial" w:hAnsi="Arial"/>
                <w:sz w:val="14"/>
                <w:szCs w:val="14"/>
                <w:color w:val="auto"/>
              </w:rPr>
              <w:t>(Last)</w:t>
            </w:r>
          </w:p>
        </w:tc>
        <w:tc>
          <w:tcPr>
            <w:tcW w:w="960" w:type="dxa"/>
            <w:vAlign w:val="bottom"/>
          </w:tcPr>
          <w:p>
            <w:pPr>
              <w:ind w:left="80"/>
              <w:spacing w:after="0"/>
              <w:rPr>
                <w:sz w:val="20"/>
                <w:szCs w:val="20"/>
                <w:color w:val="auto"/>
              </w:rPr>
            </w:pPr>
            <w:r>
              <w:rPr>
                <w:rFonts w:ascii="Arial" w:cs="Arial" w:eastAsia="Arial" w:hAnsi="Arial"/>
                <w:sz w:val="14"/>
                <w:szCs w:val="14"/>
                <w:color w:val="auto"/>
              </w:rPr>
              <w:t>(First)</w:t>
            </w:r>
          </w:p>
        </w:tc>
        <w:tc>
          <w:tcPr>
            <w:tcW w:w="1240" w:type="dxa"/>
            <w:vAlign w:val="bottom"/>
          </w:tcPr>
          <w:p>
            <w:pPr>
              <w:ind w:left="20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2000" w:type="dxa"/>
            <w:vAlign w:val="bottom"/>
            <w:gridSpan w:val="2"/>
          </w:tcPr>
          <w:p>
            <w:pPr>
              <w:ind w:left="20"/>
              <w:spacing w:after="0"/>
              <w:rPr>
                <w:sz w:val="20"/>
                <w:szCs w:val="20"/>
                <w:color w:val="auto"/>
              </w:rPr>
            </w:pPr>
            <w:r>
              <w:rPr>
                <w:rFonts w:ascii="Arial" w:cs="Arial" w:eastAsia="Arial" w:hAnsi="Arial"/>
                <w:sz w:val="18"/>
                <w:szCs w:val="18"/>
                <w:color w:val="0000FF"/>
              </w:rPr>
              <w:t>10000 WEHRLE DRIVE</w:t>
            </w:r>
          </w:p>
        </w:tc>
        <w:tc>
          <w:tcPr>
            <w:tcW w:w="1240" w:type="dxa"/>
            <w:vAlign w:val="bottom"/>
          </w:tcPr>
          <w:p>
            <w:pPr>
              <w:spacing w:after="0"/>
              <w:rPr>
                <w:sz w:val="24"/>
                <w:szCs w:val="24"/>
                <w:color w:val="auto"/>
              </w:rPr>
            </w:pPr>
          </w:p>
        </w:tc>
      </w:tr>
      <w:tr>
        <w:trPr>
          <w:trHeight w:val="212"/>
        </w:trPr>
        <w:tc>
          <w:tcPr>
            <w:tcW w:w="20" w:type="dxa"/>
            <w:vAlign w:val="bottom"/>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1240" w:type="dxa"/>
            <w:vAlign w:val="bottom"/>
            <w:tcBorders>
              <w:bottom w:val="single" w:sz="8" w:color="9A9A9A"/>
            </w:tcBorders>
          </w:tcPr>
          <w:p>
            <w:pPr>
              <w:spacing w:after="0"/>
              <w:rPr>
                <w:sz w:val="18"/>
                <w:szCs w:val="18"/>
                <w:color w:val="auto"/>
              </w:rPr>
            </w:pPr>
          </w:p>
        </w:tc>
      </w:tr>
      <w:tr>
        <w:trPr>
          <w:trHeight w:val="270"/>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60" w:type="dxa"/>
            <w:vAlign w:val="bottom"/>
          </w:tcPr>
          <w:p>
            <w:pPr>
              <w:spacing w:after="0"/>
              <w:rPr>
                <w:sz w:val="23"/>
                <w:szCs w:val="23"/>
                <w:color w:val="auto"/>
              </w:rPr>
            </w:pPr>
          </w:p>
        </w:tc>
        <w:tc>
          <w:tcPr>
            <w:tcW w:w="124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040" w:type="dxa"/>
            <w:vAlign w:val="bottom"/>
          </w:tcPr>
          <w:p>
            <w:pPr>
              <w:ind w:left="20"/>
              <w:spacing w:after="0"/>
              <w:rPr>
                <w:sz w:val="20"/>
                <w:szCs w:val="20"/>
                <w:color w:val="auto"/>
              </w:rPr>
            </w:pPr>
            <w:r>
              <w:rPr>
                <w:rFonts w:ascii="Arial" w:cs="Arial" w:eastAsia="Arial" w:hAnsi="Arial"/>
                <w:sz w:val="18"/>
                <w:szCs w:val="18"/>
                <w:color w:val="0000FF"/>
              </w:rPr>
              <w:t>CLARENCE</w:t>
            </w:r>
          </w:p>
        </w:tc>
        <w:tc>
          <w:tcPr>
            <w:tcW w:w="960" w:type="dxa"/>
            <w:vAlign w:val="bottom"/>
          </w:tcPr>
          <w:p>
            <w:pPr>
              <w:ind w:left="80"/>
              <w:spacing w:after="0"/>
              <w:rPr>
                <w:sz w:val="20"/>
                <w:szCs w:val="20"/>
                <w:color w:val="auto"/>
              </w:rPr>
            </w:pPr>
            <w:r>
              <w:rPr>
                <w:rFonts w:ascii="Arial" w:cs="Arial" w:eastAsia="Arial" w:hAnsi="Arial"/>
                <w:sz w:val="18"/>
                <w:szCs w:val="18"/>
                <w:color w:val="0000FF"/>
              </w:rPr>
              <w:t>NY</w:t>
            </w:r>
          </w:p>
        </w:tc>
        <w:tc>
          <w:tcPr>
            <w:tcW w:w="1240" w:type="dxa"/>
            <w:vAlign w:val="bottom"/>
          </w:tcPr>
          <w:p>
            <w:pPr>
              <w:ind w:left="200"/>
              <w:spacing w:after="0"/>
              <w:rPr>
                <w:sz w:val="20"/>
                <w:szCs w:val="20"/>
                <w:color w:val="auto"/>
              </w:rPr>
            </w:pPr>
            <w:r>
              <w:rPr>
                <w:rFonts w:ascii="Arial" w:cs="Arial" w:eastAsia="Arial" w:hAnsi="Arial"/>
                <w:sz w:val="18"/>
                <w:szCs w:val="18"/>
                <w:color w:val="0000FF"/>
              </w:rPr>
              <w:t>14031</w:t>
            </w:r>
          </w:p>
        </w:tc>
      </w:tr>
      <w:tr>
        <w:trPr>
          <w:trHeight w:val="158"/>
        </w:trPr>
        <w:tc>
          <w:tcPr>
            <w:tcW w:w="2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24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1040" w:type="dxa"/>
            <w:vAlign w:val="bottom"/>
          </w:tcPr>
          <w:p>
            <w:pPr>
              <w:ind w:left="20"/>
              <w:spacing w:after="0"/>
              <w:rPr>
                <w:sz w:val="20"/>
                <w:szCs w:val="20"/>
                <w:color w:val="auto"/>
              </w:rPr>
            </w:pPr>
            <w:r>
              <w:rPr>
                <w:rFonts w:ascii="Arial" w:cs="Arial" w:eastAsia="Arial" w:hAnsi="Arial"/>
                <w:sz w:val="14"/>
                <w:szCs w:val="14"/>
                <w:color w:val="auto"/>
              </w:rPr>
              <w:t>(City)</w:t>
            </w:r>
          </w:p>
        </w:tc>
        <w:tc>
          <w:tcPr>
            <w:tcW w:w="960" w:type="dxa"/>
            <w:vAlign w:val="bottom"/>
          </w:tcPr>
          <w:p>
            <w:pPr>
              <w:ind w:left="80"/>
              <w:spacing w:after="0"/>
              <w:rPr>
                <w:sz w:val="20"/>
                <w:szCs w:val="20"/>
                <w:color w:val="auto"/>
              </w:rPr>
            </w:pPr>
            <w:r>
              <w:rPr>
                <w:rFonts w:ascii="Arial" w:cs="Arial" w:eastAsia="Arial" w:hAnsi="Arial"/>
                <w:sz w:val="14"/>
                <w:szCs w:val="14"/>
                <w:color w:val="auto"/>
              </w:rPr>
              <w:t>(State)</w:t>
            </w:r>
          </w:p>
        </w:tc>
        <w:tc>
          <w:tcPr>
            <w:tcW w:w="1240" w:type="dxa"/>
            <w:vAlign w:val="bottom"/>
          </w:tcPr>
          <w:p>
            <w:pPr>
              <w:ind w:left="20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3520" w:type="dxa"/>
            <w:vAlign w:val="bottom"/>
          </w:tcPr>
          <w:p>
            <w:pPr>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480" w:type="dxa"/>
            <w:vAlign w:val="bottom"/>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w w:val="95"/>
              </w:rPr>
              <w:t>Beneficial Ownership</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2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52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240" w:type="dxa"/>
            <w:vAlign w:val="bottom"/>
            <w:tcBorders>
              <w:bottom w:val="single" w:sz="8" w:color="2C2C2C"/>
            </w:tcBorders>
          </w:tcPr>
          <w:p>
            <w:pPr>
              <w:spacing w:after="0"/>
              <w:rPr>
                <w:sz w:val="6"/>
                <w:szCs w:val="6"/>
                <w:color w:val="auto"/>
              </w:rPr>
            </w:pPr>
          </w:p>
        </w:tc>
        <w:tc>
          <w:tcPr>
            <w:tcW w:w="148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52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48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4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24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480" w:type="dxa"/>
            <w:vAlign w:val="bottom"/>
          </w:tcPr>
          <w:p>
            <w:pPr>
              <w:ind w:left="8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No securities are beneficially owned.</w:t>
      </w:r>
    </w:p>
    <w:p>
      <w:pPr>
        <w:spacing w:after="0" w:line="77"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James F.</w:t>
      </w:r>
      <w:r>
        <w:rPr>
          <w:sz w:val="20"/>
          <w:szCs w:val="20"/>
          <w:color w:val="auto"/>
        </w:rPr>
        <w:tab/>
      </w:r>
      <w:r>
        <w:rPr>
          <w:rFonts w:ascii="Arial" w:cs="Arial" w:eastAsia="Arial" w:hAnsi="Arial"/>
          <w:sz w:val="15"/>
          <w:szCs w:val="15"/>
          <w:color w:val="0000FF"/>
        </w:rPr>
        <w:t>02/12/2018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Hinrichs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384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38417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 FOR</w:t>
      </w:r>
    </w:p>
    <w:p>
      <w:pPr>
        <w:spacing w:after="0" w:line="238" w:lineRule="auto"/>
        <w:rPr>
          <w:sz w:val="20"/>
          <w:szCs w:val="20"/>
          <w:color w:val="auto"/>
        </w:rPr>
      </w:pPr>
      <w:r>
        <w:rPr>
          <w:rFonts w:ascii="Courier New" w:cs="Courier New" w:eastAsia="Courier New" w:hAnsi="Courier New"/>
          <w:sz w:val="18"/>
          <w:szCs w:val="18"/>
          <w:color w:val="auto"/>
        </w:rPr>
        <w:t>SECTION 16 REPORTING OBLIGATIONS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Timothy G. McEvoy, Tommy P. Thomas and Mark Zawodzinski, signing singly, the undersigned's true and lawful attorney-in-fact to:</w:t>
      </w:r>
    </w:p>
    <w:p>
      <w:pPr>
        <w:spacing w:after="0" w:line="209" w:lineRule="exact"/>
        <w:rPr>
          <w:sz w:val="20"/>
          <w:szCs w:val="20"/>
          <w:color w:val="auto"/>
        </w:rPr>
      </w:pPr>
    </w:p>
    <w:p>
      <w:pPr>
        <w:ind w:right="1459" w:firstLine="8"/>
        <w:spacing w:after="0" w:line="268" w:lineRule="auto"/>
        <w:tabs>
          <w:tab w:leader="none" w:pos="84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68" w:lineRule="auto"/>
        <w:tabs>
          <w:tab w:leader="none" w:pos="84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director or affiliate of Greatbatch, Inc. (the "Company"), Forms</w:t>
      </w:r>
    </w:p>
    <w:p>
      <w:pPr>
        <w:ind w:right="19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207" w:lineRule="exact"/>
        <w:rPr>
          <w:rFonts w:ascii="Courier New" w:cs="Courier New" w:eastAsia="Courier New" w:hAnsi="Courier New"/>
          <w:sz w:val="16"/>
          <w:szCs w:val="16"/>
          <w:color w:val="auto"/>
        </w:rPr>
      </w:pPr>
    </w:p>
    <w:p>
      <w:pPr>
        <w:ind w:right="1579" w:firstLine="8"/>
        <w:spacing w:after="0" w:line="237"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208" w:lineRule="exact"/>
        <w:rPr>
          <w:rFonts w:ascii="Courier New" w:cs="Courier New" w:eastAsia="Courier New" w:hAnsi="Courier New"/>
          <w:sz w:val="18"/>
          <w:szCs w:val="18"/>
          <w:color w:val="auto"/>
        </w:rPr>
      </w:pPr>
    </w:p>
    <w:p>
      <w:pPr>
        <w:ind w:right="1779" w:firstLine="8"/>
        <w:spacing w:after="0" w:line="237"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9th day of February, 2018.</w:t>
      </w:r>
    </w:p>
    <w:p>
      <w:pPr>
        <w:spacing w:after="0" w:line="200" w:lineRule="exact"/>
        <w:rPr>
          <w:sz w:val="20"/>
          <w:szCs w:val="20"/>
          <w:color w:val="auto"/>
        </w:rPr>
      </w:pPr>
    </w:p>
    <w:p>
      <w:pPr>
        <w:spacing w:after="0" w:line="205" w:lineRule="exact"/>
        <w:rPr>
          <w:sz w:val="20"/>
          <w:szCs w:val="20"/>
          <w:color w:val="auto"/>
        </w:rPr>
      </w:pPr>
    </w:p>
    <w:p>
      <w:pPr>
        <w:ind w:left="5900"/>
        <w:spacing w:after="0"/>
        <w:rPr>
          <w:sz w:val="20"/>
          <w:szCs w:val="20"/>
          <w:color w:val="auto"/>
        </w:rPr>
      </w:pPr>
      <w:r>
        <w:rPr>
          <w:rFonts w:ascii="Courier New" w:cs="Courier New" w:eastAsia="Courier New" w:hAnsi="Courier New"/>
          <w:sz w:val="18"/>
          <w:szCs w:val="18"/>
          <w:color w:val="auto"/>
        </w:rPr>
        <w:t>/s/James F. Hinrichs</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1" Type="http://schemas.openxmlformats.org/officeDocument/2006/relationships/hyperlink" Target="http://www.sec.gov/cgi-bin/browse-edgar?action=getcompany&amp;CIK=0001506974" TargetMode="External"/><Relationship Id="rId12"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2020-01-13T22:49:10Z</dcterms:created>
  <dcterms:modified xsi:type="dcterms:W3CDTF">2020-01-13T22:49:10Z</dcterms:modified>
</cp:coreProperties>
</file>