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7)</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INTEGER HOLDINGS CORP</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45826H109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November 30, 2016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45826H109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3094653</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3165758</w:t>
      </w:r>
    </w:p>
    <w:p>
      <w:pPr>
        <w:sectPr>
          <w:pgSz w:w="11900" w:h="16848"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3165758</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10.3%</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INTEGER HOLDINGS CORP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2595 DALLAS PARKWAY, SUITE 310</w:t>
      </w:r>
    </w:p>
    <w:p>
      <w:pPr>
        <w:spacing w:after="0" w:line="238" w:lineRule="auto"/>
        <w:rPr>
          <w:sz w:val="20"/>
          <w:szCs w:val="20"/>
          <w:color w:val="auto"/>
        </w:rPr>
      </w:pPr>
      <w:r>
        <w:rPr>
          <w:rFonts w:ascii="Courier New" w:cs="Courier New" w:eastAsia="Courier New" w:hAnsi="Courier New"/>
          <w:sz w:val="18"/>
          <w:szCs w:val="18"/>
          <w:color w:val="auto"/>
        </w:rPr>
        <w:t>FRISCO TX 75034</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w:t>
      </w:r>
    </w:p>
    <w:p>
      <w:pPr>
        <w:sectPr>
          <w:pgSz w:w="11900" w:h="16838" w:orient="portrait"/>
          <w:cols w:equalWidth="0" w:num="1">
            <w:col w:w="10219"/>
          </w:cols>
          <w:pgMar w:left="240" w:top="136" w:right="1440" w:bottom="0" w:gutter="0" w:footer="0" w:header="0"/>
        </w:sectPr>
      </w:pPr>
    </w:p>
    <w:bookmarkStart w:id="2" w:name="page3"/>
    <w:bookmarkEnd w:id="2"/>
    <w:p>
      <w:pPr>
        <w:ind w:left="1280"/>
        <w:spacing w:after="0"/>
        <w:rPr>
          <w:sz w:val="20"/>
          <w:szCs w:val="20"/>
          <w:color w:val="auto"/>
        </w:rPr>
      </w:pPr>
      <w:r>
        <w:rPr>
          <w:rFonts w:ascii="Courier New" w:cs="Courier New" w:eastAsia="Courier New" w:hAnsi="Courier New"/>
          <w:sz w:val="18"/>
          <w:szCs w:val="18"/>
          <w:color w:val="auto"/>
        </w:rPr>
        <w:t>Rule 13d-1(b)(1)(ii)(F);</w:t>
      </w:r>
    </w:p>
    <w:p>
      <w:pPr>
        <w:spacing w:after="0" w:line="4" w:lineRule="exact"/>
        <w:rPr>
          <w:sz w:val="20"/>
          <w:szCs w:val="20"/>
          <w:color w:val="auto"/>
        </w:rPr>
      </w:pPr>
    </w:p>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rPr>
          <w:sz w:val="20"/>
          <w:szCs w:val="20"/>
          <w:color w:val="auto"/>
        </w:rPr>
      </w:pPr>
      <w:r>
        <w:rPr>
          <w:rFonts w:ascii="Courier New" w:cs="Courier New" w:eastAsia="Courier New" w:hAnsi="Courier New"/>
          <w:sz w:val="18"/>
          <w:szCs w:val="18"/>
          <w:color w:val="auto"/>
        </w:rPr>
        <w:t>[ ] A non-U.S. institution in accordance with</w:t>
      </w:r>
    </w:p>
    <w:p>
      <w:pPr>
        <w:ind w:left="1280"/>
        <w:spacing w:after="0" w:line="238" w:lineRule="auto"/>
        <w:rPr>
          <w:sz w:val="20"/>
          <w:szCs w:val="20"/>
          <w:color w:val="auto"/>
        </w:rPr>
      </w:pPr>
      <w:r>
        <w:rPr>
          <w:rFonts w:ascii="Courier New" w:cs="Courier New" w:eastAsia="Courier New" w:hAnsi="Courier New"/>
          <w:sz w:val="18"/>
          <w:szCs w:val="18"/>
          <w:color w:val="auto"/>
        </w:rPr>
        <w:t>Rule 240.13d-1(b)(1)(ii)(J);</w:t>
      </w:r>
    </w:p>
    <w:p>
      <w:pPr>
        <w:spacing w:after="0" w:line="5"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3165758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3094653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3165758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580" w:type="dxa"/>
            <w:vAlign w:val="bottom"/>
            <w:gridSpan w:val="2"/>
          </w:tcPr>
          <w:p>
            <w:pPr>
              <w:spacing w:after="0"/>
              <w:rPr>
                <w:sz w:val="20"/>
                <w:szCs w:val="20"/>
                <w:color w:val="auto"/>
              </w:rPr>
            </w:pPr>
            <w:r>
              <w:rPr>
                <w:rFonts w:ascii="Courier New" w:cs="Courier New" w:eastAsia="Courier New" w:hAnsi="Courier New"/>
                <w:sz w:val="18"/>
                <w:szCs w:val="18"/>
                <w:color w:val="auto"/>
                <w:w w:val="98"/>
              </w:rPr>
              <w:t>Various persons have the</w:t>
            </w:r>
          </w:p>
        </w:tc>
        <w:tc>
          <w:tcPr>
            <w:tcW w:w="4160" w:type="dxa"/>
            <w:vAlign w:val="bottom"/>
          </w:tcPr>
          <w:p>
            <w:pPr>
              <w:ind w:left="60"/>
              <w:spacing w:after="0"/>
              <w:rPr>
                <w:sz w:val="20"/>
                <w:szCs w:val="20"/>
                <w:color w:val="auto"/>
              </w:rPr>
            </w:pPr>
            <w:r>
              <w:rPr>
                <w:rFonts w:ascii="Courier New" w:cs="Courier New" w:eastAsia="Courier New" w:hAnsi="Courier New"/>
                <w:sz w:val="18"/>
                <w:szCs w:val="18"/>
                <w:color w:val="auto"/>
                <w:w w:val="96"/>
              </w:rPr>
              <w:t>right to receive or the power to direct</w:t>
            </w:r>
          </w:p>
        </w:tc>
      </w:tr>
      <w:tr>
        <w:trPr>
          <w:trHeight w:val="203"/>
        </w:trPr>
        <w:tc>
          <w:tcPr>
            <w:tcW w:w="25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8"/>
              </w:rPr>
              <w:t>the receipt of dividends</w:t>
            </w:r>
          </w:p>
        </w:tc>
        <w:tc>
          <w:tcPr>
            <w:tcW w:w="41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9"/>
              </w:rPr>
              <w:t>from, or the proceeds from the sale of</w:t>
            </w:r>
          </w:p>
        </w:tc>
      </w:tr>
      <w:tr>
        <w:trPr>
          <w:trHeight w:val="203"/>
        </w:trPr>
        <w:tc>
          <w:tcPr>
            <w:tcW w:w="174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the common stock</w:t>
            </w:r>
          </w:p>
        </w:tc>
        <w:tc>
          <w:tcPr>
            <w:tcW w:w="8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of</w:t>
            </w:r>
          </w:p>
        </w:tc>
        <w:tc>
          <w:tcPr>
            <w:tcW w:w="4160" w:type="dxa"/>
            <w:vAlign w:val="bottom"/>
          </w:tcPr>
          <w:p>
            <w:pPr>
              <w:spacing w:after="0"/>
              <w:rPr>
                <w:sz w:val="17"/>
                <w:szCs w:val="17"/>
                <w:color w:val="auto"/>
              </w:rPr>
            </w:pPr>
          </w:p>
        </w:tc>
      </w:tr>
      <w:tr>
        <w:trPr>
          <w:trHeight w:val="203"/>
        </w:trPr>
        <w:tc>
          <w:tcPr>
            <w:tcW w:w="174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INTEGER HOLDINGS</w:t>
            </w:r>
          </w:p>
        </w:tc>
        <w:tc>
          <w:tcPr>
            <w:tcW w:w="8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CORP.</w:t>
            </w:r>
          </w:p>
        </w:tc>
        <w:tc>
          <w:tcPr>
            <w:tcW w:w="4160" w:type="dxa"/>
            <w:vAlign w:val="bottom"/>
          </w:tcPr>
          <w:p>
            <w:pPr>
              <w:spacing w:after="0"/>
              <w:rPr>
                <w:sz w:val="17"/>
                <w:szCs w:val="17"/>
                <w:color w:val="auto"/>
              </w:rPr>
            </w:pPr>
          </w:p>
        </w:tc>
      </w:tr>
      <w:tr>
        <w:trPr>
          <w:trHeight w:val="203"/>
        </w:trPr>
        <w:tc>
          <w:tcPr>
            <w:tcW w:w="25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8"/>
              </w:rPr>
              <w:t>No one person's interest</w:t>
            </w:r>
          </w:p>
        </w:tc>
        <w:tc>
          <w:tcPr>
            <w:tcW w:w="41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in the common stock of</w:t>
            </w:r>
          </w:p>
        </w:tc>
      </w:tr>
      <w:tr>
        <w:trPr>
          <w:trHeight w:val="203"/>
        </w:trPr>
        <w:tc>
          <w:tcPr>
            <w:tcW w:w="174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INTEGER HOLDINGS</w:t>
            </w:r>
          </w:p>
        </w:tc>
        <w:tc>
          <w:tcPr>
            <w:tcW w:w="8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CORP</w:t>
            </w:r>
          </w:p>
        </w:tc>
        <w:tc>
          <w:tcPr>
            <w:tcW w:w="4160" w:type="dxa"/>
            <w:vAlign w:val="bottom"/>
          </w:tcPr>
          <w:p>
            <w:pPr>
              <w:spacing w:after="0"/>
              <w:rPr>
                <w:sz w:val="17"/>
                <w:szCs w:val="17"/>
                <w:color w:val="auto"/>
              </w:rPr>
            </w:pPr>
          </w:p>
        </w:tc>
      </w:tr>
    </w:tbl>
    <w:p>
      <w:pPr>
        <w:sectPr>
          <w:pgSz w:w="11900" w:h="16838" w:orient="portrait"/>
          <w:cols w:equalWidth="0" w:num="1">
            <w:col w:w="10219"/>
          </w:cols>
          <w:pgMar w:left="240" w:top="136" w:right="1440" w:bottom="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December 9, 2016</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335"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(Netherlands) B.V.</w:t>
      </w:r>
    </w:p>
    <w:p>
      <w:pPr>
        <w:spacing w:after="0" w:line="238" w:lineRule="auto"/>
        <w:rPr>
          <w:sz w:val="20"/>
          <w:szCs w:val="20"/>
          <w:color w:val="auto"/>
        </w:rPr>
      </w:pPr>
      <w:r>
        <w:rPr>
          <w:rFonts w:ascii="Courier New" w:cs="Courier New" w:eastAsia="Courier New" w:hAnsi="Courier New"/>
          <w:sz w:val="18"/>
          <w:szCs w:val="18"/>
          <w:color w:val="auto"/>
        </w:rPr>
        <w:t>BlackRock Advisors, LLC</w:t>
      </w:r>
    </w:p>
    <w:p>
      <w:pPr>
        <w:spacing w:after="0"/>
        <w:rPr>
          <w:sz w:val="20"/>
          <w:szCs w:val="20"/>
          <w:color w:val="auto"/>
        </w:rPr>
      </w:pPr>
      <w:r>
        <w:rPr>
          <w:rFonts w:ascii="Courier New" w:cs="Courier New" w:eastAsia="Courier New" w:hAnsi="Courier New"/>
          <w:sz w:val="18"/>
          <w:szCs w:val="18"/>
          <w:color w:val="auto"/>
        </w:rPr>
        <w:t>BlackRock Asset Management Canada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spacing w:after="0"/>
        <w:rPr>
          <w:sz w:val="20"/>
          <w:szCs w:val="20"/>
          <w:color w:val="auto"/>
        </w:rPr>
      </w:pPr>
      <w:r>
        <w:rPr>
          <w:rFonts w:ascii="Courier New" w:cs="Courier New" w:eastAsia="Courier New" w:hAnsi="Courier New"/>
          <w:sz w:val="18"/>
          <w:szCs w:val="18"/>
          <w:color w:val="auto"/>
        </w:rPr>
        <w:t>BlackRock Financial Management, Inc.</w:t>
      </w:r>
    </w:p>
    <w:p>
      <w:pPr>
        <w:spacing w:after="0" w:line="237" w:lineRule="auto"/>
        <w:rPr>
          <w:sz w:val="20"/>
          <w:szCs w:val="20"/>
          <w:color w:val="auto"/>
        </w:rPr>
      </w:pPr>
      <w:r>
        <w:rPr>
          <w:rFonts w:ascii="Courier New" w:cs="Courier New" w:eastAsia="Courier New" w:hAnsi="Courier New"/>
          <w:sz w:val="18"/>
          <w:szCs w:val="18"/>
          <w:color w:val="auto"/>
        </w:rPr>
        <w:t>BlackRock Fund Advisors*</w:t>
      </w:r>
    </w:p>
    <w:p>
      <w:pPr>
        <w:spacing w:after="0"/>
        <w:rPr>
          <w:sz w:val="20"/>
          <w:szCs w:val="20"/>
          <w:color w:val="auto"/>
        </w:rPr>
      </w:pPr>
      <w:r>
        <w:rPr>
          <w:rFonts w:ascii="Courier New" w:cs="Courier New" w:eastAsia="Courier New" w:hAnsi="Courier New"/>
          <w:sz w:val="18"/>
          <w:szCs w:val="18"/>
          <w:color w:val="auto"/>
        </w:rPr>
        <w:t>BlackRock Institutional Trust Company, N.A.</w:t>
      </w:r>
    </w:p>
    <w:p>
      <w:pPr>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spacing w:after="0"/>
        <w:rPr>
          <w:sz w:val="20"/>
          <w:szCs w:val="20"/>
          <w:color w:val="auto"/>
        </w:rPr>
      </w:pPr>
      <w:r>
        <w:rPr>
          <w:rFonts w:ascii="Courier New" w:cs="Courier New" w:eastAsia="Courier New" w:hAnsi="Courier New"/>
          <w:sz w:val="18"/>
          <w:szCs w:val="18"/>
          <w:color w:val="auto"/>
        </w:rPr>
        <w:t>BlackRock Investment Management (UK) Ltd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sectPr>
      <w:pgSz w:w="11900" w:h="16838" w:orient="portrait"/>
      <w:cols w:equalWidth="0" w:num="1">
        <w:col w:w="10219"/>
      </w:cols>
      <w:pgMar w:left="240" w:top="3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24"/>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5"/>
    </w:lvl>
  </w:abstractNum>
  <w:abstractNum w:abstractNumId="3">
    <w:nsid w:val="507ED7AB"/>
    <w:multiLevelType w:val="hybridMultilevel"/>
    <w:lvl w:ilvl="0">
      <w:lvlJc w:val="left"/>
      <w:lvlText w:val="(%1)"/>
      <w:numFmt w:val="decimal"/>
      <w:start w:val="8"/>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upperLetter"/>
      <w:start w:val="24"/>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2020-01-21T23:20:35Z</dcterms:created>
  <dcterms:modified xsi:type="dcterms:W3CDTF">2020-01-21T23:20:35Z</dcterms:modified>
</cp:coreProperties>
</file>